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A858A0A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7F76AC" w14:textId="77777777" w:rsidR="002D5AAC" w:rsidRDefault="002D5AAC" w:rsidP="00F11E2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7F87987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25B101A" w14:textId="0474E66D" w:rsidR="002D5AAC" w:rsidRDefault="00F11E24" w:rsidP="00F11E24">
            <w:pPr>
              <w:jc w:val="right"/>
            </w:pPr>
            <w:r w:rsidRPr="00F11E24">
              <w:rPr>
                <w:sz w:val="40"/>
              </w:rPr>
              <w:t>CCPR</w:t>
            </w:r>
            <w:r>
              <w:t>/C/138/2/Add.3</w:t>
            </w:r>
          </w:p>
        </w:tc>
      </w:tr>
      <w:tr w:rsidR="002D5AAC" w:rsidRPr="00F11E24" w14:paraId="39A9C477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00D7E3F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C8CAB6F" wp14:editId="1B9996AC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B0FDD9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6A973A" w14:textId="77777777" w:rsidR="002D5AAC" w:rsidRPr="00F11E24" w:rsidRDefault="00F11E24" w:rsidP="00BC3629">
            <w:pPr>
              <w:spacing w:before="240"/>
              <w:rPr>
                <w:lang w:val="en-US"/>
              </w:rPr>
            </w:pPr>
            <w:r w:rsidRPr="00F11E24">
              <w:rPr>
                <w:lang w:val="en-US"/>
              </w:rPr>
              <w:t>Distr.: General</w:t>
            </w:r>
          </w:p>
          <w:p w14:paraId="21C2DDDD" w14:textId="6B309571" w:rsidR="00F11E24" w:rsidRPr="00F11E24" w:rsidRDefault="00F11E24" w:rsidP="00F11E2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August</w:t>
            </w:r>
            <w:r w:rsidRPr="00F11E24">
              <w:rPr>
                <w:lang w:val="en-US"/>
              </w:rPr>
              <w:t xml:space="preserve"> 2023</w:t>
            </w:r>
          </w:p>
          <w:p w14:paraId="34A2E3FE" w14:textId="77777777" w:rsidR="00F11E24" w:rsidRPr="00F11E24" w:rsidRDefault="00F11E24" w:rsidP="00F11E24">
            <w:pPr>
              <w:spacing w:line="240" w:lineRule="exact"/>
              <w:rPr>
                <w:lang w:val="en-US"/>
              </w:rPr>
            </w:pPr>
            <w:r w:rsidRPr="00F11E24">
              <w:rPr>
                <w:lang w:val="en-US"/>
              </w:rPr>
              <w:t>Russian</w:t>
            </w:r>
          </w:p>
          <w:p w14:paraId="710721D4" w14:textId="7CC1D2F9" w:rsidR="00F11E24" w:rsidRPr="00F11E24" w:rsidRDefault="00F11E24" w:rsidP="00F11E24">
            <w:pPr>
              <w:spacing w:line="240" w:lineRule="exact"/>
              <w:rPr>
                <w:lang w:val="en-US"/>
              </w:rPr>
            </w:pPr>
            <w:r w:rsidRPr="00F11E24">
              <w:rPr>
                <w:lang w:val="en-US"/>
              </w:rPr>
              <w:t>Original: English</w:t>
            </w:r>
          </w:p>
        </w:tc>
      </w:tr>
    </w:tbl>
    <w:p w14:paraId="1F712412" w14:textId="77777777" w:rsidR="00F11E24" w:rsidRPr="00F11E24" w:rsidRDefault="00F11E24" w:rsidP="00F11E24">
      <w:pPr>
        <w:spacing w:before="120"/>
        <w:rPr>
          <w:b/>
          <w:sz w:val="24"/>
          <w:szCs w:val="24"/>
        </w:rPr>
      </w:pPr>
      <w:r w:rsidRPr="00F11E24">
        <w:rPr>
          <w:b/>
          <w:bCs/>
          <w:sz w:val="24"/>
          <w:szCs w:val="24"/>
        </w:rPr>
        <w:t>Комитет по правам человека</w:t>
      </w:r>
    </w:p>
    <w:p w14:paraId="5281986F" w14:textId="55214C30" w:rsidR="00F11E24" w:rsidRPr="00062725" w:rsidRDefault="00F11E24" w:rsidP="00F11E24">
      <w:pPr>
        <w:pStyle w:val="HChG"/>
      </w:pPr>
      <w:r>
        <w:tab/>
      </w:r>
      <w:r>
        <w:tab/>
      </w:r>
      <w:r>
        <w:rPr>
          <w:bCs/>
        </w:rPr>
        <w:t>Доклад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 xml:space="preserve">заключительными замечаниями Комитета </w:t>
      </w:r>
      <w:r w:rsidR="00524DCC">
        <w:rPr>
          <w:bCs/>
        </w:rPr>
        <w:br/>
      </w:r>
      <w:r>
        <w:rPr>
          <w:bCs/>
        </w:rPr>
        <w:t>по правам человека</w:t>
      </w:r>
      <w:r w:rsidRPr="00E420CE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bookmarkStart w:id="0" w:name="_Toc506807534"/>
      <w:bookmarkEnd w:id="0"/>
    </w:p>
    <w:p w14:paraId="50C1C89E" w14:textId="77777777" w:rsidR="00F11E24" w:rsidRPr="000B7B5A" w:rsidRDefault="00F11E24" w:rsidP="00F11E24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Добавление</w:t>
      </w:r>
    </w:p>
    <w:p w14:paraId="353A3DA0" w14:textId="34713683" w:rsidR="00F11E24" w:rsidRPr="00FA275A" w:rsidRDefault="00F11E24" w:rsidP="00F11E24">
      <w:pPr>
        <w:pStyle w:val="H1G"/>
        <w:rPr>
          <w:rFonts w:eastAsiaTheme="minorEastAsia"/>
        </w:rPr>
      </w:pPr>
      <w:r>
        <w:tab/>
      </w:r>
      <w:r>
        <w:tab/>
      </w:r>
      <w:r>
        <w:rPr>
          <w:bCs/>
        </w:rPr>
        <w:t>Оценка информации о последующей деятельности в связи с</w:t>
      </w:r>
      <w:r>
        <w:rPr>
          <w:bCs/>
          <w:lang w:val="en-US"/>
        </w:rPr>
        <w:t> </w:t>
      </w:r>
      <w:r>
        <w:rPr>
          <w:bCs/>
        </w:rPr>
        <w:t>заключительными замечаниями по Португалии</w:t>
      </w:r>
    </w:p>
    <w:p w14:paraId="165AF001" w14:textId="202B0AB7" w:rsidR="00F11E24" w:rsidRPr="00062725" w:rsidRDefault="00F11E24" w:rsidP="00F11E24">
      <w:pPr>
        <w:pStyle w:val="SingleTxtG"/>
        <w:tabs>
          <w:tab w:val="clear" w:pos="1701"/>
          <w:tab w:val="clear" w:pos="2268"/>
          <w:tab w:val="left" w:pos="4820"/>
        </w:tabs>
        <w:ind w:left="4820" w:hanging="3686"/>
        <w:jc w:val="left"/>
      </w:pPr>
      <w:r>
        <w:rPr>
          <w:i/>
          <w:iCs/>
        </w:rPr>
        <w:t>Заключительные замечания (128-я сессия):</w:t>
      </w:r>
      <w:r>
        <w:tab/>
      </w:r>
      <w:hyperlink r:id="rId8" w:history="1">
        <w:r w:rsidRPr="00F11E24">
          <w:rPr>
            <w:rStyle w:val="af1"/>
          </w:rPr>
          <w:t>CCPR/C/PRT/CO/5</w:t>
        </w:r>
      </w:hyperlink>
      <w:r>
        <w:t>, 27 марта 2020 года</w:t>
      </w:r>
    </w:p>
    <w:p w14:paraId="39B617C7" w14:textId="1B46867B" w:rsidR="00F11E24" w:rsidRPr="00062725" w:rsidRDefault="00F11E24" w:rsidP="00F11E24">
      <w:pPr>
        <w:pStyle w:val="SingleTxtG"/>
        <w:tabs>
          <w:tab w:val="clear" w:pos="1701"/>
          <w:tab w:val="clear" w:pos="2268"/>
          <w:tab w:val="left" w:pos="4820"/>
        </w:tabs>
        <w:jc w:val="left"/>
      </w:pPr>
      <w:r>
        <w:rPr>
          <w:i/>
          <w:iCs/>
        </w:rPr>
        <w:t xml:space="preserve">Пункты, предусматривающие </w:t>
      </w:r>
      <w:r>
        <w:rPr>
          <w:i/>
          <w:iCs/>
        </w:rPr>
        <w:tab/>
      </w:r>
      <w:r>
        <w:rPr>
          <w:i/>
          <w:iCs/>
        </w:rPr>
        <w:tab/>
      </w:r>
      <w:r>
        <w:t>33, 37 и 41</w:t>
      </w:r>
      <w:r>
        <w:rPr>
          <w:i/>
          <w:iCs/>
        </w:rPr>
        <w:br/>
      </w:r>
      <w:r>
        <w:rPr>
          <w:i/>
          <w:iCs/>
        </w:rPr>
        <w:t>последующую деятельность:</w:t>
      </w:r>
    </w:p>
    <w:p w14:paraId="19BAF6BA" w14:textId="1E484239" w:rsidR="00F11E24" w:rsidRPr="00062725" w:rsidRDefault="00F11E24" w:rsidP="00F11E24">
      <w:pPr>
        <w:pStyle w:val="SingleTxtG"/>
        <w:tabs>
          <w:tab w:val="clear" w:pos="1701"/>
          <w:tab w:val="clear" w:pos="2268"/>
          <w:tab w:val="left" w:pos="4820"/>
        </w:tabs>
        <w:jc w:val="left"/>
      </w:pPr>
      <w:r>
        <w:rPr>
          <w:i/>
          <w:iCs/>
        </w:rPr>
        <w:t xml:space="preserve">Информация, полученная </w:t>
      </w:r>
      <w:r>
        <w:rPr>
          <w:i/>
          <w:iCs/>
        </w:rPr>
        <w:tab/>
      </w:r>
      <w:r>
        <w:rPr>
          <w:i/>
          <w:iCs/>
        </w:rPr>
        <w:tab/>
      </w:r>
      <w:hyperlink r:id="rId9" w:history="1">
        <w:r w:rsidRPr="00F11E24">
          <w:rPr>
            <w:rStyle w:val="af1"/>
          </w:rPr>
          <w:t>CCPR/C/PRT/FCO/5</w:t>
        </w:r>
      </w:hyperlink>
      <w:r>
        <w:t>, 27 июля 2021 года</w:t>
      </w:r>
      <w:r>
        <w:rPr>
          <w:i/>
          <w:iCs/>
        </w:rPr>
        <w:br/>
      </w:r>
      <w:r>
        <w:rPr>
          <w:i/>
          <w:iCs/>
        </w:rPr>
        <w:t>от государства-участника:</w:t>
      </w:r>
    </w:p>
    <w:p w14:paraId="3497F159" w14:textId="406070C0" w:rsidR="00F11E24" w:rsidRPr="00062725" w:rsidRDefault="00F11E24" w:rsidP="00F11E24">
      <w:pPr>
        <w:pStyle w:val="SingleTxtG"/>
        <w:tabs>
          <w:tab w:val="clear" w:pos="1701"/>
          <w:tab w:val="clear" w:pos="2268"/>
          <w:tab w:val="left" w:pos="4820"/>
        </w:tabs>
        <w:ind w:left="4820" w:hanging="3686"/>
        <w:jc w:val="left"/>
      </w:pPr>
      <w:r>
        <w:rPr>
          <w:i/>
          <w:iCs/>
        </w:rPr>
        <w:t>Оценка Комитета:</w:t>
      </w:r>
      <w:r>
        <w:tab/>
      </w:r>
      <w:r>
        <w:tab/>
      </w:r>
      <w:r>
        <w:tab/>
      </w:r>
      <w:r>
        <w:t>33 [B][A][C], 37 [B] и 41 [A]</w:t>
      </w:r>
    </w:p>
    <w:p w14:paraId="4412AA84" w14:textId="77777777" w:rsidR="00F11E24" w:rsidRPr="00062725" w:rsidRDefault="00F11E24" w:rsidP="00F11E24">
      <w:pPr>
        <w:pStyle w:val="H1G"/>
      </w:pPr>
      <w:r>
        <w:tab/>
      </w:r>
      <w:r>
        <w:tab/>
      </w:r>
      <w:r>
        <w:rPr>
          <w:bCs/>
        </w:rPr>
        <w:t>Пункт 33: Торговля людьми</w:t>
      </w:r>
    </w:p>
    <w:p w14:paraId="1B2452DC" w14:textId="77777777" w:rsidR="00F11E24" w:rsidRPr="00062725" w:rsidRDefault="00F11E24" w:rsidP="00F11E24">
      <w:pPr>
        <w:pStyle w:val="SingleTxtG"/>
        <w:rPr>
          <w:b/>
          <w:bCs/>
        </w:rPr>
      </w:pPr>
      <w:r>
        <w:rPr>
          <w:b/>
          <w:bCs/>
        </w:rPr>
        <w:t>Государству-участнику следует:</w:t>
      </w:r>
    </w:p>
    <w:p w14:paraId="5B8B91A5" w14:textId="18A6CC36" w:rsidR="00F11E24" w:rsidRPr="00F11E24" w:rsidRDefault="00F11E24" w:rsidP="00F11E24">
      <w:pPr>
        <w:pStyle w:val="SingleTxtG"/>
        <w:rPr>
          <w:b/>
          <w:bCs/>
        </w:rPr>
      </w:pPr>
      <w:r w:rsidRPr="00F11E24">
        <w:rPr>
          <w:b/>
          <w:bCs/>
        </w:rPr>
        <w:tab/>
      </w:r>
      <w:r w:rsidRPr="00F11E24">
        <w:rPr>
          <w:b/>
          <w:bCs/>
        </w:rPr>
        <w:t>a)</w:t>
      </w:r>
      <w:r w:rsidRPr="00F11E24">
        <w:rPr>
          <w:b/>
          <w:bCs/>
        </w:rPr>
        <w:tab/>
        <w:t xml:space="preserve">обеспечить тщательное расследование случаев торговли людьми и судебное преследование виновных и, в случае признания их виновности, вынесение им соответствующего приговора, а также предоставление жертвам полной компенсации и надлежащей защиты и помощи; </w:t>
      </w:r>
    </w:p>
    <w:p w14:paraId="145F4AF9" w14:textId="476B27F2" w:rsidR="00F11E24" w:rsidRPr="00F11E24" w:rsidRDefault="00F11E24" w:rsidP="00F11E24">
      <w:pPr>
        <w:pStyle w:val="SingleTxtG"/>
        <w:rPr>
          <w:b/>
          <w:bCs/>
        </w:rPr>
      </w:pPr>
      <w:r>
        <w:tab/>
      </w:r>
      <w:r w:rsidRPr="00F11E24">
        <w:rPr>
          <w:b/>
          <w:bCs/>
        </w:rPr>
        <w:t>b)</w:t>
      </w:r>
      <w:r w:rsidRPr="00F11E24">
        <w:rPr>
          <w:b/>
          <w:bCs/>
        </w:rPr>
        <w:tab/>
        <w:t xml:space="preserve">предоставлять судьям, прокурорам, сотрудникам правоохранительных органов и иммиграционных служб, а также работникам всех служб по приему мигрантов надлежащую подготовку, в том числе по процедурам выявления жертв торговли людьми; </w:t>
      </w:r>
    </w:p>
    <w:p w14:paraId="26CBF8BE" w14:textId="74E84E72" w:rsidR="00F11E24" w:rsidRPr="00062725" w:rsidRDefault="00F11E24" w:rsidP="00F11E24">
      <w:pPr>
        <w:pStyle w:val="SingleTxtG"/>
        <w:rPr>
          <w:b/>
          <w:bCs/>
        </w:rPr>
      </w:pPr>
      <w:r w:rsidRPr="00F11E24">
        <w:rPr>
          <w:b/>
          <w:bCs/>
        </w:rPr>
        <w:tab/>
      </w:r>
      <w:r w:rsidRPr="00F11E24">
        <w:rPr>
          <w:b/>
          <w:bCs/>
        </w:rPr>
        <w:t>c)</w:t>
      </w:r>
      <w:r w:rsidRPr="00F11E24">
        <w:rPr>
          <w:b/>
          <w:bCs/>
        </w:rPr>
        <w:tab/>
        <w:t>обеспечить, чтобы жертвы торговли людьми имели доступ к процедурам</w:t>
      </w:r>
      <w:r>
        <w:rPr>
          <w:b/>
          <w:bCs/>
        </w:rPr>
        <w:t xml:space="preserve"> предоставления убежища, в рамках которых могут быть определены их потенциальные потребности.</w:t>
      </w:r>
      <w:bookmarkStart w:id="1" w:name="_Hlk132794217"/>
      <w:bookmarkEnd w:id="1"/>
    </w:p>
    <w:p w14:paraId="7A125308" w14:textId="77777777" w:rsidR="00F11E24" w:rsidRPr="00062725" w:rsidRDefault="00F11E24" w:rsidP="00F11E24">
      <w:pPr>
        <w:pStyle w:val="H23G"/>
        <w:rPr>
          <w:rFonts w:eastAsiaTheme="minorEastAsia"/>
        </w:rPr>
      </w:pPr>
      <w:r>
        <w:tab/>
      </w: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C085B16" w14:textId="152050CF" w:rsidR="00F11E24" w:rsidRPr="00F11E24" w:rsidRDefault="00F11E24" w:rsidP="00F11E24">
      <w:pPr>
        <w:spacing w:after="120" w:line="240" w:lineRule="exact"/>
        <w:ind w:left="1134" w:right="1134" w:firstLine="567"/>
        <w:jc w:val="both"/>
        <w:rPr>
          <w:rFonts w:eastAsiaTheme="minorEastAsia"/>
        </w:rPr>
      </w:pPr>
      <w:r>
        <w:rPr>
          <w:lang w:val="en-US"/>
        </w:rPr>
        <w:t>a</w:t>
      </w:r>
      <w:r w:rsidRPr="00F11E24">
        <w:t>)</w:t>
      </w:r>
      <w:r w:rsidRPr="00F11E24">
        <w:tab/>
      </w:r>
      <w:r w:rsidRPr="00F11E24">
        <w:t xml:space="preserve">Каждый случай торговли людьми тщательно расследуется. Если собрано достаточно доказательств, возбуждаются дела, которые затем передаются в суд, а правонарушителям, в случае их признания виновными, в соответствии с принципом законности назначаются соответствующие меры наказания. В 2020 году число подтвержденных жертв торговли людьми снизилось до 13 против 78 в 2019 году, в то </w:t>
      </w:r>
      <w:r w:rsidRPr="00F11E24">
        <w:lastRenderedPageBreak/>
        <w:t>время как за период 2018–2019 годов оно увеличилось на 26</w:t>
      </w:r>
      <w:r w:rsidR="00E420CE" w:rsidRPr="00E420CE">
        <w:t xml:space="preserve"> </w:t>
      </w:r>
      <w:r w:rsidRPr="00F11E24">
        <w:t>%. В октябре 2021 года должны были появиться данные судов первой инстанции в отношении 2020 уголовных дел, связанных с торговлей людьми. Кроме того, в 2020 году жертвам торговли людьми было выдано 20 видов на жительство против 7 в 2017 году.</w:t>
      </w:r>
    </w:p>
    <w:p w14:paraId="579B1429" w14:textId="77777777" w:rsidR="00F11E24" w:rsidRPr="00062725" w:rsidRDefault="00F11E24" w:rsidP="00F11E24">
      <w:pPr>
        <w:pStyle w:val="af3"/>
        <w:spacing w:after="120" w:line="240" w:lineRule="exact"/>
        <w:ind w:left="1134" w:right="1134" w:firstLine="567"/>
        <w:contextualSpacing w:val="0"/>
        <w:jc w:val="both"/>
        <w:rPr>
          <w:rFonts w:eastAsiaTheme="minorEastAsia"/>
          <w:lang w:val="ru-RU"/>
        </w:rPr>
      </w:pPr>
      <w:r>
        <w:rPr>
          <w:lang w:val="ru-RU"/>
        </w:rPr>
        <w:t>Генеральный прокурор издала директиву № 1/2021, которая адресована как прокурорам, так и сотрудникам криминальной полиции, и в которой, в частности, говорится, что преступления, связанные с торговлей людьми, подлежат оценке, мониторингу и контролю со стороны ее кабинета и Управления по делам семьи, молодежи и детей. Кроме того, эта Директива содержит оперативные инструкции для прокуроров по руководству уголовным расследованием, а также по поощрению и защите прав жертв преступлений.</w:t>
      </w:r>
    </w:p>
    <w:p w14:paraId="7361596F" w14:textId="13C8C2E9" w:rsidR="00F11E24" w:rsidRPr="00062725" w:rsidRDefault="00F11E24" w:rsidP="00F11E24">
      <w:pPr>
        <w:pStyle w:val="af3"/>
        <w:spacing w:after="120" w:line="240" w:lineRule="exact"/>
        <w:ind w:left="1134" w:right="1134" w:firstLine="567"/>
        <w:contextualSpacing w:val="0"/>
        <w:jc w:val="both"/>
        <w:rPr>
          <w:rFonts w:eastAsiaTheme="minorEastAsia"/>
          <w:lang w:val="ru-RU"/>
        </w:rPr>
      </w:pPr>
      <w:r>
        <w:rPr>
          <w:lang w:val="ru-RU"/>
        </w:rPr>
        <w:t xml:space="preserve">Было проведено исследование, посвященное искам о возмещении ущерба, которые были поданы прокуратурой от имени жертв, а также использованию правовых инструментов для конфискации доходов, полученных преступным путем. </w:t>
      </w:r>
      <w:r w:rsidR="00E420CE">
        <w:rPr>
          <w:lang w:val="ru-RU"/>
        </w:rPr>
        <w:br/>
      </w:r>
      <w:r>
        <w:rPr>
          <w:lang w:val="ru-RU"/>
        </w:rPr>
        <w:t>В 2020–2021 годах Генеральная прокуратура совместно с Органом по мониторингу ситуации в сфере торговли людьми, криминальной полицией и Иммиграционной и пограничной службой провела работу по выявлению сетей торговли людьми, действующих в Португалии.</w:t>
      </w:r>
    </w:p>
    <w:p w14:paraId="78B0F0C8" w14:textId="17EA107B" w:rsidR="00F11E24" w:rsidRPr="00062725" w:rsidRDefault="00E420CE" w:rsidP="00F11E24">
      <w:pPr>
        <w:pStyle w:val="af3"/>
        <w:spacing w:after="120" w:line="240" w:lineRule="exact"/>
        <w:ind w:left="1134" w:right="1134" w:firstLine="1"/>
        <w:contextualSpacing w:val="0"/>
        <w:jc w:val="both"/>
        <w:rPr>
          <w:lang w:val="ru-RU"/>
        </w:rPr>
      </w:pPr>
      <w:r>
        <w:rPr>
          <w:lang w:val="ru-RU"/>
        </w:rPr>
        <w:tab/>
      </w:r>
      <w:r w:rsidR="00F11E24">
        <w:rPr>
          <w:lang w:val="ru-RU"/>
        </w:rPr>
        <w:t>Что касается торговли людьми в целях трудовой эксплуатации и принудительного труда, то Управление по инспекции условий труда проводит инспекционные мероприятия с целью выявления нарушений в секторах экономики. Приказом № 138-Э/2021 от 1 июля 2021 года утверждены новые образцы документов, выдаваемых жертвам с целью подтверждения их статуса жертвы, в том числе в случаях торговли людьми, и оказания им эффективной помощи для лучшего понимания ими своих законных прав.</w:t>
      </w:r>
    </w:p>
    <w:p w14:paraId="3712136E" w14:textId="6489A6B1" w:rsidR="00F11E24" w:rsidRPr="00F11E24" w:rsidRDefault="00F11E24" w:rsidP="00F11E24">
      <w:pPr>
        <w:spacing w:after="120" w:line="240" w:lineRule="exact"/>
        <w:ind w:left="1135" w:right="1134" w:firstLine="566"/>
        <w:jc w:val="both"/>
      </w:pPr>
      <w:r>
        <w:rPr>
          <w:lang w:val="en-US"/>
        </w:rPr>
        <w:t>b</w:t>
      </w:r>
      <w:r w:rsidRPr="00F11E24">
        <w:t>)</w:t>
      </w:r>
      <w:r>
        <w:tab/>
      </w:r>
      <w:r w:rsidRPr="00F11E24">
        <w:t xml:space="preserve">Инспекторы Управления по инспекции условий труда регулярно проходят подготовку по вопросам, касающимся торговли людьми. В 2020 году подготовку по вопросам торговли людьми в целях трудовой эксплуатации и принудительного труда прошли 80 новых инспекторов труда, что на 45 инспекторов больше, чем в 2019 году. В 2020 и 2021 годах Орган по мониторингу ситуации в сфере торговли людьми организовал несколько курсов подготовки для различных специалистов, в том числе для сотрудников Национальной республиканской гвардии, структур поддержки мигрантов и медицинских служб. Полиция общественной безопасности проводит ряд специальных учебных курсов по вопросам торговли людьми для сотрудников полиции. В 2020 году 100 сотрудников уголовной полиции, Иммиграционной и пограничной службы, а также консульских учреждений прошли подготовку по вопросам торговли людьми. Судьи и прокуроры проходят соответствующую подготовку в рамках обширной программы обучения после зачисления по итогам открытых конкурсов и могут участвовать в семинарах, конференциях и электронных обучающих платформах для дальнейшего повышения своей квалификации. </w:t>
      </w:r>
    </w:p>
    <w:p w14:paraId="4B8036A8" w14:textId="36523972" w:rsidR="00F11E24" w:rsidRPr="00062725" w:rsidRDefault="00F11E24" w:rsidP="00F11E24">
      <w:pPr>
        <w:pStyle w:val="af3"/>
        <w:spacing w:after="120" w:line="240" w:lineRule="exact"/>
        <w:ind w:left="1134" w:right="1134"/>
        <w:contextualSpacing w:val="0"/>
        <w:jc w:val="both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>В апреле 2021 года рабочая группа Органа по мониторингу ситуации в сфере торговли людьми разработала протокол, устанавливающий порядок предотвращения, выявления и защиты детей, ставших жертвами торговли людьми. Протокол предусматривает создание механизма оказания поддержки, который призван содействовать предотвращению и выявлению случаев торговли детьми, а также обеспечивать поддержку и защиту детей, которые предположительно являются жертвами торговли людьми. Он консолидирует и укрепляет механизмы координации, сотрудничества и коммуникации между соответствующими специалистами, а также гарантирует соблюдение принципа наилучшего обеспечения интересов ребенка на протяжении всего процесса. Оперативные задачи включают определение целевой группы специалистов, которые должны быть вовлечены в этот процесс, повышение уровня их подготовки и расширение их доступа к информации для обеспечения применения более активного подхода к выявлению детей-жертв.</w:t>
      </w:r>
    </w:p>
    <w:p w14:paraId="10BDA0C1" w14:textId="0F44B7ED" w:rsidR="00F11E24" w:rsidRPr="00F11E24" w:rsidRDefault="00F11E24" w:rsidP="00F11E24">
      <w:pPr>
        <w:spacing w:after="120" w:line="240" w:lineRule="exact"/>
        <w:ind w:left="1134" w:right="1134"/>
        <w:jc w:val="both"/>
        <w:rPr>
          <w:rFonts w:eastAsiaTheme="minorEastAsia"/>
        </w:rPr>
      </w:pPr>
      <w:r>
        <w:rPr>
          <w:lang w:val="en-US"/>
        </w:rPr>
        <w:tab/>
      </w:r>
      <w:r>
        <w:rPr>
          <w:lang w:val="en-US"/>
        </w:rPr>
        <w:tab/>
        <w:t>c</w:t>
      </w:r>
      <w:r w:rsidRPr="00F11E24">
        <w:t>)</w:t>
      </w:r>
      <w:r w:rsidRPr="00F11E24">
        <w:tab/>
      </w:r>
      <w:r w:rsidRPr="00F11E24">
        <w:t>Никакой информации представлено не было.</w:t>
      </w:r>
    </w:p>
    <w:p w14:paraId="55CCB7CC" w14:textId="77777777" w:rsidR="00F11E24" w:rsidRPr="008A356D" w:rsidRDefault="00F11E24" w:rsidP="00F11E24">
      <w:pPr>
        <w:pStyle w:val="H23G"/>
        <w:rPr>
          <w:rFonts w:eastAsiaTheme="minorEastAsia"/>
        </w:rPr>
      </w:pPr>
      <w:r>
        <w:lastRenderedPageBreak/>
        <w:tab/>
      </w:r>
      <w:r>
        <w:tab/>
      </w:r>
      <w:r>
        <w:rPr>
          <w:bCs/>
        </w:rPr>
        <w:t>Оценка Комитета</w:t>
      </w:r>
    </w:p>
    <w:p w14:paraId="29B3E2FB" w14:textId="77777777" w:rsidR="00F11E24" w:rsidRPr="009725E7" w:rsidRDefault="00F11E24" w:rsidP="00F11E24">
      <w:pPr>
        <w:pStyle w:val="SingleTxtG"/>
      </w:pPr>
      <w:r>
        <w:t>[B]: a)</w:t>
      </w:r>
    </w:p>
    <w:p w14:paraId="751770CD" w14:textId="35BCF786" w:rsidR="00F11E24" w:rsidRPr="00062725" w:rsidRDefault="00F11E24" w:rsidP="00F11E24">
      <w:pPr>
        <w:pStyle w:val="SingleTxtG"/>
      </w:pPr>
      <w:r>
        <w:tab/>
      </w:r>
      <w:r>
        <w:t>Комитет приветствует издание Генеральным прокурором Директивы № 1/2021 с оперативными инструкциями для прокуроров, которые направлены, в частности, на улучшение межведомственной координации при проведении расследований, уделение особого внимания делам о торговле людьми с участием детей-жертв и включение мер по предотвращению повторной виктимизации. Он также отмечает неуклонный рост числа видов на жительство, выдаваемых жертвам торговли людьми. Тем не менее Комитет выражает сожаление по поводу уменьшения в 2020 году числа подтвержденных жертв и просит представить информацию об общем количестве расследований, которые были начаты по подозрению в совершении преступлений, связанных с торговлей людьми, и о результатах этих расследований, в том числе о количеств</w:t>
      </w:r>
      <w:r w:rsidR="00E420CE">
        <w:t>е</w:t>
      </w:r>
      <w:r>
        <w:t xml:space="preserve"> возбужденных уголовных дел и соответствующих наказаниях, а также информацию о полном возмещении, предоставленном жертвам.</w:t>
      </w:r>
    </w:p>
    <w:p w14:paraId="1F4F5C77" w14:textId="77777777" w:rsidR="00F11E24" w:rsidRPr="00062725" w:rsidRDefault="00F11E24" w:rsidP="00F11E24">
      <w:pPr>
        <w:pStyle w:val="SingleTxtG"/>
      </w:pPr>
      <w:r>
        <w:t>[A]: b)</w:t>
      </w:r>
    </w:p>
    <w:p w14:paraId="429AFB9A" w14:textId="660795C0" w:rsidR="00F11E24" w:rsidRPr="00062725" w:rsidRDefault="00F11E24" w:rsidP="00F11E24">
      <w:pPr>
        <w:pStyle w:val="SingleTxtG"/>
      </w:pPr>
      <w:r>
        <w:tab/>
      </w:r>
      <w:r>
        <w:t>Комитет приветствует разработку протокола, устанавливающего порядок предотвращения, выявления и защиты детей, ставших жертвами торговли людьми, а также информацию о программах подготовки, осуществляемых Органом по мониторингу ситуации в сфере торговли людьми. Он принимает к сведению информацию о специальной подготовке по вопросам торговли людьми, которую проходят сотрудники полиции общественной безопасности, о подготовке сотрудников Иммиграционной и пограничной службы и консульских учреждений, а также о семинарах и электронных обучающих платформах, предоставляемых в распоряжение судей и прокуроров. Комитет просит представить конкретную информацию о модулях по вопросам торговли людьми, которые включены в обязательную подготовку судей и прокуроров, а также дополнительные данные о количестве судей и прокуроров, принявших участие в семинарах и электронных обучающих платформах по вопросам торговли людьми.</w:t>
      </w:r>
    </w:p>
    <w:p w14:paraId="4EB30987" w14:textId="77777777" w:rsidR="00F11E24" w:rsidRPr="00062725" w:rsidRDefault="00F11E24" w:rsidP="00F11E24">
      <w:pPr>
        <w:pStyle w:val="SingleTxtG"/>
      </w:pPr>
      <w:r>
        <w:t>[C]: c)</w:t>
      </w:r>
    </w:p>
    <w:p w14:paraId="45815DEE" w14:textId="4C08E408" w:rsidR="00F11E24" w:rsidRPr="008A356D" w:rsidRDefault="00F11E24" w:rsidP="00F11E24">
      <w:pPr>
        <w:pStyle w:val="SingleTxtG"/>
        <w:rPr>
          <w:rFonts w:eastAsiaTheme="minorEastAsia"/>
          <w:b/>
          <w:bCs/>
        </w:rPr>
      </w:pPr>
      <w:r>
        <w:tab/>
      </w:r>
      <w:r>
        <w:t>Комитет выражает сожаление по поводу отсутствия информации о мерах, принятых для обеспечения жертвам торговли людьми доступа к процедурам предоставления убежища, в рамках которых могут быть определены их потенциальные потребности. Поэтому он подтверждает свою прежнюю рекомендацию.</w:t>
      </w:r>
    </w:p>
    <w:p w14:paraId="0EFD3DCB" w14:textId="77777777" w:rsidR="00F11E24" w:rsidRPr="008A356D" w:rsidRDefault="00F11E24" w:rsidP="00F11E24">
      <w:pPr>
        <w:pStyle w:val="H1G"/>
      </w:pPr>
      <w:r>
        <w:tab/>
      </w:r>
      <w:r>
        <w:tab/>
      </w:r>
      <w:r>
        <w:rPr>
          <w:bCs/>
        </w:rPr>
        <w:t>Пункт 37: Несопровождаемые несовершеннолетние</w:t>
      </w:r>
    </w:p>
    <w:p w14:paraId="24384F6B" w14:textId="561E653F" w:rsidR="00F11E24" w:rsidRPr="00FA275A" w:rsidRDefault="00F11E24" w:rsidP="00F11E24">
      <w:pPr>
        <w:pStyle w:val="af3"/>
        <w:spacing w:before="240" w:after="120" w:line="240" w:lineRule="exact"/>
        <w:ind w:left="1134" w:right="1134"/>
        <w:contextualSpacing w:val="0"/>
        <w:jc w:val="both"/>
        <w:rPr>
          <w:rFonts w:eastAsiaTheme="minorEastAsia"/>
          <w:b/>
          <w:bCs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>
        <w:rPr>
          <w:b/>
          <w:bCs/>
          <w:lang w:val="ru-RU"/>
        </w:rPr>
        <w:t>Государству-участнику следует обеспечить, чтобы дети и несопровождаемые несовершеннолетние содержались под стражей только в качестве крайней меры и на максимально короткий срок с учетом наилучшего обеспечения их интересов в качестве основного соображения при определении продолжительности и условий содержания под стражей и их особой потребности в заботе.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>Ему следует обеспечить, чтобы физические условия во всех центрах содержания под стражей и приема мигрантов соответствовали международным стандартам.</w:t>
      </w:r>
      <w:r>
        <w:rPr>
          <w:lang w:val="ru-RU"/>
        </w:rPr>
        <w:t xml:space="preserve"> </w:t>
      </w:r>
      <w:r>
        <w:rPr>
          <w:b/>
          <w:bCs/>
          <w:lang w:val="ru-RU"/>
        </w:rPr>
        <w:t xml:space="preserve">Ему следует также обеспечить гарантии защиты детей </w:t>
      </w:r>
      <w:r w:rsidR="00E420CE">
        <w:rPr>
          <w:b/>
          <w:bCs/>
          <w:lang w:val="ru-RU"/>
        </w:rPr>
        <w:t>—</w:t>
      </w:r>
      <w:r>
        <w:rPr>
          <w:b/>
          <w:bCs/>
          <w:lang w:val="ru-RU"/>
        </w:rPr>
        <w:t xml:space="preserve"> просителей убежища, в частности несопровождаемых детей, благодаря организации доступа к надлежащему образованию, здравоохранению, социальным и психологическим услугам и правовой помощи, а также безотлагательному предоставлению им законного представителя и/или опекуна.</w:t>
      </w:r>
      <w:bookmarkStart w:id="2" w:name="_Hlk133485469"/>
      <w:bookmarkEnd w:id="2"/>
    </w:p>
    <w:p w14:paraId="1F4B77F7" w14:textId="77777777" w:rsidR="00F11E24" w:rsidRPr="00062725" w:rsidRDefault="00F11E24" w:rsidP="00F11E24">
      <w:pPr>
        <w:pStyle w:val="H23G"/>
        <w:rPr>
          <w:rFonts w:eastAsiaTheme="minorEastAsia"/>
        </w:rPr>
      </w:pPr>
      <w:r>
        <w:tab/>
      </w:r>
      <w:r>
        <w:tab/>
      </w:r>
      <w:r>
        <w:rPr>
          <w:bCs/>
        </w:rPr>
        <w:t>Резюме информации, полученной от государства-участника</w:t>
      </w:r>
    </w:p>
    <w:p w14:paraId="2D460C22" w14:textId="1927E2C9" w:rsidR="00F11E24" w:rsidRPr="00FA275A" w:rsidRDefault="00F11E24" w:rsidP="00F11E24">
      <w:pPr>
        <w:spacing w:after="120" w:line="240" w:lineRule="exact"/>
        <w:ind w:left="1134" w:right="1134"/>
        <w:jc w:val="both"/>
      </w:pPr>
      <w:r>
        <w:tab/>
      </w:r>
      <w:r>
        <w:tab/>
      </w:r>
      <w:r>
        <w:t xml:space="preserve">Иммиграционная и пограничная служба не задерживает сопровождаемых или несопровождаемых несовершеннолетних ни на одном из пограничных пунктов. </w:t>
      </w:r>
      <w:r w:rsidR="00E420CE">
        <w:br/>
      </w:r>
      <w:r>
        <w:t xml:space="preserve">В соответствии с приказом Министра внутренних дел от 31 июля 2020 года </w:t>
      </w:r>
      <w:r w:rsidR="00E420CE">
        <w:br/>
        <w:t>«</w:t>
      </w:r>
      <w:r>
        <w:t xml:space="preserve">Об утверждении Положения о центрах временного размещения и приравненных к </w:t>
      </w:r>
      <w:r>
        <w:lastRenderedPageBreak/>
        <w:t>ним учреждениях</w:t>
      </w:r>
      <w:r w:rsidR="00E420CE">
        <w:t xml:space="preserve">» </w:t>
      </w:r>
      <w:r>
        <w:t>дети не подлежат содержанию под стражей. Сопровождаемые дети размещаются вместе с родителями или опекунами, но ни в коем случае не задерживаются. Все несопровождаемые несовершеннолетние должны пользоваться процедурой, основанной на правах человека, как это предусмотрено законом о защите детей и подростков, находящихся в опасности, включая поощрение и защиту их прав на здоровье, образование и социальное обеспечение. При въезде в страну несопровождаемого несовершеннолетнего начинают действовать две процедуры: судебная процедура защиты или опеки и административная процедура предоставления международной защиты. Уход за детьми и подростками осуществляется в домах-интернатах. В соответствии с Декретом-законом № 164/2019, который вступил в силу с января 2020 года, интернаты должны иметь соответствующие помещения, оборудование и персонал, чтобы иметь возможность обеспечить детям надлежащий уход, в том числе удовлетворять особые потребности детей с различными языковыми, культурными, религиозными и социальными особенностями.</w:t>
      </w:r>
    </w:p>
    <w:p w14:paraId="734C402D" w14:textId="2A33FA35" w:rsidR="00F11E24" w:rsidRPr="008A356D" w:rsidRDefault="00F11E24" w:rsidP="00F11E24">
      <w:pPr>
        <w:spacing w:after="120" w:line="240" w:lineRule="exact"/>
        <w:ind w:left="1134" w:right="1134"/>
        <w:jc w:val="both"/>
      </w:pPr>
      <w:r>
        <w:tab/>
      </w:r>
      <w:r>
        <w:tab/>
      </w:r>
      <w:r>
        <w:t xml:space="preserve">Детям, прибывшим на пограничный пункт в поисках международной защиты, и детям, имеющим право на такую защиту, назначается представитель в соответствии с процедурой защиты. В соответствии с приказом Министерства иностранных </w:t>
      </w:r>
      <w:r w:rsidR="00E420CE">
        <w:br/>
      </w:r>
      <w:r>
        <w:t xml:space="preserve">дел № 103/2020 создана единая система для лиц, ищущих международную защиту и имеющих на нее право. Пограничные службы отвечают за обеспечение первоначальной защиты несопровождаемых несовершеннолетних, после чего эту функцию берут на себя службы социального обеспечения. В 2019 году в центрах приема было размещено 86 несопровождаемых несовершеннолетних. </w:t>
      </w:r>
    </w:p>
    <w:p w14:paraId="4F46F7A8" w14:textId="1049B195" w:rsidR="00F11E24" w:rsidRPr="00FA275A" w:rsidRDefault="00F11E24" w:rsidP="00F11E24">
      <w:pPr>
        <w:spacing w:after="120" w:line="240" w:lineRule="exact"/>
        <w:ind w:left="1134" w:right="1134"/>
        <w:jc w:val="both"/>
      </w:pPr>
      <w:r>
        <w:tab/>
      </w:r>
      <w:r>
        <w:tab/>
      </w:r>
      <w:r>
        <w:t xml:space="preserve">В ответ на прозвучавший в марте 2020 года призыв Европейской комиссии, в котором государствам </w:t>
      </w:r>
      <w:r w:rsidR="00E420CE">
        <w:t>—</w:t>
      </w:r>
      <w:r>
        <w:t xml:space="preserve"> членам Европейского союза было предложено принять детей в особо уязвимом положении, проживавших в Греции, была создана междисциплинарная рабочая группа. Она разработала модель приема и интеграции, чтобы обеспечить психологическую, социальную и культурную поддержку несопровождаемым несовершеннолетним, переехавшим в Португалию из Греции с 2020 года, с целью их интеграции. В координации с различными органами власти были разработаны национальные стандартные операционные процедуры для обеспечения применения комплексного и всеобъемлющего подхода, гарантирующего защиту детей. Междисциплинарная рабочая группа проводит регулярные совещания, чтобы гарантировать мониторинг и оценку процесса интеграции детей и обеспечить принятие надлежащих и учитывающих интересы детей мер реагирования для удовлетворения потребностей детей-беженцев в таких областях, как здравоохранение, образование, профессиональная подготовка, социализация и интеграция в общество.</w:t>
      </w:r>
    </w:p>
    <w:p w14:paraId="7097C4DD" w14:textId="77777777" w:rsidR="00F11E24" w:rsidRPr="00062725" w:rsidRDefault="00F11E24" w:rsidP="00F11E24">
      <w:pPr>
        <w:pStyle w:val="H23G"/>
        <w:rPr>
          <w:rFonts w:eastAsiaTheme="minorEastAsia"/>
        </w:rPr>
      </w:pPr>
      <w:bookmarkStart w:id="3" w:name="_Hlk124687106"/>
      <w:r>
        <w:tab/>
      </w:r>
      <w:r>
        <w:tab/>
      </w:r>
      <w:r>
        <w:rPr>
          <w:bCs/>
        </w:rPr>
        <w:t>Оценка Комитета</w:t>
      </w:r>
      <w:bookmarkEnd w:id="3"/>
    </w:p>
    <w:p w14:paraId="09685484" w14:textId="77777777" w:rsidR="00F11E24" w:rsidRPr="00062725" w:rsidRDefault="00F11E24" w:rsidP="00F11E24">
      <w:pPr>
        <w:pStyle w:val="SingleTxtG"/>
        <w:rPr>
          <w:bCs/>
        </w:rPr>
      </w:pPr>
      <w:r>
        <w:t>[B]</w:t>
      </w:r>
    </w:p>
    <w:p w14:paraId="027EF3BE" w14:textId="51754BA7" w:rsidR="00F11E24" w:rsidRPr="00062725" w:rsidRDefault="00F11E24" w:rsidP="00F11E24">
      <w:pPr>
        <w:pStyle w:val="SingleTxtG"/>
        <w:rPr>
          <w:bCs/>
        </w:rPr>
      </w:pPr>
      <w:r>
        <w:tab/>
      </w:r>
      <w:r>
        <w:t>Комитет приветствует информацию о мерах, принимаемых для того, чтобы несопровождаемые несовершеннолетние не заключались под стражу. Он также приветствует создание единой системы для лиц, ищущих и пользующихся международной защитой, и стандартных операционных процедур для обеспечения комплексного и всеобъемлющего подхода, обеспечивающего защиту детей. Комитет просит представить информацию о мерах, принятых в отчетный период для обеспечения соответствия физических условий во всех центрах временного содержания иммигрантов и приема беженцев международным стандартам, в том числе о том, существуют ли какие-либо механизмы для обеспечения надлежащего и независимого мониторинга этих центров.</w:t>
      </w:r>
    </w:p>
    <w:p w14:paraId="5B5984CE" w14:textId="77777777" w:rsidR="00F11E24" w:rsidRPr="00062725" w:rsidRDefault="00F11E24" w:rsidP="00F11E24">
      <w:pPr>
        <w:pStyle w:val="H1G"/>
      </w:pPr>
      <w:r>
        <w:lastRenderedPageBreak/>
        <w:tab/>
      </w:r>
      <w:r>
        <w:tab/>
      </w:r>
      <w:r>
        <w:rPr>
          <w:bCs/>
        </w:rPr>
        <w:t>Пункт 41: Содержание под стражей до суда</w:t>
      </w:r>
    </w:p>
    <w:p w14:paraId="1448C94E" w14:textId="1BEF7500" w:rsidR="00F11E24" w:rsidRPr="00062725" w:rsidRDefault="00F11E24" w:rsidP="00F11E24">
      <w:pPr>
        <w:pStyle w:val="H23G"/>
        <w:jc w:val="both"/>
        <w:rPr>
          <w:rFonts w:eastAsiaTheme="minorEastAsia"/>
        </w:rPr>
      </w:pPr>
      <w:r>
        <w:tab/>
      </w:r>
      <w:r>
        <w:tab/>
      </w:r>
      <w:r>
        <w:tab/>
      </w:r>
      <w:r>
        <w:tab/>
      </w:r>
      <w:r>
        <w:rPr>
          <w:bCs/>
        </w:rPr>
        <w:t>Ссылаясь на свои предыдущие рекомендации</w:t>
      </w:r>
      <w:r w:rsidRPr="008B7591">
        <w:rPr>
          <w:rStyle w:val="aa"/>
          <w:rFonts w:eastAsiaTheme="minorEastAsia"/>
          <w:b w:val="0"/>
          <w:bCs/>
        </w:rPr>
        <w:footnoteReference w:id="2"/>
      </w:r>
      <w:r>
        <w:rPr>
          <w:bCs/>
        </w:rPr>
        <w:t>, Комитет рекомендует государству-участнику принять дополнительные меры для обеспечения того, чтобы содержание под стражей до суда использовалось лишь в качестве крайней меры и в течение как можно более короткого периода времени в соответствии с положениями Пакта, и чтобы решение о нем пересматривалось на регулярной основе.</w:t>
      </w:r>
      <w:r>
        <w:t xml:space="preserve"> </w:t>
      </w:r>
      <w:r>
        <w:rPr>
          <w:bCs/>
        </w:rPr>
        <w:t>Государству-участнику следует и далее поощрять альтернативные меры, не связанные с лишением свободы, и применять эти меры на систематической основе, а также сократить продолжительность расследований и принять меры по повышению эффективности судебной системы.</w:t>
      </w:r>
    </w:p>
    <w:p w14:paraId="475F601F" w14:textId="77777777" w:rsidR="00F11E24" w:rsidRPr="00062725" w:rsidRDefault="00F11E24" w:rsidP="00F11E24">
      <w:pPr>
        <w:spacing w:before="240" w:after="120"/>
        <w:rPr>
          <w:rFonts w:eastAsiaTheme="minorEastAsia"/>
          <w:b/>
          <w:bCs/>
        </w:rPr>
      </w:pPr>
      <w:r>
        <w:tab/>
      </w:r>
      <w:r>
        <w:tab/>
      </w:r>
      <w:r>
        <w:rPr>
          <w:b/>
          <w:bCs/>
        </w:rPr>
        <w:t>Резюме информации, полученной от государства-участника</w:t>
      </w:r>
    </w:p>
    <w:p w14:paraId="30F7543D" w14:textId="722E5294" w:rsidR="00F11E24" w:rsidRPr="00FA275A" w:rsidRDefault="00F11E24" w:rsidP="00F11E24">
      <w:pPr>
        <w:spacing w:after="120" w:line="240" w:lineRule="exact"/>
        <w:ind w:left="1134" w:right="1134"/>
        <w:jc w:val="both"/>
      </w:pPr>
      <w:r>
        <w:tab/>
      </w:r>
      <w:r>
        <w:tab/>
      </w:r>
      <w:r>
        <w:t xml:space="preserve">Содержание под стражей до суда в Португалии является исключительной мерой, применяемой в качестве крайнего средства, когда менее строгие меры не являются адекватными, достаточными или соразмерными обстоятельствам дела. Применение меры пресечения в виде заключения под стражу до суда должно пересматриваться каждые три месяца, а также по ходатайству прокуратуры или ex officio судом при появлении новых данных, свидетельствующих об изменении требований. Органы прокуратуры издают приказы и рекомендации в целях обеспечения надлежащего рассмотрения дел лиц, находящихся под стражей до суда, недопущения превышения максимального срока содержания под стражей до суда и соблюдения сроков обязательного пересмотра. </w:t>
      </w:r>
    </w:p>
    <w:p w14:paraId="1B676CDF" w14:textId="2F20AB53" w:rsidR="00F11E24" w:rsidRPr="00FA275A" w:rsidRDefault="00F11E24" w:rsidP="00F11E24">
      <w:pPr>
        <w:spacing w:after="120" w:line="240" w:lineRule="exact"/>
        <w:ind w:left="1134" w:right="1134"/>
        <w:jc w:val="both"/>
      </w:pPr>
      <w:r>
        <w:tab/>
      </w:r>
      <w:r>
        <w:tab/>
      </w:r>
      <w:r>
        <w:t xml:space="preserve">В связи с пандемией коронавирусного заболевания (COVID-19) был принят Закон № 9/2020, предусматривающий пересмотр в исключительных случаях дел о заключении под стражу до суда, в частности обвиняемых в возрасте старше 65 лет, имеющих физические или психические заболевания или степень самостоятельности, несовместимую с пребыванием в тюрьме. В целях содействия скорейшему исполнению этого Закона Генеральный прокурор издала две директивы, которые предписывают прокурорам заново рассмотреть необходимость, адекватность и соразмерность применения меры пресечения в виде заключения под стражу до суда, особенно с учетом особого риска для здоровья и жизни задержанных, а также разрешают в соответствующих случаях применять домашний арест в сочетании с использованием электронных средств наблюдения. В соответствии с этим Законом, действие которого также распространялось на военный изолятор, </w:t>
      </w:r>
      <w:r w:rsidR="00EE0E35">
        <w:t>«</w:t>
      </w:r>
      <w:r>
        <w:t>исключительное разрешение на освобождение</w:t>
      </w:r>
      <w:r w:rsidR="00EE0E35">
        <w:t>»</w:t>
      </w:r>
      <w:r>
        <w:t xml:space="preserve"> из предварительного заключения получили более </w:t>
      </w:r>
      <w:r w:rsidR="00EE0E35">
        <w:br/>
      </w:r>
      <w:r>
        <w:t>2000 человек.</w:t>
      </w:r>
    </w:p>
    <w:p w14:paraId="69C87024" w14:textId="4D54AEC8" w:rsidR="00F11E24" w:rsidRPr="00062725" w:rsidRDefault="00F11E24" w:rsidP="00F11E24">
      <w:pPr>
        <w:spacing w:after="120" w:line="240" w:lineRule="exact"/>
        <w:ind w:left="1134" w:right="1134"/>
        <w:jc w:val="both"/>
        <w:rPr>
          <w:rFonts w:eastAsiaTheme="minorEastAsia"/>
        </w:rPr>
      </w:pPr>
      <w:r>
        <w:tab/>
      </w:r>
      <w:r>
        <w:tab/>
      </w:r>
      <w:r>
        <w:t>В период 2019–2021 годов на основе открытых конкурсов на работу было принято 320 новых судей и прокуроров, а также 100 новых инспекторов криминальной полиции, что позволило решить проблему нехватки кадров и тем самым сократить продолжительность расследований и судебных процедур.</w:t>
      </w:r>
    </w:p>
    <w:p w14:paraId="4982F9B5" w14:textId="77777777" w:rsidR="00F11E24" w:rsidRPr="008A356D" w:rsidRDefault="00F11E24" w:rsidP="00F11E24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14:paraId="40B26C6C" w14:textId="77777777" w:rsidR="00F11E24" w:rsidRPr="008A356D" w:rsidRDefault="00F11E24" w:rsidP="00F11E24">
      <w:pPr>
        <w:pStyle w:val="SingleTxtG"/>
        <w:rPr>
          <w:bCs/>
        </w:rPr>
      </w:pPr>
      <w:r>
        <w:t>[A]</w:t>
      </w:r>
    </w:p>
    <w:p w14:paraId="17F632A5" w14:textId="44C21455" w:rsidR="00F11E24" w:rsidRPr="00FA275A" w:rsidRDefault="00F11E24" w:rsidP="00F11E24">
      <w:pPr>
        <w:pStyle w:val="SingleTxtG"/>
      </w:pPr>
      <w:r>
        <w:tab/>
      </w:r>
      <w:r>
        <w:t>Комитет приветствует информацию о приеме на работу новых судей, прокуроров и инспекторов, а также о принятии и применении Закона № 9/2020 и соответствующих директив Генерального прокурора, предписывающих пересматривать в исключительных случаях дела о предварительном заключении в контексте пандемии COVID-19. Комитет просит представить статистическую информацию о количестве заключенных, содержащихся под стражей до суда, продолжительности такого содержания под стражей и количестве заключенных, которым были предложены альтернативные меры, не связанные с лишением свободы, в разбивке по пенитенциарным заведениям. Комитет также просит представить дополнительную информацию о том, были ли предприняты или запланированы какие-</w:t>
      </w:r>
      <w:r>
        <w:lastRenderedPageBreak/>
        <w:t xml:space="preserve">либо шаги для обеспечения того, чтобы меры, предусмотренные Законом № 9/2020, и исключительный пересмотр дел о предварительном заключении были распространены за пределы контекста пандемии и применялись на систематической основе. </w:t>
      </w:r>
    </w:p>
    <w:p w14:paraId="5B019B63" w14:textId="42A92164" w:rsidR="00F11E24" w:rsidRPr="00062725" w:rsidRDefault="00F11E24" w:rsidP="00F11E24">
      <w:pPr>
        <w:pStyle w:val="SingleTxtG"/>
        <w:spacing w:before="240"/>
      </w:pPr>
      <w:r>
        <w:rPr>
          <w:b/>
          <w:bCs/>
        </w:rPr>
        <w:t>Рекомендуемые действия</w:t>
      </w:r>
      <w:r>
        <w:t>: следует направить письмо, извещающее государство-участник о прекращении процедуры последующей деятельности. Запрашиваемая информация должна быть включена в следующий периодический доклад государства-участника.</w:t>
      </w:r>
    </w:p>
    <w:p w14:paraId="67B30EB0" w14:textId="6D72CD65" w:rsidR="00F11E24" w:rsidRPr="00062725" w:rsidRDefault="00F11E24" w:rsidP="00F11E24">
      <w:pPr>
        <w:pStyle w:val="SingleTxtG"/>
      </w:pPr>
      <w:r>
        <w:rPr>
          <w:b/>
          <w:bCs/>
        </w:rPr>
        <w:t>Сроки представления следующего периодического доклада</w:t>
      </w:r>
      <w:r>
        <w:t>: 2027 год (страновой обзор в 2028 году в соответствии с планируемым циклом обзора).</w:t>
      </w:r>
    </w:p>
    <w:p w14:paraId="5B475B17" w14:textId="77777777" w:rsidR="00F11E24" w:rsidRPr="00062725" w:rsidRDefault="00F11E24" w:rsidP="00F11E24">
      <w:pPr>
        <w:spacing w:before="240"/>
        <w:jc w:val="center"/>
        <w:rPr>
          <w:u w:val="single"/>
        </w:rPr>
      </w:pPr>
      <w:r w:rsidRPr="00062725">
        <w:rPr>
          <w:u w:val="single"/>
        </w:rPr>
        <w:tab/>
      </w:r>
      <w:r w:rsidRPr="00062725">
        <w:rPr>
          <w:u w:val="single"/>
        </w:rPr>
        <w:tab/>
      </w:r>
      <w:r w:rsidRPr="00062725">
        <w:rPr>
          <w:u w:val="single"/>
        </w:rPr>
        <w:tab/>
      </w:r>
    </w:p>
    <w:p w14:paraId="40E2EC36" w14:textId="77B1BC4A" w:rsidR="00F11E24" w:rsidRDefault="00F11E24" w:rsidP="0075523D"/>
    <w:sectPr w:rsidR="00F11E24" w:rsidSect="00F11E24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5E2E64" w14:textId="77777777" w:rsidR="00B742ED" w:rsidRPr="00A312BC" w:rsidRDefault="00B742ED" w:rsidP="00A312BC"/>
  </w:endnote>
  <w:endnote w:type="continuationSeparator" w:id="0">
    <w:p w14:paraId="42602DD6" w14:textId="77777777" w:rsidR="00B742ED" w:rsidRPr="00A312BC" w:rsidRDefault="00B742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58F2D" w14:textId="27FD91EA" w:rsidR="00F11E24" w:rsidRPr="00F11E24" w:rsidRDefault="00F11E24">
    <w:pPr>
      <w:pStyle w:val="a8"/>
    </w:pPr>
    <w:r w:rsidRPr="00F11E24">
      <w:rPr>
        <w:b/>
        <w:sz w:val="18"/>
      </w:rPr>
      <w:fldChar w:fldCharType="begin"/>
    </w:r>
    <w:r w:rsidRPr="00F11E24">
      <w:rPr>
        <w:b/>
        <w:sz w:val="18"/>
      </w:rPr>
      <w:instrText xml:space="preserve"> PAGE  \* MERGEFORMAT </w:instrText>
    </w:r>
    <w:r w:rsidRPr="00F11E24">
      <w:rPr>
        <w:b/>
        <w:sz w:val="18"/>
      </w:rPr>
      <w:fldChar w:fldCharType="separate"/>
    </w:r>
    <w:r w:rsidRPr="00F11E24">
      <w:rPr>
        <w:b/>
        <w:noProof/>
        <w:sz w:val="18"/>
      </w:rPr>
      <w:t>2</w:t>
    </w:r>
    <w:r w:rsidRPr="00F11E24">
      <w:rPr>
        <w:b/>
        <w:sz w:val="18"/>
      </w:rPr>
      <w:fldChar w:fldCharType="end"/>
    </w:r>
    <w:r>
      <w:rPr>
        <w:b/>
        <w:sz w:val="18"/>
      </w:rPr>
      <w:tab/>
    </w:r>
    <w:r>
      <w:t>GE.23-15280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88C9F" w14:textId="12777E9F" w:rsidR="00F11E24" w:rsidRPr="00F11E24" w:rsidRDefault="00F11E24" w:rsidP="00F11E24">
    <w:pPr>
      <w:pStyle w:val="a8"/>
      <w:tabs>
        <w:tab w:val="clear" w:pos="9639"/>
        <w:tab w:val="right" w:pos="9638"/>
      </w:tabs>
      <w:rPr>
        <w:b/>
        <w:sz w:val="18"/>
      </w:rPr>
    </w:pPr>
    <w:r>
      <w:t>GE.23-15280</w:t>
    </w:r>
    <w:r>
      <w:tab/>
    </w:r>
    <w:r w:rsidRPr="00F11E24">
      <w:rPr>
        <w:b/>
        <w:sz w:val="18"/>
      </w:rPr>
      <w:fldChar w:fldCharType="begin"/>
    </w:r>
    <w:r w:rsidRPr="00F11E24">
      <w:rPr>
        <w:b/>
        <w:sz w:val="18"/>
      </w:rPr>
      <w:instrText xml:space="preserve"> PAGE  \* MERGEFORMAT </w:instrText>
    </w:r>
    <w:r w:rsidRPr="00F11E24">
      <w:rPr>
        <w:b/>
        <w:sz w:val="18"/>
      </w:rPr>
      <w:fldChar w:fldCharType="separate"/>
    </w:r>
    <w:r w:rsidRPr="00F11E24">
      <w:rPr>
        <w:b/>
        <w:noProof/>
        <w:sz w:val="18"/>
      </w:rPr>
      <w:t>3</w:t>
    </w:r>
    <w:r w:rsidRPr="00F11E2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1BBAF" w14:textId="35F9D972" w:rsidR="00042B72" w:rsidRPr="00F11E24" w:rsidRDefault="00F11E24" w:rsidP="00F11E2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62D4AA" wp14:editId="6C4519D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23-15280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93F1882" wp14:editId="4D9DBC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161023  231123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5F3B0" w14:textId="77777777" w:rsidR="00B742ED" w:rsidRPr="001075E9" w:rsidRDefault="00B742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7214754" w14:textId="77777777" w:rsidR="00B742ED" w:rsidRDefault="00B742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B7E636F" w14:textId="77777777" w:rsidR="00F11E24" w:rsidRPr="00062725" w:rsidRDefault="00F11E24" w:rsidP="00F11E24">
      <w:pPr>
        <w:pStyle w:val="ad"/>
      </w:pPr>
      <w:r>
        <w:tab/>
      </w:r>
      <w:r w:rsidRPr="00E420CE">
        <w:rPr>
          <w:sz w:val="20"/>
        </w:rPr>
        <w:t>*</w:t>
      </w:r>
      <w:r>
        <w:tab/>
        <w:t>Принят Комитетом на его 138-й сессии (26 июня — 26 июля 2023 года).</w:t>
      </w:r>
    </w:p>
  </w:footnote>
  <w:footnote w:id="2">
    <w:p w14:paraId="1AB9909D" w14:textId="0725B53F" w:rsidR="00F11E24" w:rsidRPr="00F11E24" w:rsidRDefault="00F11E24" w:rsidP="00F11E24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 w:rsidRPr="00062725">
        <w:rPr>
          <w:lang w:val="en-US"/>
        </w:rPr>
        <w:tab/>
      </w:r>
      <w:hyperlink r:id="rId1" w:history="1">
        <w:r w:rsidRPr="00F11E24">
          <w:rPr>
            <w:rStyle w:val="af1"/>
            <w:lang w:val="en-US"/>
          </w:rPr>
          <w:t>CCPR/C/PRT/CO/4</w:t>
        </w:r>
      </w:hyperlink>
      <w:r w:rsidRPr="00062725">
        <w:rPr>
          <w:lang w:val="en-US"/>
        </w:rPr>
        <w:t xml:space="preserve">, </w:t>
      </w:r>
      <w:r>
        <w:t>п</w:t>
      </w:r>
      <w:r>
        <w:rPr>
          <w:lang w:val="en-US"/>
        </w:rPr>
        <w:t>.</w:t>
      </w:r>
      <w:r w:rsidRPr="00062725">
        <w:rPr>
          <w:lang w:val="en-US"/>
        </w:rPr>
        <w:t xml:space="preserve"> 9.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5C49C" w14:textId="7CC71E26" w:rsidR="00F11E24" w:rsidRPr="00F11E24" w:rsidRDefault="00F11E24">
    <w:pPr>
      <w:pStyle w:val="a5"/>
    </w:pPr>
    <w:fldSimple w:instr=" TITLE  \* MERGEFORMAT ">
      <w:r w:rsidR="000B6D2D">
        <w:t>CCPR/C/138/2/Add.3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8A420" w14:textId="0FD7D7E6" w:rsidR="00F11E24" w:rsidRPr="00F11E24" w:rsidRDefault="00F11E24" w:rsidP="00F11E24">
    <w:pPr>
      <w:pStyle w:val="a5"/>
      <w:jc w:val="right"/>
    </w:pPr>
    <w:fldSimple w:instr=" TITLE  \* MERGEFORMAT ">
      <w:r w:rsidR="000B6D2D">
        <w:t>CCPR/C/138/2/Add.3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7EFD7D78"/>
    <w:multiLevelType w:val="hybridMultilevel"/>
    <w:tmpl w:val="A7E22048"/>
    <w:lvl w:ilvl="0" w:tplc="EEBA08B4">
      <w:start w:val="1"/>
      <w:numFmt w:val="lowerLetter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3348" w:hanging="360"/>
      </w:pPr>
    </w:lvl>
    <w:lvl w:ilvl="2" w:tplc="0809001B" w:tentative="1">
      <w:start w:val="1"/>
      <w:numFmt w:val="lowerRoman"/>
      <w:lvlText w:val="%3."/>
      <w:lvlJc w:val="right"/>
      <w:pPr>
        <w:ind w:left="4068" w:hanging="180"/>
      </w:pPr>
    </w:lvl>
    <w:lvl w:ilvl="3" w:tplc="0809000F" w:tentative="1">
      <w:start w:val="1"/>
      <w:numFmt w:val="decimal"/>
      <w:lvlText w:val="%4."/>
      <w:lvlJc w:val="left"/>
      <w:pPr>
        <w:ind w:left="4788" w:hanging="360"/>
      </w:pPr>
    </w:lvl>
    <w:lvl w:ilvl="4" w:tplc="08090019" w:tentative="1">
      <w:start w:val="1"/>
      <w:numFmt w:val="lowerLetter"/>
      <w:lvlText w:val="%5."/>
      <w:lvlJc w:val="left"/>
      <w:pPr>
        <w:ind w:left="5508" w:hanging="360"/>
      </w:pPr>
    </w:lvl>
    <w:lvl w:ilvl="5" w:tplc="0809001B" w:tentative="1">
      <w:start w:val="1"/>
      <w:numFmt w:val="lowerRoman"/>
      <w:lvlText w:val="%6."/>
      <w:lvlJc w:val="right"/>
      <w:pPr>
        <w:ind w:left="6228" w:hanging="180"/>
      </w:pPr>
    </w:lvl>
    <w:lvl w:ilvl="6" w:tplc="0809000F" w:tentative="1">
      <w:start w:val="1"/>
      <w:numFmt w:val="decimal"/>
      <w:lvlText w:val="%7."/>
      <w:lvlJc w:val="left"/>
      <w:pPr>
        <w:ind w:left="6948" w:hanging="360"/>
      </w:pPr>
    </w:lvl>
    <w:lvl w:ilvl="7" w:tplc="08090019" w:tentative="1">
      <w:start w:val="1"/>
      <w:numFmt w:val="lowerLetter"/>
      <w:lvlText w:val="%8."/>
      <w:lvlJc w:val="left"/>
      <w:pPr>
        <w:ind w:left="7668" w:hanging="360"/>
      </w:pPr>
    </w:lvl>
    <w:lvl w:ilvl="8" w:tplc="0809001B" w:tentative="1">
      <w:start w:val="1"/>
      <w:numFmt w:val="lowerRoman"/>
      <w:lvlText w:val="%9."/>
      <w:lvlJc w:val="right"/>
      <w:pPr>
        <w:ind w:left="8388" w:hanging="18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 w:numId="22" w16cid:durableId="1344012931">
    <w:abstractNumId w:val="1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2ED"/>
    <w:rsid w:val="00033EE1"/>
    <w:rsid w:val="000358F2"/>
    <w:rsid w:val="00042B72"/>
    <w:rsid w:val="000558BD"/>
    <w:rsid w:val="000B57E7"/>
    <w:rsid w:val="000B6373"/>
    <w:rsid w:val="000B6D2D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0517F"/>
    <w:rsid w:val="00254812"/>
    <w:rsid w:val="002A2EF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4DCC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742ED"/>
    <w:rsid w:val="00BC18B2"/>
    <w:rsid w:val="00BC3629"/>
    <w:rsid w:val="00BD33EE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329C"/>
    <w:rsid w:val="00DF71B9"/>
    <w:rsid w:val="00E005F7"/>
    <w:rsid w:val="00E06BEE"/>
    <w:rsid w:val="00E420CE"/>
    <w:rsid w:val="00E46656"/>
    <w:rsid w:val="00E73F76"/>
    <w:rsid w:val="00EA2C9F"/>
    <w:rsid w:val="00EA420E"/>
    <w:rsid w:val="00ED0BDA"/>
    <w:rsid w:val="00EE0E35"/>
    <w:rsid w:val="00EF1360"/>
    <w:rsid w:val="00EF3220"/>
    <w:rsid w:val="00F11E24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3BCEC6"/>
  <w15:docId w15:val="{CE80C4F7-9279-41C5-B27D-B3EBCB31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F11E24"/>
    <w:rPr>
      <w:lang w:val="ru-RU" w:eastAsia="en-US"/>
    </w:rPr>
  </w:style>
  <w:style w:type="paragraph" w:styleId="af3">
    <w:name w:val="List Paragraph"/>
    <w:basedOn w:val="a"/>
    <w:uiPriority w:val="34"/>
    <w:rsid w:val="00F11E24"/>
    <w:pPr>
      <w:ind w:left="720"/>
      <w:contextualSpacing/>
    </w:pPr>
    <w:rPr>
      <w:rFonts w:eastAsia="Times New Roman" w:cs="Times New Roman"/>
      <w:szCs w:val="20"/>
      <w:lang w:val="en-GB"/>
    </w:rPr>
  </w:style>
  <w:style w:type="character" w:styleId="af4">
    <w:name w:val="Unresolved Mention"/>
    <w:basedOn w:val="a0"/>
    <w:uiPriority w:val="99"/>
    <w:semiHidden/>
    <w:unhideWhenUsed/>
    <w:rsid w:val="00F11E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CPR/C/PRT/CO/5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undocs.org/en/CCPR/C/PRT/FCO/5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CCPR/C/PRT/CO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6</Pages>
  <Words>1932</Words>
  <Characters>14686</Characters>
  <Application>Microsoft Office Word</Application>
  <DocSecurity>0</DocSecurity>
  <Lines>1631</Lines>
  <Paragraphs>426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CCPR/C/138/2/Add.3</vt:lpstr>
      <vt:lpstr>A/</vt:lpstr>
      <vt:lpstr>A/</vt:lpstr>
    </vt:vector>
  </TitlesOfParts>
  <Company>DCM</Company>
  <LinksUpToDate>false</LinksUpToDate>
  <CharactersWithSpaces>16192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CCPR/C/138/2/Add.3</dc:title>
  <dc:subject/>
  <dc:creator>No author</dc:creator>
  <cp:keywords/>
  <cp:lastModifiedBy>No author</cp:lastModifiedBy>
  <cp:revision>3</cp:revision>
  <cp:lastPrinted>2023-11-23T12:41:00Z</cp:lastPrinted>
  <dcterms:created xsi:type="dcterms:W3CDTF">2023-11-23T12:41:00Z</dcterms:created>
  <dcterms:modified xsi:type="dcterms:W3CDTF">2023-11-23T12:42:00Z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