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A3044A3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EC099B6" w14:textId="77777777" w:rsidR="002D5AAC" w:rsidRDefault="002D5AAC" w:rsidP="00D121D2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DD5B4B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834D11" w14:textId="27047E8E" w:rsidR="002D5AAC" w:rsidRDefault="00E201E4" w:rsidP="00E201E4">
            <w:pPr>
              <w:jc w:val="right"/>
            </w:pPr>
            <w:r w:rsidRPr="00E201E4">
              <w:rPr>
                <w:sz w:val="40"/>
              </w:rPr>
              <w:t>CRC</w:t>
            </w:r>
            <w:r>
              <w:t>/C/MDV/CO/6-7</w:t>
            </w:r>
          </w:p>
        </w:tc>
      </w:tr>
      <w:tr w:rsidR="002D5AAC" w:rsidRPr="004E3B47" w14:paraId="6D645B13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C61BA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5EFCCB" wp14:editId="0F14B5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1F8180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0A1C0C" w14:textId="77777777" w:rsidR="002D5AAC" w:rsidRDefault="00E201E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5E2EB48" w14:textId="77777777" w:rsidR="00E201E4" w:rsidRDefault="00E201E4" w:rsidP="00E201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March 2026</w:t>
            </w:r>
          </w:p>
          <w:p w14:paraId="70EEA7D3" w14:textId="77777777" w:rsidR="00E201E4" w:rsidRDefault="00E201E4" w:rsidP="00E201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AB7EF4E" w14:textId="0FBF8585" w:rsidR="00E201E4" w:rsidRPr="00B937DF" w:rsidRDefault="00E201E4" w:rsidP="00E201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85C5EF0" w14:textId="77777777" w:rsidR="001269FA" w:rsidRPr="009E15A7" w:rsidRDefault="001269FA" w:rsidP="001269FA">
      <w:pPr>
        <w:spacing w:before="120"/>
        <w:rPr>
          <w:b/>
          <w:sz w:val="24"/>
          <w:szCs w:val="24"/>
        </w:rPr>
      </w:pPr>
      <w:r w:rsidRPr="009E15A7">
        <w:rPr>
          <w:b/>
          <w:bCs/>
          <w:sz w:val="24"/>
          <w:szCs w:val="24"/>
        </w:rPr>
        <w:t>Комитет по правам ребенка</w:t>
      </w:r>
    </w:p>
    <w:p w14:paraId="0AB30ABC" w14:textId="77777777" w:rsidR="001269FA" w:rsidRPr="00807ED4" w:rsidRDefault="001269FA" w:rsidP="001269FA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объединенным шестому и</w:t>
      </w:r>
      <w:bookmarkStart w:id="0" w:name="_Hlk156293670"/>
      <w:r>
        <w:rPr>
          <w:lang w:val="en-US"/>
        </w:rPr>
        <w:t> </w:t>
      </w:r>
      <w:bookmarkEnd w:id="0"/>
      <w:r>
        <w:rPr>
          <w:bCs/>
        </w:rPr>
        <w:t>седьмому периодическим докладам Мальдивских Островов</w:t>
      </w:r>
      <w:r w:rsidRPr="00EC50BC">
        <w:rPr>
          <w:b w:val="0"/>
          <w:bCs/>
          <w:sz w:val="20"/>
        </w:rPr>
        <w:footnoteReference w:customMarkFollows="1" w:id="1"/>
        <w:t>*</w:t>
      </w:r>
    </w:p>
    <w:p w14:paraId="11AF975B" w14:textId="77777777" w:rsidR="001269FA" w:rsidRPr="00807ED4" w:rsidRDefault="001269FA" w:rsidP="001269FA">
      <w:pPr>
        <w:pStyle w:val="HChG"/>
      </w:pPr>
      <w:r w:rsidRPr="009E15A7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184E355C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1.</w:t>
      </w:r>
      <w:r>
        <w:tab/>
        <w:t>Комитет рассмотрел объединенные шестой и седьмой периодические доклады Мальдивских Островов</w:t>
      </w:r>
      <w:r w:rsidRPr="00A84E58">
        <w:rPr>
          <w:rStyle w:val="aa"/>
        </w:rPr>
        <w:footnoteReference w:id="2"/>
      </w:r>
      <w:r>
        <w:t xml:space="preserve"> на своих 2908-м и 2909-м заседаниях</w:t>
      </w:r>
      <w:r w:rsidRPr="00A84E58">
        <w:rPr>
          <w:rStyle w:val="aa"/>
        </w:rPr>
        <w:footnoteReference w:id="3"/>
      </w:r>
      <w:r>
        <w:t>, состоявшихся 12</w:t>
      </w:r>
      <w:r>
        <w:rPr>
          <w:lang w:val="en-US"/>
        </w:rPr>
        <w:t> </w:t>
      </w:r>
      <w:r>
        <w:t>и</w:t>
      </w:r>
      <w:r>
        <w:rPr>
          <w:lang w:val="en-US"/>
        </w:rPr>
        <w:t> </w:t>
      </w:r>
      <w:r>
        <w:t>13</w:t>
      </w:r>
      <w:r>
        <w:rPr>
          <w:lang w:val="en-US"/>
        </w:rPr>
        <w:t> </w:t>
      </w:r>
      <w:r>
        <w:t xml:space="preserve">января 2026 года, и на своем 2936-м заседании 30 января 2026 года принял настоящие заключительные замечания. </w:t>
      </w:r>
    </w:p>
    <w:p w14:paraId="0B61BFD9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и письменных ответов на перечень вопросов</w:t>
      </w:r>
      <w:r w:rsidRPr="00A84E58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4009AEDD" w14:textId="77777777" w:rsidR="001269FA" w:rsidRPr="00807ED4" w:rsidRDefault="001269FA" w:rsidP="001269FA">
      <w:pPr>
        <w:pStyle w:val="HCh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4E86359E" w14:textId="1DE65E6E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</w:rPr>
      </w:pPr>
      <w:r>
        <w:t>3.</w:t>
      </w:r>
      <w:r>
        <w:tab/>
        <w:t xml:space="preserve">Комитет приветствует прогресс, достигнутый государством-участником в различных областях, в особенности принятие в 2019 году процедуры, предусмотренной статьей 13 Факультативного протокола, касающегося процедуры сообщений; принятие Закона о защите прав ребенка (Закон № 19/2019), Закона об отправлении правосудия в отношении несовершеннолетних (Закон № 18/2019) и нормативных актов, направленных на укрепление этого законодательства, таких как Общие положения о защите прав ребенка (2020 года); реализацию национальных программ по предоставлению поддержки на уровне общин (Ijthimaaee Badhahi Madhahuverin) и по предотвращению насилия (Haalu Kihineh); а также принятие </w:t>
      </w:r>
      <w:r w:rsidR="009C3943" w:rsidRPr="009C3943">
        <w:t>«</w:t>
      </w:r>
      <w:r>
        <w:t>дорожной карты</w:t>
      </w:r>
      <w:r w:rsidR="009C3943" w:rsidRPr="0047629E">
        <w:t>»</w:t>
      </w:r>
      <w:r>
        <w:t xml:space="preserve"> по осуществлению Закона об отправлении правосудия в отношении несовершеннолетних (на 2024–2027 годы). </w:t>
      </w:r>
    </w:p>
    <w:p w14:paraId="0DC3C65E" w14:textId="3B98067B" w:rsidR="001269FA" w:rsidRPr="00807ED4" w:rsidRDefault="001269FA" w:rsidP="001269FA">
      <w:pPr>
        <w:pStyle w:val="HChG"/>
        <w:tabs>
          <w:tab w:val="left" w:pos="1701"/>
          <w:tab w:val="left" w:pos="2268"/>
        </w:tabs>
      </w:pPr>
      <w:r w:rsidRPr="009E15A7">
        <w:rPr>
          <w:bCs/>
        </w:rPr>
        <w:lastRenderedPageBreak/>
        <w:tab/>
      </w:r>
      <w:r>
        <w:rPr>
          <w:bCs/>
        </w:rPr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lang w:val="en-US"/>
        </w:rPr>
        <w:t> </w:t>
      </w:r>
      <w:r>
        <w:rPr>
          <w:bCs/>
        </w:rPr>
        <w:t>рекомендации</w:t>
      </w:r>
    </w:p>
    <w:p w14:paraId="2A9DC111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недискриминация (пункт 17); регистрация рождений и гражданство (пункт 21); жестокое обращение, отсутствие заботы, сексуальные надругательства и эксплуатация (пункт 25); психическое здоровье и здоровье подростков (пункт 37); и отправление правосудия в отношении детей (пункт 49).</w:t>
      </w:r>
    </w:p>
    <w:p w14:paraId="0104768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обеспечивать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целей в области устойчивого развития, в той мере, в какой они касаются детей.</w:t>
      </w:r>
    </w:p>
    <w:p w14:paraId="2342F7B9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(статьи 1, 4, 42 и пункт 6 статьи</w:t>
      </w:r>
      <w:r>
        <w:rPr>
          <w:lang w:val="en-US"/>
        </w:rPr>
        <w:t> </w:t>
      </w:r>
      <w:r>
        <w:rPr>
          <w:bCs/>
        </w:rPr>
        <w:t>44)</w:t>
      </w:r>
    </w:p>
    <w:p w14:paraId="5B264B46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Оговорки</w:t>
      </w:r>
      <w:r>
        <w:t xml:space="preserve"> </w:t>
      </w:r>
    </w:p>
    <w:p w14:paraId="6722A451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6.</w:t>
      </w:r>
      <w:r>
        <w:tab/>
      </w:r>
      <w:r>
        <w:rPr>
          <w:b/>
          <w:bCs/>
        </w:rPr>
        <w:t>Комитет, руководствуясь своими предыдущими рекомендациями</w:t>
      </w:r>
      <w:r w:rsidRPr="00A84E58">
        <w:rPr>
          <w:rStyle w:val="aa"/>
        </w:rPr>
        <w:footnoteReference w:id="5"/>
      </w:r>
      <w:r>
        <w:rPr>
          <w:b/>
          <w:bCs/>
        </w:rPr>
        <w:t>, призывает государство-участник рассмотреть возможность снятия его оговорок к пункту 1 статьи 14 и статье 21 Конвенции.</w:t>
      </w:r>
    </w:p>
    <w:p w14:paraId="37069E87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13FC787D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7.</w:t>
      </w:r>
      <w:r>
        <w:tab/>
      </w:r>
      <w:r>
        <w:rPr>
          <w:b/>
          <w:bCs/>
        </w:rPr>
        <w:t>Комитет отмечает, что государство-участник приступило к пересмотру Закона о защите прав ребенка, и рекомендует ему привести этот закон и все связанные с ним правовые акты в полное соответствие с Конвенцией и Факультативными протоколами к ней, в частности в части несоответствий, касающихся системы отправления правосудия в отношении детей, семейного права и трудового законодательства.</w:t>
      </w:r>
      <w:r>
        <w:t xml:space="preserve"> </w:t>
      </w:r>
    </w:p>
    <w:p w14:paraId="57A705E9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Всеобъемлющая политика и стратегия</w:t>
      </w:r>
      <w:r>
        <w:t xml:space="preserve"> </w:t>
      </w:r>
    </w:p>
    <w:p w14:paraId="3D9AA5D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D82B86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разработать всеобъемлющую политику в интересах детей, охватывающую все области, предусмотренные Конвенцией и Факультативными протоколами к ней, и на основе этой политики разработать стратегию с элементами, необходимыми для ее применения, и выделить для этих целей достаточные людские, технические и финансовые ресурсы;</w:t>
      </w:r>
    </w:p>
    <w:p w14:paraId="300AA366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>
        <w:tab/>
      </w:r>
      <w:r>
        <w:rPr>
          <w:b/>
          <w:bCs/>
        </w:rPr>
        <w:t>принять меры для того, чтобы гарантировать проведение консультаций с детьми в процессе разработки национального плана развития и обеспечить соответствие этого плана положениям Конвенции и Факультативных протоколов к ней.</w:t>
      </w:r>
      <w:r>
        <w:t xml:space="preserve"> </w:t>
      </w:r>
    </w:p>
    <w:p w14:paraId="232B534D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5027833E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обеспечивать скоординированную работу всех государственных органов, ответственных за защиту прав ребенка, а также предоставлять им людские, технические и финансовые ресурсы, необходимые для их эффективной деятельности.</w:t>
      </w:r>
    </w:p>
    <w:p w14:paraId="16E2CC4D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Выделение ресурсов</w:t>
      </w:r>
    </w:p>
    <w:p w14:paraId="15C4533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отмечает увеличение бюджетных ассигнований на работу социального сектора и применение подхода к составлению бюджета, ориентированного на конкретные результаты, и рекомендует государству-участнику:</w:t>
      </w:r>
    </w:p>
    <w:p w14:paraId="27B9CD2F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применять в процессе составления государственного бюджета эффективный и скоординированный подход, ориентированный на права ребенка, внедрив систему контроля за распределением и использованием ресурсов, выделяемых на нужды детей, по всем статьям бюджета;</w:t>
      </w:r>
    </w:p>
    <w:p w14:paraId="1E015A3F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</w:r>
      <w:r>
        <w:rPr>
          <w:b/>
          <w:bCs/>
        </w:rPr>
        <w:t>использовать вышеупомянутую систему контроля для оценки того, как инвестиции в какой-либо сектор могут способствовать наилучшему обеспечению интересов ребенка, анализируя различное воздействие таких инвестиций на детей.</w:t>
      </w:r>
    </w:p>
    <w:p w14:paraId="34EFD205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Сбор данных</w:t>
      </w:r>
    </w:p>
    <w:p w14:paraId="6F58C6F5" w14:textId="77777777" w:rsidR="001269FA" w:rsidRPr="00807ED4" w:rsidRDefault="001269FA" w:rsidP="001269FA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отмечает прогресс, достигнутый в согласовании работы различных механизмов сбора данных.</w:t>
      </w:r>
      <w:r>
        <w:t xml:space="preserve"> </w:t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3BD5873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продолжить пересмотр своих руководящих принципов по сбору и обмену данными в целях совершенствования применяемых методов, повышения конфиденциальности, а также обеспечения общенационального охвата и сбора дезагрегированных данных для уменьшения фрагментации данных;</w:t>
      </w:r>
    </w:p>
    <w:p w14:paraId="09B1E7BC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>
        <w:tab/>
      </w:r>
      <w:r>
        <w:rPr>
          <w:b/>
          <w:bCs/>
        </w:rPr>
        <w:t>обеспечивать обмен статистическими данными и показателями в области прав детей между соответствующими министерствами и их использование для разработки, мониторинга и оценки мер политики, программ и проектов в целях эффективного осуществления Конвенции.</w:t>
      </w:r>
    </w:p>
    <w:p w14:paraId="0913D019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5822F66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544E9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обеспечить, чтобы все дети имели доступ к: i) конфиденциальным, учитывающим интересы детей и независимым механизмам подачи жалоб в школах, системах патронатного воспитания, учреждениях альтернативного ухода и местах содержания под стражей, позволяющим сообщать обо всех формах насилия, жестокого обращения, дискриминации и других нарушений их прав; и ii) правовой помощи и соответствующей их возрасту информации о возможностях получения консультаций и доступа к средствам правовой защиты, включая компенсацию и реабилитацию;</w:t>
      </w:r>
    </w:p>
    <w:p w14:paraId="4D571FDD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принимать меры для повышения осведомленности детей об их праве подавать жалобы в рамках существующих механизмов; </w:t>
      </w:r>
    </w:p>
    <w:p w14:paraId="226E3F8C" w14:textId="77777777" w:rsidR="001269FA" w:rsidRPr="00807ED4" w:rsidRDefault="001269FA" w:rsidP="001269FA">
      <w:pPr>
        <w:pStyle w:val="SingleTxtG"/>
        <w:rPr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обеспечить систематическую и обязательную подготовку всех соответствующих специалистов, работающих с детьми, по вопросам прав ребенка и Конвенции, а также по вопросам учитывающих интересы детей процедур и средств правовой защиты.</w:t>
      </w:r>
      <w:r>
        <w:t xml:space="preserve"> </w:t>
      </w:r>
    </w:p>
    <w:p w14:paraId="7A88A4AA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lastRenderedPageBreak/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6722008C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13.</w:t>
      </w:r>
      <w:r>
        <w:tab/>
      </w:r>
      <w:r>
        <w:rPr>
          <w:b/>
          <w:bCs/>
        </w:rPr>
        <w:t>Комитет приветствует создание должности Уполномоченного по правам ребенка и рекомендует государству-участнику:</w:t>
      </w:r>
    </w:p>
    <w:p w14:paraId="1E7BDF31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увеличить финансирование и повысить квалификацию сотрудников Комиссии по правам человека, с тем чтобы обеспечить ее полное соответствие принципам, касающимся статуса национальных учреждений, занимающихся поощрением и защитой прав человека (Парижские принципы), и поддержать ее работу в области прав детей;</w:t>
      </w:r>
    </w:p>
    <w:p w14:paraId="112E169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укрепить Управление Уполномоченного по правам ребенка;</w:t>
      </w:r>
    </w:p>
    <w:p w14:paraId="30259D1C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запросить техническую помощь Управления Верховного комиссара Организации Объединенных Наций по правам человека, Детского фонда Организации Объединенных Наций (ЮНИСЕФ) и Программы развития Организации Объединенных Наций, в числе прочих учреждений.</w:t>
      </w:r>
      <w:r>
        <w:t xml:space="preserve"> </w:t>
      </w:r>
    </w:p>
    <w:p w14:paraId="2E09177C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  <w:r>
        <w:t xml:space="preserve"> </w:t>
      </w:r>
    </w:p>
    <w:p w14:paraId="2DD6C17F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14.</w:t>
      </w:r>
      <w:r>
        <w:tab/>
      </w:r>
      <w:r>
        <w:rPr>
          <w:b/>
          <w:bCs/>
        </w:rPr>
        <w:t>Комитет, ссылаясь на свои предыдущие заключительные замечания</w:t>
      </w:r>
      <w:r w:rsidRPr="00A84E58">
        <w:rPr>
          <w:rStyle w:val="aa"/>
        </w:rPr>
        <w:footnoteReference w:id="6"/>
      </w:r>
      <w:r>
        <w:rPr>
          <w:b/>
          <w:bCs/>
        </w:rPr>
        <w:t>, рекомендует государству-участнику:</w:t>
      </w:r>
    </w:p>
    <w:p w14:paraId="22C9E9A0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поощрять активное участие детей в информационно-пропагандистской деятельности, в том числе в мероприятиях, ориентированных на родителей и лиц, осуществляющих уход, социальных работников, учителей и сотрудников правоохранительных органов, и побуждать средства массовой информации к формированию внимательного отношения к правам детей;</w:t>
      </w:r>
    </w:p>
    <w:p w14:paraId="3714535A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>
        <w:tab/>
      </w:r>
      <w:r>
        <w:rPr>
          <w:b/>
          <w:bCs/>
        </w:rPr>
        <w:t>повышать осведомленность о Факультативном протоколе, касающемся процедуры сообщений, и проводить мероприятия по укреплению потенциала, направленные на подготовку соответствующих субъектов, включая детей, по вопросам Факультативного протокола.</w:t>
      </w:r>
    </w:p>
    <w:p w14:paraId="21CE6E53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076B3CB3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15.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14:paraId="38044AA3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проводить кампании по повышению осведомленности для туристической отрасли и широкой общественности по вопросам предотвращения сексуальной эксплуатации детей в контексте путешествий и туризма и широко распространить Глобальный этический кодекс туризма, принятый Всемирной туристской организацией, среди турагентов и в туристической отрасли;</w:t>
      </w:r>
      <w:r>
        <w:t xml:space="preserve"> </w:t>
      </w:r>
    </w:p>
    <w:p w14:paraId="17B01E1E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укреплять осуществляемое им международное сотрудничество в сфере борьбы с сексуальной эксплуатацией детей в контексте путешествий и туризма на основе многосторонних, региональных и двусторонних соглашений, направленных на предотвращение такой эксплуатации и борьбу с ней.</w:t>
      </w:r>
    </w:p>
    <w:p w14:paraId="5A8022A3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Общие принципы (статьи 2, 3, 6 и 12)</w:t>
      </w:r>
    </w:p>
    <w:p w14:paraId="00BDBAD5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Недискриминация</w:t>
      </w:r>
    </w:p>
    <w:p w14:paraId="09B53B46" w14:textId="73EE2DC3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16.</w:t>
      </w:r>
      <w:r>
        <w:tab/>
        <w:t>Комитет отмечает принятие Национального плана действий по обеспечению гендерного равенства (на 2022–2026 годы) и меры по защите от дискриминации, предусмотренные Законом о защите прав ребенка. Тем не менее он по-прежнему обеспокоен случаями дискриминации в отношении девочек, детей-инвалидов, детей</w:t>
      </w:r>
      <w:r>
        <w:rPr>
          <w:b/>
          <w:bCs/>
        </w:rPr>
        <w:t xml:space="preserve">, </w:t>
      </w:r>
      <w:r w:rsidRPr="009E15A7">
        <w:t>чьи родители не состоят в браке</w:t>
      </w:r>
      <w:r w:rsidR="003B2C76" w:rsidRPr="003B2C76">
        <w:t>,</w:t>
      </w:r>
      <w:r w:rsidDel="003012C3">
        <w:t xml:space="preserve"> </w:t>
      </w:r>
      <w:r>
        <w:t xml:space="preserve">детей родителей-немусульман и детей, находящихся на попечении государства; дискриминации на основе религии и гендерной </w:t>
      </w:r>
      <w:r>
        <w:lastRenderedPageBreak/>
        <w:t>идентичности; а также дискриминации в отношении детей, особенно детей-инвалидов и детей, проживающих на удаленных островах, в плане доступа к услугам.</w:t>
      </w:r>
    </w:p>
    <w:p w14:paraId="08AFA14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17.</w:t>
      </w:r>
      <w:r>
        <w:tab/>
      </w:r>
      <w:r>
        <w:rPr>
          <w:b/>
          <w:bCs/>
        </w:rPr>
        <w:t>Комитет, ссылаясь на свои предыдущие заключительные замечания</w:t>
      </w:r>
      <w:r w:rsidRPr="00A84E58">
        <w:rPr>
          <w:rStyle w:val="aa"/>
        </w:rPr>
        <w:footnoteReference w:id="7"/>
      </w:r>
      <w:r>
        <w:rPr>
          <w:b/>
          <w:bCs/>
        </w:rPr>
        <w:t>, рекомендует государству-участнику:</w:t>
      </w:r>
    </w:p>
    <w:p w14:paraId="54CA2220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усилить меры по реализации действующего законодательства, политики, стратегий и планов действий, касающихся борьбы с дискриминацией, в частности тех, которые направлены на защиту детей от дискриминации, а также принять дополнительные меры для исключения положений, носящих дискриминационный характер по признаку религии, из законодательства о гражданстве;</w:t>
      </w:r>
    </w:p>
    <w:p w14:paraId="698C1035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>
        <w:tab/>
      </w:r>
      <w:r>
        <w:rPr>
          <w:b/>
          <w:bCs/>
        </w:rPr>
        <w:t>активизировать свои усилия по борьбе с дискриминацией в отношении детей, находящихся в неблагоприятном положении, включая девочек, детей-инвалидов, детей, чьи родители не состоят в браке, детей родителей-немусульман и детей, находящихся на попечении государства;</w:t>
      </w:r>
      <w:r>
        <w:t xml:space="preserve"> </w:t>
      </w:r>
      <w:r>
        <w:rPr>
          <w:b/>
          <w:bCs/>
        </w:rPr>
        <w:t>дискриминацией на основе гендерной идентичности;</w:t>
      </w:r>
      <w:r>
        <w:t xml:space="preserve"> </w:t>
      </w:r>
      <w:r>
        <w:rPr>
          <w:b/>
          <w:bCs/>
        </w:rPr>
        <w:t>и дискриминацией в отношении детей, проживающих на удаленных островах;</w:t>
      </w:r>
    </w:p>
    <w:p w14:paraId="3D56BD09" w14:textId="77777777" w:rsidR="001269FA" w:rsidRPr="00807ED4" w:rsidRDefault="001269FA" w:rsidP="001269FA">
      <w:pPr>
        <w:pStyle w:val="SingleTxtG"/>
        <w:rPr>
          <w:b/>
        </w:rPr>
      </w:pPr>
      <w:r w:rsidRPr="001269FA"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проводить кампании в средствах массовой информации с целью изменения социальных норм и моделей поведения, приводящих к дискриминации;</w:t>
      </w:r>
      <w:r>
        <w:t xml:space="preserve"> </w:t>
      </w:r>
      <w:r>
        <w:rPr>
          <w:b/>
          <w:bCs/>
        </w:rPr>
        <w:t>повышать осведомленность общественности о запрете дискриминации;</w:t>
      </w:r>
      <w:r>
        <w:t xml:space="preserve"> </w:t>
      </w:r>
      <w:r>
        <w:rPr>
          <w:b/>
          <w:bCs/>
        </w:rPr>
        <w:t>и поощрять терпимость и уважение к разнообразию.</w:t>
      </w:r>
    </w:p>
    <w:p w14:paraId="439EDECE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40D66B30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</w:t>
      </w:r>
      <w:r>
        <w:t xml:space="preserve"> </w:t>
      </w:r>
      <w:r>
        <w:rPr>
          <w:b/>
          <w:bCs/>
        </w:rPr>
        <w:t>и на свои предыдущие заключительные замечания</w:t>
      </w:r>
      <w:r w:rsidRPr="00A84E58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 обеспечить, чтобы право ребенка на уделение первоочередного внимания наилучшему обеспечению его интересов надлежащим образом учитывалось и последовательно толковалось и применялось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воздействие;</w:t>
      </w:r>
      <w:r>
        <w:t xml:space="preserve"> </w:t>
      </w:r>
      <w:r>
        <w:rPr>
          <w:b/>
          <w:bCs/>
        </w:rPr>
        <w:t xml:space="preserve">и обеспечить, чтобы </w:t>
      </w:r>
      <w:r w:rsidRPr="009E15A7">
        <w:rPr>
          <w:b/>
          <w:bCs/>
        </w:rPr>
        <w:t>культурные интерпретации</w:t>
      </w:r>
      <w:r>
        <w:rPr>
          <w:b/>
          <w:bCs/>
        </w:rPr>
        <w:t xml:space="preserve"> и виды практики соответствовали Конвенции и Факультативным протоколам к ней в тех случаях, когда речь идет о наилучшем обеспечении интересов ребенка.</w:t>
      </w:r>
    </w:p>
    <w:p w14:paraId="7CDAEEEB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Уважение взглядов ребенка</w:t>
      </w:r>
    </w:p>
    <w:p w14:paraId="760CAF7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 содействовать значимому и полноценному участию всех детей в жизни семьи, общин и школ, а также привлекать детей к принятию решений по всем вопросам, затрагивающим их интересы, в том числе по вопросам охраны окружающей среды.</w:t>
      </w:r>
    </w:p>
    <w:p w14:paraId="5FB38ED7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067BB3A3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52A72C69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20.</w:t>
      </w:r>
      <w:r>
        <w:tab/>
        <w:t>Комитет принимает к сведению принятие Закона о регистрации рождений и смертей (Закон № 23/2022). Он по-прежнему серьезно обеспокоен:</w:t>
      </w:r>
    </w:p>
    <w:p w14:paraId="725F9AD3" w14:textId="77777777" w:rsidR="001269FA" w:rsidRPr="00807ED4" w:rsidRDefault="001269FA" w:rsidP="001269FA">
      <w:pPr>
        <w:pStyle w:val="SingleTxtG"/>
      </w:pPr>
      <w:r w:rsidRPr="001269FA">
        <w:tab/>
      </w:r>
      <w:r>
        <w:t>a)</w:t>
      </w:r>
      <w:r>
        <w:tab/>
        <w:t>задержками в регистрации рождений и препятствиями при получении свидетельств о рождении и национальных удостоверений личности для детей;</w:t>
      </w:r>
    </w:p>
    <w:p w14:paraId="58C372F5" w14:textId="77777777" w:rsidR="001269FA" w:rsidRPr="00807ED4" w:rsidRDefault="001269FA" w:rsidP="001269FA">
      <w:pPr>
        <w:pStyle w:val="SingleTxtG"/>
      </w:pPr>
      <w:r w:rsidRPr="001269FA">
        <w:lastRenderedPageBreak/>
        <w:tab/>
      </w:r>
      <w:r>
        <w:t>b)</w:t>
      </w:r>
      <w:r>
        <w:tab/>
        <w:t>распространенностью безгражданства среди детей, особенно в тех случаях, когда ребенок рожден за границей или от матери-иностранки.</w:t>
      </w:r>
    </w:p>
    <w:p w14:paraId="5D1E06D4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21.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настоятельно призывает государство-участник:</w:t>
      </w:r>
      <w:r>
        <w:t xml:space="preserve"> </w:t>
      </w:r>
    </w:p>
    <w:p w14:paraId="63F8ED7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устранить существующие препятствия для регистрации рождений, в том числе обеспечить возможность регистрации рождений всех детей независимо от гражданства или семейного положения их родителей, а также внести поправки в Закон о регистрации рождений и смертей с целью отмены штрафов за несвоевременную регистрацию рождения;</w:t>
      </w:r>
    </w:p>
    <w:p w14:paraId="5FBA26F9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>
        <w:tab/>
      </w:r>
      <w:r>
        <w:rPr>
          <w:b/>
          <w:bCs/>
        </w:rPr>
        <w:t>обеспечить, чтобы дети, рожденные от матерей-иностранок и мальдивских мужчин, дети родителей, не состоящих в браке, а также дети, рожденные в межконфессиональных браках, могли без затруднений установить отцовство и реализовать свое право на гражданство в соответствии с пунктом а) статьи 9 Конституции;</w:t>
      </w:r>
    </w:p>
    <w:p w14:paraId="03760244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внести изменения в статью 54 Закона о семье и принятые на его основании нормативные акты с целью обеспечения возможности для женщин и детей обращаться в суд с ходатайством о признании отцовства;</w:t>
      </w:r>
    </w:p>
    <w:p w14:paraId="61419C14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>предоставить возможность получения гражданства детям, родившимся без гражданства на территории Мальдивских Островов, оставленным детям, а также детям, находящимся в специализированных учреждениях, родители которых неизвестны;</w:t>
      </w:r>
    </w:p>
    <w:p w14:paraId="2D0DA001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>рассмотреть возможность ратификации Конвенции о статусе апатридов и Конвенции о сокращении безгражданства;</w:t>
      </w:r>
    </w:p>
    <w:p w14:paraId="7EC0200D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f)</w:t>
      </w:r>
      <w:r>
        <w:tab/>
      </w:r>
      <w:r>
        <w:rPr>
          <w:b/>
          <w:bCs/>
        </w:rPr>
        <w:t>обращаться, в частности, к Управлению Верховного комиссара Организации Объединенных Наций по делам беженцев и к ЮНИСЕФ за технической помощью в целях осуществления настоящих рекомендаций.</w:t>
      </w:r>
    </w:p>
    <w:p w14:paraId="2B9A7CD3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Свобода мысли, совести и религии</w:t>
      </w:r>
    </w:p>
    <w:p w14:paraId="60B365E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22.</w:t>
      </w:r>
      <w:r>
        <w:tab/>
      </w:r>
      <w:r>
        <w:rPr>
          <w:b/>
          <w:bCs/>
        </w:rPr>
        <w:t>Комитет, ссылаясь на свои предыдущие заключительные замечания</w:t>
      </w:r>
      <w:r w:rsidRPr="00A84E58">
        <w:rPr>
          <w:rStyle w:val="aa"/>
        </w:rPr>
        <w:footnoteReference w:id="9"/>
      </w:r>
      <w:r>
        <w:rPr>
          <w:b/>
          <w:bCs/>
        </w:rPr>
        <w:t>, рекомендует государству-участнику обеспечивать уважение права ребенка на свободу мысли, совести и религии путем принятия эффективных мер, в том числе законодательных, для предотвращения и ликвидации всех форм дискриминации по признаку религии или убеждений.</w:t>
      </w:r>
      <w:r>
        <w:t xml:space="preserve"> </w:t>
      </w:r>
      <w:r>
        <w:rPr>
          <w:b/>
          <w:bCs/>
        </w:rPr>
        <w:t>Он рекомендует также государству-участнику поощрять религиозную терпимость и диалог в обществе, в том числе путем содействия открытым публичным дебатам по религиозным вопросам.</w:t>
      </w:r>
    </w:p>
    <w:p w14:paraId="5D59DC35" w14:textId="77777777" w:rsidR="001269FA" w:rsidRPr="009E15A7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5B61D669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23.</w:t>
      </w:r>
      <w:r>
        <w:tab/>
      </w:r>
      <w:r>
        <w:rPr>
          <w:b/>
          <w:bCs/>
        </w:rPr>
        <w:t>Комитет приветствует усилия государства-участника, направленные на развитие цифровой грамотности детей и повышение осведомленности о безопасности детей онлайн.</w:t>
      </w:r>
      <w:r>
        <w:t xml:space="preserve"> </w:t>
      </w:r>
      <w:r>
        <w:rPr>
          <w:b/>
          <w:bCs/>
        </w:rPr>
        <w:t>Ссылаясь на свое замечание общего порядка № 25 (2021) о правах детей в связи с цифровой средой и на совместное заявление Комитета и других подписавшихся сторон от 2026 года об искусственном интеллекте и правах ребенка, Комитет рекомендует государству-участнику:</w:t>
      </w:r>
    </w:p>
    <w:p w14:paraId="536B6F55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продолжать повышать уровень цифровой грамотности и совершенствовать навыки детей, учителей и семей, и обеспечить защиту детей от информации и материалов, наносящих вред их благополучию, в том числе в контексте использования искусственного интеллекта;</w:t>
      </w:r>
    </w:p>
    <w:p w14:paraId="5B9AED03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обеспечить наличие надлежащей и соответствующей возрасту информации по вопросам, касающимся прав детей и цифровой среды, и доступ к ней; </w:t>
      </w:r>
    </w:p>
    <w:p w14:paraId="618383D3" w14:textId="77777777" w:rsidR="001269FA" w:rsidRPr="00BA0491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lastRenderedPageBreak/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 xml:space="preserve">содействовать </w:t>
      </w:r>
      <w:r w:rsidRPr="00BA0491">
        <w:rPr>
          <w:b/>
          <w:bCs/>
        </w:rPr>
        <w:t>сбору информации, касающейся экологических и социальных факторов, определяющих здоровье и развитие детей на протяжении все</w:t>
      </w:r>
      <w:r>
        <w:rPr>
          <w:b/>
          <w:bCs/>
        </w:rPr>
        <w:t>й</w:t>
      </w:r>
      <w:r w:rsidRPr="00BA0491">
        <w:rPr>
          <w:b/>
          <w:bCs/>
        </w:rPr>
        <w:t xml:space="preserve"> их жизни</w:t>
      </w:r>
      <w:r>
        <w:rPr>
          <w:b/>
          <w:bCs/>
        </w:rPr>
        <w:t>, обеспечивая при этом защиту данных.</w:t>
      </w:r>
    </w:p>
    <w:p w14:paraId="0D651989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BA0491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Насилие в отношении детей (статья 19, пункт 3 статьи 24, пункт 2 статьи 28, статьи 34, 35, 37 а) и 39 Конвенции, а также Факультативный протокол, касающийся торговли детьми, детской проституции и детской порнографии)</w:t>
      </w:r>
    </w:p>
    <w:p w14:paraId="7A91551D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 эксплуатация</w:t>
      </w:r>
      <w:r>
        <w:t xml:space="preserve"> </w:t>
      </w:r>
    </w:p>
    <w:p w14:paraId="347B2A27" w14:textId="58EF280C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>
        <w:t>24.</w:t>
      </w:r>
      <w:r>
        <w:tab/>
        <w:t>Комитет приветствует ряд позитивных шагов, включая внесение поправок в Закон о предотвращении домашнего насилия, принятие Национального плана действий по предупреждению насилия в отношении детей и реагированию на него (на</w:t>
      </w:r>
      <w:r w:rsidR="0047629E">
        <w:rPr>
          <w:lang w:val="en-US"/>
        </w:rPr>
        <w:t> </w:t>
      </w:r>
      <w:r>
        <w:t>2024–2028 годы), обновление руководства по процедурам реагирования на случаи гендерного и домашнего насилия и механизмам их передачи в соответствующие учреждения (2025 год), разработку минимальных стандартов предоставления услуг в случаях домашнего насилия (2024 год) и создание общедоступной базы данных с перечнем лиц, совершивших сексуальные преступления в отношении детей (2023 год). Он, однако, по-прежнему серьезно обеспокоен:</w:t>
      </w:r>
    </w:p>
    <w:p w14:paraId="740CF44E" w14:textId="77777777" w:rsidR="001269FA" w:rsidRPr="00807ED4" w:rsidRDefault="001269FA" w:rsidP="001269FA">
      <w:pPr>
        <w:pStyle w:val="SingleTxtG"/>
        <w:rPr>
          <w:bCs/>
        </w:rPr>
      </w:pPr>
      <w:r w:rsidRPr="001269FA">
        <w:tab/>
      </w:r>
      <w:r>
        <w:t>a)</w:t>
      </w:r>
      <w:r>
        <w:tab/>
        <w:t>распространенностью насилия в отношении детей, включая домашнее, сексуальное и гендерное насилие, жестокое обращение, отсутствие заботы и насилие онлайн;</w:t>
      </w:r>
    </w:p>
    <w:p w14:paraId="300541E2" w14:textId="77777777" w:rsidR="001269FA" w:rsidRPr="00807ED4" w:rsidRDefault="001269FA" w:rsidP="001269FA">
      <w:pPr>
        <w:pStyle w:val="SingleTxtG"/>
        <w:rPr>
          <w:bCs/>
        </w:rPr>
      </w:pPr>
      <w:r w:rsidRPr="001269FA">
        <w:tab/>
      </w:r>
      <w:r>
        <w:t>b)</w:t>
      </w:r>
      <w:r>
        <w:tab/>
        <w:t>тем, что эксплуатация детей не квалифицируется в Уголовно-процессуальном кодексе как особо тяжкое преступление и, следовательно, расследования и судебные разбирательства в отношении взрослых, эксплуатирующих детей в преступных целях, по закону должны быть завершены в течение 30 дней, что приводит к безнаказанности преступников;</w:t>
      </w:r>
    </w:p>
    <w:p w14:paraId="54BD4428" w14:textId="77777777" w:rsidR="001269FA" w:rsidRPr="00807ED4" w:rsidRDefault="001269FA" w:rsidP="001269FA">
      <w:pPr>
        <w:pStyle w:val="SingleTxtG"/>
      </w:pPr>
      <w:r w:rsidRPr="001269FA">
        <w:tab/>
      </w:r>
      <w:r>
        <w:t>c)</w:t>
      </w:r>
      <w:r>
        <w:tab/>
        <w:t>социальными факторами, в том числе культурными табу, стигматизацией и недостаточной законодательной защитой, которые препятствуют эффективной профилактике, своевременному сообщению о нарушениях и принятию мер реагирования.</w:t>
      </w:r>
    </w:p>
    <w:p w14:paraId="7BEC9030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25.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ссылается на свои предыдущие заключительные замечания</w:t>
      </w:r>
      <w:r w:rsidRPr="00A84E58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государству-участнику:</w:t>
      </w:r>
    </w:p>
    <w:p w14:paraId="3D648397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продолжать эффективное осуществление Национального плана действий по предупреждению насилия в отношении детей и реагированию на него и с этой целью обеспечить выделение достаточного финансирования, укрепление потенциала, а также создание надежной системы мониторинга и оценки;</w:t>
      </w:r>
    </w:p>
    <w:p w14:paraId="5418FEF6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уделять приоритетное внимание проведению расследований и судебных разбирательств в отношении взрослых, эксплуатирующих детей в преступных целях, и рассмотреть возможность внесения поправок в Уголовно-процессуальный кодекс с целью либо включить эксплуатацию детей в категорию особо тяжких преступлений, либо продлить сроки проведения расследований;</w:t>
      </w:r>
    </w:p>
    <w:p w14:paraId="5DFA0BAA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укреплять потенциал сотрудников правоохранительных органов и социальных работников по эффективному расследованию дел, связанных с онлайновой сексуальной эксплуатацией детей, насилием над детьми и грумингом;</w:t>
      </w:r>
    </w:p>
    <w:p w14:paraId="5C9E72F7" w14:textId="77777777" w:rsidR="001269FA" w:rsidRPr="00A8096F" w:rsidRDefault="001269FA" w:rsidP="001269FA">
      <w:pPr>
        <w:pStyle w:val="SingleTxtG"/>
        <w:rPr>
          <w:rFonts w:eastAsia="Calibri"/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 xml:space="preserve">обеспечить, чтобы обо всех случаях жестокого обращения с детьми, включая сексуальные надругательства, своевременно сообщалось и по ним </w:t>
      </w:r>
      <w:r w:rsidRPr="00A8096F">
        <w:rPr>
          <w:b/>
          <w:bCs/>
        </w:rPr>
        <w:lastRenderedPageBreak/>
        <w:t xml:space="preserve">проводились расследования на основе многосекторального подхода, учитывающего интересы ребенка, с целью недопущения повторной виктимизации детей, чтобы виновные привлекались к ответственности и несли должное наказание, а пострадавшим предоставлялась надлежащая компенсация; </w:t>
      </w:r>
    </w:p>
    <w:p w14:paraId="45AD5163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>обеспечить обязательное сообщение обо всех формах насилия в отношении детей, распространение информации об имеющихся механизмах подачи жалоб и соответствующих координационных центрах для получения таких жалоб, а также повышать осведомленность родителей, лиц, осуществляющих уход, специалистов и самих детей о важности информирования и раннего вмешательства в случаях надругательства и насилия над детьми;</w:t>
      </w:r>
    </w:p>
    <w:p w14:paraId="25180CC5" w14:textId="77777777" w:rsidR="001269FA" w:rsidRPr="00807ED4" w:rsidRDefault="001269FA" w:rsidP="001269FA">
      <w:pPr>
        <w:pStyle w:val="SingleTxtG"/>
      </w:pPr>
      <w:r w:rsidRPr="001269FA">
        <w:rPr>
          <w:b/>
          <w:bCs/>
        </w:rPr>
        <w:tab/>
      </w:r>
      <w:r w:rsidRPr="00A8096F">
        <w:rPr>
          <w:b/>
          <w:bCs/>
        </w:rPr>
        <w:t>f)</w:t>
      </w:r>
      <w:r>
        <w:tab/>
      </w:r>
      <w:r>
        <w:rPr>
          <w:b/>
          <w:bCs/>
        </w:rPr>
        <w:t>дополнительно активизировать информационно-просветительские программы, в том числе кампании, с участием детей с целью повышения информированности общества, снижения уровня стигматизации, поощрения сообщения о нарушениях и преодоления культурных табу, связанных с сексуальным и гендерным насилием;</w:t>
      </w:r>
      <w:r>
        <w:t xml:space="preserve"> </w:t>
      </w:r>
      <w:r>
        <w:rPr>
          <w:b/>
          <w:bCs/>
        </w:rPr>
        <w:t>и привлекать к этой работе лидеров общин и островов, религиозных деятелей и средства массовой информации.</w:t>
      </w:r>
    </w:p>
    <w:p w14:paraId="26AEB82F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Телесные наказания</w:t>
      </w:r>
    </w:p>
    <w:p w14:paraId="17DCBC04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0A25B03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 xml:space="preserve">в соответствии с Законом о защите прав ребенка неукоснительно и эффективно соблюдать запрет на телесные наказания, включая порку, в любых обстоятельствах, в том числе в семье, в школах, детских учреждениях и учреждениях альтернативного ухода, а также в рамках системы отправления правосудия в отношении детей; </w:t>
      </w:r>
    </w:p>
    <w:p w14:paraId="62E6ABE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поощрять позитивные, ненасильственные и основанные на участии формы воспитания детей и инициативы по формированию позитивного подхода к воспитанию, такие как </w:t>
      </w:r>
      <w:r w:rsidRPr="00391C59">
        <w:rPr>
          <w:b/>
          <w:bCs/>
        </w:rPr>
        <w:t>«</w:t>
      </w:r>
      <w:r w:rsidRPr="00A8096F">
        <w:rPr>
          <w:b/>
          <w:bCs/>
        </w:rPr>
        <w:t>Совместная программа по позитивному воспитанию</w:t>
      </w:r>
      <w:r w:rsidRPr="00391C59">
        <w:rPr>
          <w:b/>
          <w:bCs/>
        </w:rPr>
        <w:t>»</w:t>
      </w:r>
      <w:r w:rsidRPr="00A8096F">
        <w:rPr>
          <w:b/>
          <w:bCs/>
        </w:rPr>
        <w:t>;</w:t>
      </w:r>
    </w:p>
    <w:p w14:paraId="465DF9BD" w14:textId="77777777" w:rsidR="001269FA" w:rsidRPr="00807ED4" w:rsidRDefault="001269FA" w:rsidP="001269FA">
      <w:pPr>
        <w:pStyle w:val="SingleTxtG"/>
      </w:pPr>
      <w:r w:rsidRPr="00391C59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продолжать проведение информационно-просветительских кампаний для родителей и специалистов, работающих с детьми или в их интересах, с целью содействия изменению отношения к телесным наказаниям в семье и на уровне общин.</w:t>
      </w:r>
    </w:p>
    <w:p w14:paraId="1E429750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Бандитизм</w:t>
      </w:r>
    </w:p>
    <w:p w14:paraId="7BB38EC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27.</w:t>
      </w:r>
      <w:r>
        <w:tab/>
      </w:r>
      <w:r>
        <w:rPr>
          <w:b/>
          <w:bCs/>
        </w:rPr>
        <w:t>Отмечая негативное воздействие бандитизма на права детей, в частности тот факт, что дети в возрасте до 15 лет подвергаются эксплуатации со стороны банд для торговли наркотиками и совершения других преступлений, поскольку они не могут быть привлечены к уголовной ответственности, Комитет приветствует принятие Закона о предотвращении бандитизма и других тяжких преступлений (Закон № 7/2025) и настоятельно призывает государство-участник:</w:t>
      </w:r>
      <w:r>
        <w:t xml:space="preserve"> </w:t>
      </w:r>
    </w:p>
    <w:p w14:paraId="3278993F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провести оценку эффективности Закона о предотвращении бандитизма и других тяжких преступлений;</w:t>
      </w:r>
    </w:p>
    <w:p w14:paraId="579BC79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принять комплексные стратегии для эффективного противодействия последствиям, которые имеет для детей бандитизм и связанный с ним незаконный оборот наркотиков; такие стратегии не должны быть направлены на снижение возраста уголовной ответственности, а должны в первую очередь быть сфокусированы на устранении коренных причин эксплуатации детей в бандах и в преступной деятельности, связанной с наркотиками, а также социальных факторов, из-за которых дети попадают в банды, и включать меры по социальной интеграции детей и подростков, находящихся в маргинализированном положении; </w:t>
      </w:r>
    </w:p>
    <w:p w14:paraId="0E451DE3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 xml:space="preserve">активизировать усилия по борьбе с бандами и другими преступными элементами в обществе, которые используют детей в своей преступной </w:t>
      </w:r>
      <w:r w:rsidRPr="00A8096F">
        <w:rPr>
          <w:b/>
          <w:bCs/>
        </w:rPr>
        <w:lastRenderedPageBreak/>
        <w:t>деятельности; проводить расследования, привлекать виновных к ответственности и назначать им соответствующие наказания; и предоставлять компенсацию пострадавшим детям;</w:t>
      </w:r>
    </w:p>
    <w:p w14:paraId="0C98571F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 xml:space="preserve">создать механизмы для реабилитации детей в возрасте до 15 лет без требования об их привлечении к уголовной ответственности и обеспечить участие социальных служб в принятии комплексных мер; </w:t>
      </w:r>
    </w:p>
    <w:p w14:paraId="4B5308F1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>
        <w:tab/>
      </w:r>
      <w:r>
        <w:rPr>
          <w:b/>
          <w:bCs/>
        </w:rPr>
        <w:t>принять программы, направленные на предоставление помощи и защиты детям, которые эксплуатируются членами банд, с тем чтобы они могли покинуть банды и реинтегрироваться в общество.</w:t>
      </w:r>
    </w:p>
    <w:p w14:paraId="4B8AE6BB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  <w:rPr>
          <w:rFonts w:eastAsia="Calibri"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2AC28454" w14:textId="6679AC8E" w:rsidR="001269FA" w:rsidRPr="00807ED4" w:rsidRDefault="001269FA" w:rsidP="001269FA">
      <w:pPr>
        <w:pStyle w:val="SingleTxtG"/>
        <w:rPr>
          <w:rFonts w:eastAsia="Calibri"/>
        </w:rPr>
      </w:pPr>
      <w:r>
        <w:t>28.</w:t>
      </w:r>
      <w:r>
        <w:tab/>
      </w:r>
      <w:r>
        <w:rPr>
          <w:b/>
          <w:bCs/>
        </w:rPr>
        <w:t>Комитет приветствует запрет на детские браки, закрепленный в Законе о защите прав ребенка, однако выражает обеспокоенность в связи с тем, что нерегулируемые и нерегистрируемые детские браки по-прежнему имеют место.</w:t>
      </w:r>
      <w:r>
        <w:t xml:space="preserve"> </w:t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по вредной практике и принимая во внимание задачу</w:t>
      </w:r>
      <w:r w:rsidR="00316B67">
        <w:rPr>
          <w:lang w:val="en-US"/>
        </w:rPr>
        <w:t> </w:t>
      </w:r>
      <w:r>
        <w:rPr>
          <w:b/>
          <w:bCs/>
        </w:rPr>
        <w:t>5.3 целей в области устойчивого развития, Комитет рекомендует государству-участнику:</w:t>
      </w:r>
    </w:p>
    <w:p w14:paraId="035B4FAE" w14:textId="77777777" w:rsidR="001269FA" w:rsidRPr="00A8096F" w:rsidRDefault="001269FA" w:rsidP="001269FA">
      <w:pPr>
        <w:pStyle w:val="SingleTxtG"/>
        <w:rPr>
          <w:rFonts w:eastAsia="Calibri"/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разработать для домохозяйств, местных органов власти, религиозных лидеров, судей и прокуроров информационно-просветительские кампании и программы, посвященные пагубным последствиям детских браков и калечащих операций на женских половых органах для физического и психического здоровья и благополучия девочек;</w:t>
      </w:r>
    </w:p>
    <w:p w14:paraId="610C6C6C" w14:textId="77777777" w:rsidR="001269FA" w:rsidRPr="00807ED4" w:rsidRDefault="001269FA" w:rsidP="001269FA">
      <w:pPr>
        <w:pStyle w:val="SingleTxtG"/>
        <w:rPr>
          <w:rFonts w:eastAsia="Calibri"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>
        <w:tab/>
      </w:r>
      <w:r>
        <w:rPr>
          <w:b/>
          <w:bCs/>
        </w:rPr>
        <w:t>создать программы защиты жертв детских браков и калечащих операций на женских половых органах, подавших соответствующую жалобу.</w:t>
      </w:r>
    </w:p>
    <w:p w14:paraId="34A85D80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Факультативный протокол к Конвенции о правах ребенка, касающийся торговли детьми, детской проституции и детской порнографии</w:t>
      </w:r>
    </w:p>
    <w:p w14:paraId="3A17D16A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29.</w:t>
      </w:r>
      <w:r>
        <w:tab/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 пунктом 1 статьи 12 Факультативного протокола, касающегося торговли детьми, детской проституции и детской порнографии</w:t>
      </w:r>
      <w:r w:rsidRPr="00A84E58">
        <w:rPr>
          <w:rStyle w:val="aa"/>
        </w:rPr>
        <w:footnoteReference w:id="11"/>
      </w:r>
      <w:r>
        <w:rPr>
          <w:b/>
          <w:bCs/>
        </w:rPr>
        <w:t>, а также на свои руководящие принципы 2019 года по осуществлению Факультативного протокола</w:t>
      </w:r>
      <w:r w:rsidRPr="00A84E58">
        <w:rPr>
          <w:rStyle w:val="aa"/>
        </w:rPr>
        <w:footnoteReference w:id="12"/>
      </w:r>
      <w:r>
        <w:rPr>
          <w:b/>
          <w:bCs/>
        </w:rPr>
        <w:t>, Комитет рекомендует государству-участнику:</w:t>
      </w:r>
    </w:p>
    <w:p w14:paraId="3EC9A826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обеспечить эффективное применение действующего законодательства, защищающего детей от преступлений, охватываемых Факультативным протоколом;</w:t>
      </w:r>
    </w:p>
    <w:p w14:paraId="59448F1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внести поправки в национальный протокол по выявлению, направлению в соответствующие службы и защите жертв;</w:t>
      </w:r>
    </w:p>
    <w:p w14:paraId="36319A81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осуществлять сбор дезагрегированных данных по всем преступлениям, охватываемым Факультативным протоколом, и обеспечить надлежащую подготовку следователей по правовым аспектам и различным видам вышеупомянутых преступлений;</w:t>
      </w:r>
    </w:p>
    <w:p w14:paraId="28010F19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>
        <w:tab/>
      </w:r>
      <w:r>
        <w:rPr>
          <w:b/>
          <w:bCs/>
        </w:rPr>
        <w:t>преследовать в судебном порядке без каких-либо исключений лиц, виновных в совершении всех преступлений, охватываемых Факультативным протоколом, и в случае признания их виновными назначать им наказания без возможности помилования.</w:t>
      </w:r>
      <w:r>
        <w:t xml:space="preserve"> </w:t>
      </w:r>
    </w:p>
    <w:p w14:paraId="4BACE974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lastRenderedPageBreak/>
        <w:tab/>
      </w:r>
      <w:r>
        <w:tab/>
      </w:r>
      <w:r>
        <w:rPr>
          <w:bCs/>
        </w:rPr>
        <w:t>Реабилитация и реинтеграция детей-жертв</w:t>
      </w:r>
    </w:p>
    <w:p w14:paraId="4384E9E5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>30.</w:t>
      </w:r>
      <w:r>
        <w:tab/>
      </w:r>
      <w:r>
        <w:rPr>
          <w:b/>
          <w:bCs/>
        </w:rPr>
        <w:t>Принимая во внимание усилия государства-участника, Комитет рекомендует ему обеспечить полноценный учет, в законодательстве и на практике, Руководящих принципов, касающихся правосудия в вопросах, связанных с участием детей-жертв и свидетелей преступлений.</w:t>
      </w:r>
      <w:r>
        <w:t xml:space="preserve"> </w:t>
      </w:r>
      <w:r>
        <w:rPr>
          <w:b/>
          <w:bCs/>
        </w:rPr>
        <w:t>В частности, при работе с детьми-жертвами и детьми-свидетелями государству-участнику следует сделать общедоступной возможность использования видеосвязи, гарантировать, чтобы дети давали показания в адаптированных под них условиях и только один раз во избежание их травмирования, обеспечить, чтобы детей информировали на понятном для них языке о последствиях раскрытия информации и чтобы адвокаты защиты проходили специальную подготовку, а также прямо указать в Законе о борьбе с пытками, что дети являются жертвами.</w:t>
      </w:r>
    </w:p>
    <w:p w14:paraId="5D0DDF77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E.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7842B9EF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Семейное окружение</w:t>
      </w:r>
    </w:p>
    <w:p w14:paraId="32E400A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обращает внимание государства-участника на свое заявление по статье 5 Конвенции</w:t>
      </w:r>
      <w:r w:rsidRPr="00A84E58">
        <w:rPr>
          <w:rStyle w:val="aa"/>
        </w:rPr>
        <w:footnoteReference w:id="13"/>
      </w:r>
      <w:r>
        <w:rPr>
          <w:b/>
          <w:bCs/>
        </w:rPr>
        <w:t>, ссылается на свои предыдущие заключительные замечания</w:t>
      </w:r>
      <w:r w:rsidRPr="00A84E58">
        <w:rPr>
          <w:rStyle w:val="aa"/>
        </w:rPr>
        <w:footnoteReference w:id="14"/>
      </w:r>
      <w:r>
        <w:rPr>
          <w:b/>
          <w:bCs/>
        </w:rPr>
        <w:t xml:space="preserve"> и рекомендует государству-участнику:</w:t>
      </w:r>
    </w:p>
    <w:p w14:paraId="6FF9159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обеспечить, чтобы в случае раздельного проживания родителей мать и отец разделяли родительские обязанности, за исключением тех случаев, когда это не отвечает принципу наилучшего обеспечения интересов ребенка, а также обеспечить учет мнений детей и уделение первоочередного внимания наилучшему обеспечению их интересов, и в этих целях укреплять потенциал судебных органов по проведению такой оценки;</w:t>
      </w:r>
    </w:p>
    <w:p w14:paraId="41BE8B1D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обеспечить, чтобы женщины не лишались права опеки над своими детьми в случае заключения нового брака;</w:t>
      </w:r>
    </w:p>
    <w:p w14:paraId="45EBAD2E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работать над искоренением полигамии в законодательстве и на практике, одновременно принимая меры по предотвращению ее возможного вредного влияния на детей;</w:t>
      </w:r>
    </w:p>
    <w:p w14:paraId="7D5F88C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>улучшить контроль за выплатой пособия для одиноких родителей, чтобы обеспечить его получение имеющими на него право семьями;</w:t>
      </w:r>
    </w:p>
    <w:p w14:paraId="550F875F" w14:textId="77777777" w:rsidR="001269FA" w:rsidRPr="00807ED4" w:rsidRDefault="001269FA" w:rsidP="001269FA">
      <w:pPr>
        <w:pStyle w:val="SingleTxtG"/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>
        <w:tab/>
      </w:r>
      <w:r>
        <w:rPr>
          <w:b/>
          <w:bCs/>
        </w:rPr>
        <w:t>повысить доступность, в том числе финансовую, и увеличить число учреждений системы ухода за детьми в дневное время.</w:t>
      </w:r>
    </w:p>
    <w:p w14:paraId="4FC92732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72F18147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32.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 и подчеркивая, что финансовая и материальная нужда или условия, прямо или исключительно спровоцированные такой нуждой, никогда не могут быть единственным основанием для изъятия ребенка из-под родительской опеки, помещения ребенка в условия альтернативного ухода или препятствием для его реинтеграции, Комитет рекомендует государству-участнику:</w:t>
      </w:r>
    </w:p>
    <w:p w14:paraId="35F97203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 xml:space="preserve">постепенно отказаться от помещения детей в специализированные учреждения и незамедлительно принять стратегию и план действий по деинституционализации, обеспечив, чтобы они подкреплялись достаточными людскими, техническими и финансовыми ресурсами для их реализации и </w:t>
      </w:r>
      <w:r w:rsidRPr="00A8096F">
        <w:rPr>
          <w:b/>
          <w:bCs/>
        </w:rPr>
        <w:lastRenderedPageBreak/>
        <w:t>предусматривали системное преобразование органов по уходу за детьми, социальному обеспечению и защите;</w:t>
      </w:r>
    </w:p>
    <w:p w14:paraId="3D97A240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обеспечить наличие достаточного количества альтернативных вариантов ухода за детьми на базе семьи и общины для детей, которые не могут оставаться в своих семьях, в том числе посредством выделения достаточных финансовых ресурсов на патронатное воспитание, регулярного пересмотра решений о помещении детей на воспитание и содействия воссоединению детей со своими семьями, когда это отвечает принципу наилучшего обеспечения их интересов; </w:t>
      </w:r>
    </w:p>
    <w:p w14:paraId="7D383DD3" w14:textId="0FCC9BB2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продолжать укреплять систему патронатного воспитания путем осуществления Положения о приемных семьях (2024) и выделения для этого, а также для функционирования Комиссии по вопросам патронатного воспитания достаточных ресурсов, а также путем выплаты денежных пособий приемным семьям и усиления контроля за их деятельностью;</w:t>
      </w:r>
      <w:r>
        <w:t xml:space="preserve"> </w:t>
      </w:r>
    </w:p>
    <w:p w14:paraId="71A8B9EA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>установить стандарты качества для всех учреждений альтернативного ухода, обеспечить периодический пересмотр решений о передаче детей на воспитание в приемные семьи и их помещении в специализированные учреждения, а также контролировать качество ухода за детьми в этих условиях, в том числе путем предоставления доступных каналов для подачи жалоб и отслеживания и решения проблем, связанных с неправомерным обращением с детьми;</w:t>
      </w:r>
    </w:p>
    <w:p w14:paraId="70F1465B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>укреплять потенциал специалистов,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 ухода на базе семьи и повышать их осведомленность о правах и потребностях детей, лишенных семейного окружения;</w:t>
      </w:r>
    </w:p>
    <w:p w14:paraId="7325171A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f)</w:t>
      </w:r>
      <w:r>
        <w:tab/>
      </w:r>
      <w:r>
        <w:rPr>
          <w:b/>
          <w:bCs/>
        </w:rPr>
        <w:t xml:space="preserve">продолжать деятельность по информированию общественности о системе </w:t>
      </w:r>
      <w:bookmarkStart w:id="1" w:name="_Hlk209646556"/>
      <w:r w:rsidRPr="00A8096F">
        <w:rPr>
          <w:b/>
          <w:bCs/>
        </w:rPr>
        <w:t>«</w:t>
      </w:r>
      <w:bookmarkEnd w:id="1"/>
      <w:r>
        <w:rPr>
          <w:b/>
          <w:bCs/>
        </w:rPr>
        <w:t>кафала</w:t>
      </w:r>
      <w:bookmarkStart w:id="2" w:name="_Hlk156293810"/>
      <w:r w:rsidRPr="00A8096F">
        <w:rPr>
          <w:b/>
          <w:bCs/>
        </w:rPr>
        <w:t>»</w:t>
      </w:r>
      <w:bookmarkEnd w:id="2"/>
      <w:r>
        <w:rPr>
          <w:b/>
          <w:bCs/>
        </w:rPr>
        <w:t xml:space="preserve"> и ее преимуществах.</w:t>
      </w:r>
    </w:p>
    <w:p w14:paraId="70F43EFF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6521B4E5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обеспечить, чтобы дети, родители которых находятся в заключении, пользовались всеми правами, закрепленными в Конвенции.</w:t>
      </w:r>
    </w:p>
    <w:p w14:paraId="5925A38F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Дети-инвалиды (статья 23)</w:t>
      </w:r>
    </w:p>
    <w:p w14:paraId="14009425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34.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отмечает внесение поправок в Закон об инвалидах и принятие Национального плана действий по интеграции инвалидов и настоятельно призывает государство-участник применять правозащитный подход к инвалидности, разработать комплексную стратегию по интеграции детей-инвалидов, а также:</w:t>
      </w:r>
    </w:p>
    <w:p w14:paraId="7540183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продолжать укреплять программы, структуры и механизмы, направленные на поддержку детей-инвалидов, включая программу по предоставлению поддержки на уровне общин (Ijthimaaee Badhahi Madhahuverin), программу мониторинга и содействия развитию, Комитет по вопросам раннего выявления инвалидности, Национальный реестр данных об инвалидах, программу выплаты пособий по инвалидности, Национальное агентство социальной защиты и Национальный план действий по интеграции инвалидов, особенно на удаленных островах;</w:t>
      </w:r>
    </w:p>
    <w:p w14:paraId="36ED1E51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разработать оптимизированный и систематизированный механизм направления людей в соответствующие службы, с тем чтобы дети с возможными задержками в развитии своевременно направлялись на обследование на предмет </w:t>
      </w:r>
      <w:r w:rsidRPr="00A8096F">
        <w:rPr>
          <w:b/>
          <w:bCs/>
        </w:rPr>
        <w:lastRenderedPageBreak/>
        <w:t>инвалидности, проходили такое обследование и получали доступ к соответствующим услугам поддержки;</w:t>
      </w:r>
    </w:p>
    <w:p w14:paraId="41B0CF7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расширить спектр специализированных медицинских услуг для детей-инвалидов за счет привлечения квалифицированных детских психологов, психиатров, эрготерапевтов, логопедов и физиотерапевтов, в особенности в региональных больницах;</w:t>
      </w:r>
    </w:p>
    <w:p w14:paraId="37149B85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>расширить обучение жестовому языку для сотрудников всех служб, работающих непосредственно с населением, включая медицинских работников, учителей и сотрудников правоохранительных органов, и создать национальный пул профессиональных переводчиков жестового языка, услуги которых будут доступны в больницах, школах и судах;</w:t>
      </w:r>
    </w:p>
    <w:p w14:paraId="2C9EFE22" w14:textId="7B5F3463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 xml:space="preserve">облегчить доступ к специализированным медицинским услугам и вспомогательным устройствам в рамках государственной программы медицинского страхования </w:t>
      </w:r>
      <w:r w:rsidR="00640BC4" w:rsidRPr="00640BC4">
        <w:rPr>
          <w:b/>
          <w:bCs/>
        </w:rPr>
        <w:t>«</w:t>
      </w:r>
      <w:r w:rsidRPr="00A8096F">
        <w:rPr>
          <w:b/>
          <w:bCs/>
        </w:rPr>
        <w:t>Аасанда</w:t>
      </w:r>
      <w:r w:rsidR="00640BC4" w:rsidRPr="00640BC4">
        <w:rPr>
          <w:b/>
          <w:bCs/>
        </w:rPr>
        <w:t>»</w:t>
      </w:r>
      <w:r w:rsidRPr="00A8096F">
        <w:rPr>
          <w:b/>
          <w:bCs/>
        </w:rPr>
        <w:t>, в особенности для детей, проживающих на удаленных островах;</w:t>
      </w:r>
    </w:p>
    <w:p w14:paraId="6A881665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f)</w:t>
      </w:r>
      <w:r w:rsidRPr="00A8096F">
        <w:rPr>
          <w:b/>
          <w:bCs/>
        </w:rPr>
        <w:tab/>
        <w:t>обеспечивать защиту детей-инвалидов, в особенности девочек, от насилия, включая сексуальные надругательства и буллинг в школах, и предоставить подробную информацию о мерах, принятых для укрепления механизмов расследования, судебного преследования и предоставления помощи в таких случаях;</w:t>
      </w:r>
    </w:p>
    <w:p w14:paraId="01D01BCD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g)</w:t>
      </w:r>
      <w:r w:rsidRPr="00A8096F">
        <w:rPr>
          <w:b/>
          <w:bCs/>
        </w:rPr>
        <w:tab/>
        <w:t>повышать осведомленность лиц, осуществляющих уход за детьми-инвалидами, о наличии и преимуществах удостоверения инвалида, выдаваемого Национальным агентством социальной защиты;</w:t>
      </w:r>
    </w:p>
    <w:p w14:paraId="27C74BA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h)</w:t>
      </w:r>
      <w:r w:rsidRPr="00A8096F">
        <w:rPr>
          <w:b/>
          <w:bCs/>
        </w:rPr>
        <w:tab/>
        <w:t>проводить информационно-просветительские кампании для государственных должностных лиц, общественности и семей с целью борьбы со стигматизацией и предрассудками в отношении детей-инвалидов и содействия формированию положительного образа таких детей как правообладателей;</w:t>
      </w:r>
    </w:p>
    <w:p w14:paraId="23AE511D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i)</w:t>
      </w:r>
      <w:r>
        <w:tab/>
      </w:r>
      <w:r>
        <w:rPr>
          <w:b/>
          <w:bCs/>
        </w:rPr>
        <w:t>продолжать укреплять координацию для оказания всесторонней поддержки детям с любыми формами инвалидности.</w:t>
      </w:r>
    </w:p>
    <w:p w14:paraId="716A9149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G.</w:t>
      </w:r>
      <w:r>
        <w:tab/>
      </w:r>
      <w:r>
        <w:rPr>
          <w:bCs/>
        </w:rPr>
        <w:t>Здоровье (статьи 6, 24 и 33)</w:t>
      </w:r>
    </w:p>
    <w:p w14:paraId="20548FDD" w14:textId="04E74184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671FCBF4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35.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49E0321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продолжать расширять доступ к базовым услугам в области охраны здоровья матери и ребенка, психического здоровья и здоровья подростков для детей, проживающих на отдаленных островах;</w:t>
      </w:r>
    </w:p>
    <w:p w14:paraId="38EEB67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сдерживать рост числа случаев неинфекционных заболеваний, респираторных заболеваний и гриппа, а также решать проблемы недоедания и растущих показателей ожирения, вызванных нездоровым питанием и недостаточной физической активностью;</w:t>
      </w:r>
    </w:p>
    <w:p w14:paraId="38DB7EE0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обеспечить более широкую доступность запасов безопасной крови, включая создание инфраструктуры для сбора, хранения и обработки крови на удаленных островах;</w:t>
      </w:r>
    </w:p>
    <w:p w14:paraId="579F2A5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>увеличить число прошедших соответствующую подготовку медицинских работников и проводить целевые информационно-просветительские кампании на уровне общин для преодоления скептицизма населения в отношении вакцин и борьбы с ложной информацией;</w:t>
      </w:r>
    </w:p>
    <w:p w14:paraId="1027688E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>улучшить инфраструктуру и потенциал по оказанию неотложной акушерской помощи в медицинских учреждениях на атоллах;</w:t>
      </w:r>
    </w:p>
    <w:p w14:paraId="52E2BE1E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lastRenderedPageBreak/>
        <w:tab/>
      </w:r>
      <w:r w:rsidRPr="00A8096F">
        <w:rPr>
          <w:b/>
          <w:bCs/>
        </w:rPr>
        <w:t>f)</w:t>
      </w:r>
      <w:r>
        <w:tab/>
      </w:r>
      <w:r>
        <w:rPr>
          <w:b/>
          <w:bCs/>
        </w:rPr>
        <w:t>поощрять здоровый образ жизни и поведение с раннего возраста и бороться с распространенностью ожирения путем формирования привычек здорового питания и физической активности, уделяя при этом первоочередное внимание работе на уровне школ и общин;</w:t>
      </w:r>
    </w:p>
    <w:p w14:paraId="5FA45705" w14:textId="01A7610F" w:rsidR="001269FA" w:rsidRPr="00807ED4" w:rsidRDefault="00640BC4" w:rsidP="001269FA">
      <w:pPr>
        <w:pStyle w:val="SingleTxtG"/>
        <w:rPr>
          <w:b/>
        </w:rPr>
      </w:pPr>
      <w:r w:rsidRPr="004E3B47">
        <w:tab/>
      </w:r>
      <w:r w:rsidR="001269FA" w:rsidRPr="00640BC4">
        <w:rPr>
          <w:b/>
          <w:bCs/>
        </w:rPr>
        <w:t>g)</w:t>
      </w:r>
      <w:r w:rsidR="001269FA">
        <w:tab/>
      </w:r>
      <w:r w:rsidR="001269FA">
        <w:rPr>
          <w:b/>
          <w:bCs/>
        </w:rPr>
        <w:t>поощрять, защищать и поддерживать грудное вскармливание во всех областях политики, где это может оказать влияние на здоровье детей, включая борьбу с ожирением и определенными неинфекционными заболеваниями и охрану психического здоровья, и в полной мере применять на практике положения Международного свода правил по сбыту заменителей грудного молока.</w:t>
      </w:r>
      <w:r w:rsidR="001269FA">
        <w:t xml:space="preserve"> </w:t>
      </w:r>
    </w:p>
    <w:p w14:paraId="3EAB37A7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Психическое здоровье и здоровье подростков</w:t>
      </w:r>
    </w:p>
    <w:p w14:paraId="4982DD88" w14:textId="73FA6EC4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>
        <w:t>36.</w:t>
      </w:r>
      <w:r>
        <w:tab/>
        <w:t xml:space="preserve">Комитет отмечает усилия по улучшению услуг по охране психического здоровья в региональных учреждениях и на атоллах посредством реализации Центрального и регионального плана развития услуг в области психического здоровья (на 2022–2025 годы), включения просвещения по вопросам сексуального и репродуктивного здоровья в национальную учебную программу, распространения действия программы </w:t>
      </w:r>
      <w:r w:rsidR="00232775" w:rsidRPr="00413B3A">
        <w:t>«</w:t>
      </w:r>
      <w:r>
        <w:t>Аасанда</w:t>
      </w:r>
      <w:r w:rsidR="00232775" w:rsidRPr="00232775">
        <w:t>»</w:t>
      </w:r>
      <w:r>
        <w:t xml:space="preserve"> на частных поставщиков услуг в области психического здоровья, а также внесения поправок в Закон о борьбе с табакокурением, запрещающих электронные сигареты, вейпы и связанные с ними изделия, однако по-прежнему выражает серьезную обеспокоенность в связи с: </w:t>
      </w:r>
    </w:p>
    <w:p w14:paraId="3C797868" w14:textId="77777777" w:rsidR="001269FA" w:rsidRPr="00807ED4" w:rsidRDefault="001269FA" w:rsidP="001269FA">
      <w:pPr>
        <w:pStyle w:val="SingleTxtG"/>
        <w:rPr>
          <w:bCs/>
        </w:rPr>
      </w:pPr>
      <w:r w:rsidRPr="001269FA">
        <w:tab/>
      </w:r>
      <w:r>
        <w:t>a)</w:t>
      </w:r>
      <w:r>
        <w:tab/>
        <w:t xml:space="preserve">растущими проблемами в области психического здоровья детей; </w:t>
      </w:r>
    </w:p>
    <w:p w14:paraId="1B0D0AFF" w14:textId="77777777" w:rsidR="001269FA" w:rsidRPr="00807ED4" w:rsidRDefault="001269FA" w:rsidP="001269FA">
      <w:pPr>
        <w:pStyle w:val="SingleTxtG"/>
        <w:rPr>
          <w:bCs/>
        </w:rPr>
      </w:pPr>
      <w:r w:rsidRPr="001269FA">
        <w:tab/>
      </w:r>
      <w:r>
        <w:t>b)</w:t>
      </w:r>
      <w:r>
        <w:tab/>
        <w:t>препятствиями при получении доступа к услугам по охране сексуального и репродуктивного здоровья, включая средства контрацепции;</w:t>
      </w:r>
    </w:p>
    <w:p w14:paraId="5E6B8A9D" w14:textId="77777777" w:rsidR="001269FA" w:rsidRPr="00807ED4" w:rsidRDefault="001269FA" w:rsidP="001269FA">
      <w:pPr>
        <w:pStyle w:val="SingleTxtG"/>
        <w:rPr>
          <w:bCs/>
        </w:rPr>
      </w:pPr>
      <w:r w:rsidRPr="001269FA">
        <w:tab/>
      </w:r>
      <w:r>
        <w:t>c)</w:t>
      </w:r>
      <w:r>
        <w:tab/>
        <w:t>ростом масштабов злоупотребления психоактивными веществами, а также недостаточной осведомленностью о программах лечения и реабилитации и ограниченным характером этих программ.</w:t>
      </w:r>
    </w:p>
    <w:p w14:paraId="5EB188C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37.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а также на свои предыдущие заключительные замечания</w:t>
      </w:r>
      <w:r w:rsidRPr="00A84E58">
        <w:rPr>
          <w:rStyle w:val="aa"/>
        </w:rPr>
        <w:footnoteReference w:id="15"/>
      </w:r>
      <w:r>
        <w:rPr>
          <w:b/>
          <w:bCs/>
        </w:rPr>
        <w:t>, Комитет настоятельно призывает государство-участник:</w:t>
      </w:r>
    </w:p>
    <w:p w14:paraId="5BD9B2D4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принять законопроект о психическом здоровье, разработать комплексную стратегию по охране психического здоровья детей и продолжать принятие мер по децентрализации услуг по охране психического здоровья и их включения в систему оказания первичной медико-санитарной помощи, особенно на отдаленных островах, в том числе за счет дистанционного предоставления услуг по поддержке психического здоровья, например через Национальную горячую линию по вопросам психического здоровья;</w:t>
      </w:r>
    </w:p>
    <w:p w14:paraId="49AE5C1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принять комплексную стратегию по охране сексуального и репродуктивного здоровья подростков и продолжать принятие мер для включения предназначенного для подростков и соответствующего возрасту просвещения в области сексуального и репродуктивного здоровья в обязательную школьную программу, уделяя особое внимание профилактике ранней беременности и инфекций, передаваемых половым путем;</w:t>
      </w:r>
    </w:p>
    <w:p w14:paraId="411089FE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обеспечить, чтобы все подростки, включая тех, кто не посещает школу, и тех, кто проживает на отдаленных островах, получали конфиденциальные и учитывающие интересы ребенка сведения и услуги в области сексуального и репродуктивного здоровья, включая доступ к средствам контрацепции;</w:t>
      </w:r>
    </w:p>
    <w:p w14:paraId="328ABDBA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 xml:space="preserve">отменить уголовную ответственность за прерывание беременности в любых обстоятельствах и обеспечить девочкам-подросткам доступ к безопасным </w:t>
      </w:r>
      <w:r w:rsidRPr="00A8096F">
        <w:rPr>
          <w:b/>
          <w:bCs/>
        </w:rPr>
        <w:lastRenderedPageBreak/>
        <w:t xml:space="preserve">услугам по прерыванию беременности и последующему уходу, а также внимательное отношение к их мнениям и их должный учет в процессе принятия решений; </w:t>
      </w:r>
    </w:p>
    <w:p w14:paraId="0F9D43FE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</w:r>
      <w:r>
        <w:rPr>
          <w:b/>
          <w:bCs/>
        </w:rPr>
        <w:t>принимать меры для решения проблемы распространенности употребления наркотиков детьми и подростками, в частности за счет предоставления им точной и объективной информации и формирования навыков в отношении профилактики злоупотребления психоактивными веществами, включая табакокурение, вейпинг и алкоголь, а также разработать учитывающие интересы детей и доступные методы лечения наркозависимости и программы реабилитации.</w:t>
      </w:r>
      <w:r>
        <w:t xml:space="preserve"> </w:t>
      </w:r>
    </w:p>
    <w:p w14:paraId="1F461C53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C1352C">
        <w:rPr>
          <w:bCs/>
        </w:rPr>
        <w:tab/>
      </w:r>
      <w:r>
        <w:rPr>
          <w:bCs/>
        </w:rPr>
        <w:t>H.</w:t>
      </w:r>
      <w:r>
        <w:tab/>
      </w:r>
      <w:r>
        <w:rPr>
          <w:bCs/>
        </w:rPr>
        <w:t>Уровень жизни (пункт 3 статьи 18, статья 26 и пункты 1–3 статьи</w:t>
      </w:r>
      <w:r>
        <w:rPr>
          <w:lang w:val="en-US"/>
        </w:rPr>
        <w:t> </w:t>
      </w:r>
      <w:r>
        <w:rPr>
          <w:bCs/>
        </w:rPr>
        <w:t>27)</w:t>
      </w:r>
    </w:p>
    <w:p w14:paraId="5FB966B4" w14:textId="62E4C9EE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38.</w:t>
      </w:r>
      <w:r>
        <w:tab/>
      </w:r>
      <w:r>
        <w:rPr>
          <w:b/>
          <w:bCs/>
        </w:rPr>
        <w:t xml:space="preserve">Комитет отмечает программу </w:t>
      </w:r>
      <w:r w:rsidR="00F64B2A" w:rsidRPr="00F64B2A">
        <w:rPr>
          <w:b/>
          <w:bCs/>
        </w:rPr>
        <w:t>«</w:t>
      </w:r>
      <w:r>
        <w:rPr>
          <w:b/>
          <w:bCs/>
        </w:rPr>
        <w:t>Семья для каждого ребенка</w:t>
      </w:r>
      <w:r w:rsidR="00F64B2A" w:rsidRPr="00F64B2A">
        <w:rPr>
          <w:b/>
          <w:bCs/>
        </w:rPr>
        <w:t>»</w:t>
      </w:r>
      <w:r>
        <w:rPr>
          <w:b/>
          <w:bCs/>
        </w:rPr>
        <w:t xml:space="preserve"> (Komme Kujjakah Aailaaeh) и увеличение размера пособия для одиноких родителей и рекомендует государству-участнику:</w:t>
      </w:r>
      <w:r>
        <w:t xml:space="preserve"> </w:t>
      </w:r>
    </w:p>
    <w:p w14:paraId="66A5FD53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принимать целенаправленные меры для сокращения масштабов детской нищеты, в особенности среди детей из неполных семей, детей-инвалидов и детей, проживающих на отдаленных островах;</w:t>
      </w:r>
    </w:p>
    <w:p w14:paraId="08F4559D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обеспечить, чтобы помощь, предоставляемая по линии Национального агентства социальной защиты, доходила до детей, находящихся в наиболее неблагоприятных условиях, особенно тех, кто проживает за пределами столицы, и детей, принадлежащих к этническим меньшинствам; </w:t>
      </w:r>
    </w:p>
    <w:p w14:paraId="20851033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повышать осведомленность детей и семей о существующих программах социальной защиты и обеспечить доступ к этим программам для детей, проживающих в отдаленных районах.</w:t>
      </w:r>
    </w:p>
    <w:p w14:paraId="2BCB35CB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  <w:r>
        <w:t xml:space="preserve"> </w:t>
      </w:r>
    </w:p>
    <w:p w14:paraId="2DDB683E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  <w:color w:val="000000"/>
        </w:rPr>
      </w:pPr>
      <w:r>
        <w:t>39.</w:t>
      </w:r>
      <w:r>
        <w:tab/>
      </w:r>
      <w:r>
        <w:rPr>
          <w:b/>
          <w:bCs/>
        </w:rPr>
        <w:t>Принимая к сведению принятое государством-участником законодательство об охране окружающей среды, Комитет рекомендует ему:</w:t>
      </w:r>
      <w:r>
        <w:t xml:space="preserve"> </w:t>
      </w:r>
    </w:p>
    <w:p w14:paraId="553ACE8A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 xml:space="preserve">провести оценку воздействия загрязнения воздуха и морской среды, а также деградации морских экосистем на здоровье детей для разработки на ее основе подкрепленной достаточными ресурсами стратегии по исправлению ситуации и регулировать предельно допустимые концентрации загрязняющих веществ в воздухе и продуктах питания; </w:t>
      </w:r>
    </w:p>
    <w:p w14:paraId="4C1270EE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прекратить сжигание отходов в мусоросжигательных печах и под открытым небом и усилить меры по безопасному, в том числе с экологической точки зрения, обращению с отходами;</w:t>
      </w:r>
    </w:p>
    <w:p w14:paraId="7A832A68" w14:textId="77777777" w:rsidR="001269FA" w:rsidRPr="00807ED4" w:rsidRDefault="001269FA" w:rsidP="001269FA">
      <w:pPr>
        <w:pStyle w:val="SingleTxtG"/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обеспечить подготовку медицинских работников в области диагностики и лечения последствий ущерба, наносимого окружающей среде, для здоровья человека.</w:t>
      </w:r>
    </w:p>
    <w:p w14:paraId="14FED0B8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0E99DCE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40.</w:t>
      </w:r>
      <w:r>
        <w:tab/>
      </w:r>
      <w:r>
        <w:rPr>
          <w:b/>
          <w:bCs/>
        </w:rPr>
        <w:t>Комитет принимает к сведению Закон о чрезвычайной климатической ситуации 2021 года и начало осуществления Национального плана действий по борьбе с изменением климата, направленного на повышение устойчивости и низкоуглеродное развитие.</w:t>
      </w:r>
      <w:r>
        <w:t xml:space="preserve"> </w:t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3FBCCE15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lastRenderedPageBreak/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обеспечивать учет особых факторов уязвимости, потребностей и мнений детей при разработке мер политики и программ по решению проблем, связанных с изменением климата, и управлению риском бедствий;</w:t>
      </w:r>
    </w:p>
    <w:p w14:paraId="493AC3A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повышать осведомленность детей об изменении климата и стихийных бедствиях и готовность к ним путем включения соответствующих вопросов в школьный учебный план и программы подготовки преподавателей;</w:t>
      </w:r>
    </w:p>
    <w:p w14:paraId="6E700D0B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разработать стратегии обеспечения бесперебойного доступа к образованию и медицинским услугам с учетом частых экстремальных погодных явлений, особенно для небольших островных общин;</w:t>
      </w:r>
    </w:p>
    <w:p w14:paraId="5BB14E1D" w14:textId="77777777" w:rsidR="001269FA" w:rsidRPr="00807ED4" w:rsidRDefault="001269FA" w:rsidP="001269FA">
      <w:pPr>
        <w:pStyle w:val="SingleTxtG"/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>
        <w:tab/>
      </w:r>
      <w:r>
        <w:rPr>
          <w:b/>
          <w:bCs/>
        </w:rPr>
        <w:t>налаживать двустороннее, многостороннее, региональное и международное сотрудничество в целях выполнения данных рекомендаций.</w:t>
      </w:r>
    </w:p>
    <w:p w14:paraId="3C0E96C3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16BA83B8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Цели и охват образования</w:t>
      </w:r>
    </w:p>
    <w:p w14:paraId="0C5BEB4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D5D0C68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повысить показатели перехода на второй этап среднего образования путем реализации таких инициатив, как гибкие программы обучения, модернизированные программы профессиональной подготовки и создание учебной среды, подкрепляемой цифровыми технологиями, что позволит обеспечить доступ к образованию для детей, проживающих на отдаленных островах;</w:t>
      </w:r>
    </w:p>
    <w:p w14:paraId="35B1CBEC" w14:textId="76CD49B4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продолжать принятие мер для повышения доступности и качества образования, в том числе за счет создания </w:t>
      </w:r>
      <w:r w:rsidR="001A4D7B" w:rsidRPr="001A4D7B">
        <w:rPr>
          <w:b/>
          <w:bCs/>
        </w:rPr>
        <w:t>«</w:t>
      </w:r>
      <w:r w:rsidRPr="00A8096F">
        <w:rPr>
          <w:b/>
          <w:bCs/>
        </w:rPr>
        <w:t>спутниковых</w:t>
      </w:r>
      <w:r w:rsidR="001A4D7B" w:rsidRPr="001A4D7B">
        <w:rPr>
          <w:b/>
          <w:bCs/>
        </w:rPr>
        <w:t>»</w:t>
      </w:r>
      <w:r w:rsidRPr="00A8096F">
        <w:rPr>
          <w:b/>
          <w:bCs/>
        </w:rPr>
        <w:t xml:space="preserve"> и гибридных школ, а также обеспечивать качественную подготовку учителей, уделяя особое внимание сельским районам и отдаленным островам;</w:t>
      </w:r>
    </w:p>
    <w:p w14:paraId="00E8E3E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предоставлять более целенаправленную поддержку детям, обучающимся в начальных классах, для решения проблем, с которыми сталкиваются учащиеся, для которых английский язык не является родным;</w:t>
      </w:r>
    </w:p>
    <w:p w14:paraId="017C7748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>обновить учебные программы, с тем чтобы они соответствовали быстро меняющейся среде, и поощрять прямое участие детей в природоохранных мероприятиях в качестве компонента их обучения;</w:t>
      </w:r>
    </w:p>
    <w:p w14:paraId="1EF8AE85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>выделять достаточные финансовые ресурсы на расширение системы обязательного и бесплатного дошкольного образования на основе комплексной и всеобъемлющей политики по уходу за детьми младшего возраста и их развитию;</w:t>
      </w:r>
    </w:p>
    <w:p w14:paraId="454BED7B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f)</w:t>
      </w:r>
      <w:r w:rsidRPr="00A8096F">
        <w:rPr>
          <w:b/>
          <w:bCs/>
        </w:rPr>
        <w:tab/>
        <w:t>устранить те элементы учебной программы, которые могут приводить к формированию негативного отношения к девочкам, в том числе в том, что касается их способностей, выбора профессии и будущего вклада в трудовую деятельность;</w:t>
      </w:r>
    </w:p>
    <w:p w14:paraId="0CE26BFB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g)</w:t>
      </w:r>
      <w:r>
        <w:tab/>
      </w:r>
      <w:r>
        <w:rPr>
          <w:b/>
          <w:bCs/>
        </w:rPr>
        <w:t>принимать меры по обеспечению гендерного равенства в показателях завершения школьного образования, особенно на уровне средней школы.</w:t>
      </w:r>
    </w:p>
    <w:p w14:paraId="65552159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Инклюзивное образование</w:t>
      </w:r>
    </w:p>
    <w:p w14:paraId="0DED30C5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42.</w:t>
      </w:r>
      <w:r>
        <w:tab/>
      </w:r>
      <w:r>
        <w:rPr>
          <w:b/>
          <w:bCs/>
        </w:rPr>
        <w:t>Комитет отмечает внедрение системы управления данными в области инклюзивного образования, которая позволяет осуществлять мониторинг в этой сфере через единый портал.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F74BC7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принять меры по расширению возможностей в области инклюзивного образования на отдаленных островах;</w:t>
      </w:r>
    </w:p>
    <w:p w14:paraId="1C6E5B2D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увеличить финансирование и обеспечить эффективное осуществление политики в области инклюзивного образования, отдавая </w:t>
      </w:r>
      <w:r w:rsidRPr="00A8096F">
        <w:rPr>
          <w:b/>
          <w:bCs/>
        </w:rPr>
        <w:lastRenderedPageBreak/>
        <w:t>приоритет именно такому образованию, а не помещению детей в специальные классы;</w:t>
      </w:r>
    </w:p>
    <w:p w14:paraId="50AC8731" w14:textId="77777777" w:rsidR="001269FA" w:rsidRPr="00807ED4" w:rsidRDefault="001269FA" w:rsidP="001269FA">
      <w:pPr>
        <w:pStyle w:val="SingleTxtG"/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обеспечить, чтобы все дети-инвалиды, дети, проживающие в сельских районах и на отдаленных островах, и девочки имели доступ к общеобразовательным школам, а также обеспечить наличие в школах прошедших соответствующую подготовку учителей и оснащение школ вспомогательными технологиями, доступной инфраструктурой и соответствующими учебными материалами для более эффективной поддержки этих детей.</w:t>
      </w:r>
    </w:p>
    <w:p w14:paraId="05CB4556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Профессионально-техническая подготовка и профессиональная ориентация</w:t>
      </w:r>
    </w:p>
    <w:p w14:paraId="622FA23F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разработать и продвигать качественные программы профессионально-технической подготовки, соответствующие потребностям рынка труда и способствующие решению проблем, связанных с имеющимися социально-экономическими барьерами, ограниченностью доступа к такой подготовке на отдаленных островах, а также недостаточным предоставлением услуг по профессиональной ориентации детям.</w:t>
      </w:r>
    </w:p>
    <w:p w14:paraId="587038F5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Отдых, досуг, игры, развлекательные мероприятия, культурная жизнь и искусство</w:t>
      </w:r>
    </w:p>
    <w:p w14:paraId="6445E253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создавать безопасные и инклюзивные парки и детские площадки, а также обеспечить доступ к благоустроенным зеленым зонам и открытым пространствам, особенно в Мале.</w:t>
      </w:r>
    </w:p>
    <w:p w14:paraId="68086364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064CDA">
        <w:rPr>
          <w:bCs/>
        </w:rPr>
        <w:tab/>
      </w:r>
      <w:r>
        <w:rPr>
          <w:bCs/>
        </w:rPr>
        <w:t>K.</w:t>
      </w:r>
      <w:r>
        <w:tab/>
      </w:r>
      <w:r>
        <w:rPr>
          <w:bCs/>
        </w:rPr>
        <w:t>Специальные меры защиты (статьи 22, 30, 32, 33, 35, 36, 37 b)–d) и</w:t>
      </w:r>
      <w:r>
        <w:rPr>
          <w:lang w:val="en-US"/>
        </w:rPr>
        <w:t> </w:t>
      </w:r>
      <w:r>
        <w:rPr>
          <w:bCs/>
        </w:rPr>
        <w:t>38–40 Конвенции, а также Факультативный протокол, касающийся участия детей в вооруженных конфликтах)</w:t>
      </w:r>
    </w:p>
    <w:p w14:paraId="24D9D9FB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548C462D" w14:textId="60FCA4A1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45.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</w:t>
      </w:r>
      <w:r w:rsidR="003875A7" w:rsidRPr="003875A7">
        <w:rPr>
          <w:b/>
          <w:bCs/>
        </w:rPr>
        <w:t xml:space="preserve"> </w:t>
      </w:r>
      <w:r>
        <w:rPr>
          <w:b/>
          <w:bCs/>
        </w:rPr>
        <w:t>/ 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246D1DF1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разработать систему предоставления убежища, включающую надежный механизм выявления детей, нуждающихся в международной защите, и установить число таких детей;</w:t>
      </w:r>
    </w:p>
    <w:p w14:paraId="0922681E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разработать всеобъемлющие рамки по направлению людей в соответствующие службы и ведению дел для предоставления услуг детям, включая услуги по охране физического и психического здоровья, услуги в области образования, полицейские услуги и услуги в области отправления правосудия, включая предоставление бесплатной правовой помощи, особенно для несопровождаемых детей и детей, разлученных со своими семьями;</w:t>
      </w:r>
    </w:p>
    <w:p w14:paraId="0800F7E8" w14:textId="456B4CA4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</w:r>
      <w:r>
        <w:rPr>
          <w:b/>
          <w:bCs/>
        </w:rPr>
        <w:t>рассмотреть возможность ратификации Конвенции о статусе беженцев и Протокола к ней</w:t>
      </w:r>
      <w:r w:rsidR="005A6870" w:rsidRPr="005A6870">
        <w:rPr>
          <w:b/>
          <w:bCs/>
        </w:rPr>
        <w:t>.</w:t>
      </w:r>
      <w:r>
        <w:t xml:space="preserve"> </w:t>
      </w:r>
    </w:p>
    <w:p w14:paraId="28332AD1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4DFE5BD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46.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3216C8C9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 xml:space="preserve">внести поправки в свою нормативно-правовую базу с целью установления минимального возраста в 18 лет для выполнения любых видов опасной работы, принять исчерпывающее определение опасной работы в </w:t>
      </w:r>
      <w:r w:rsidRPr="00A8096F">
        <w:rPr>
          <w:b/>
          <w:bCs/>
        </w:rPr>
        <w:lastRenderedPageBreak/>
        <w:t>соответствии с Конвенцией Международной организации труда о наихудших формах детского труда 1999 года (№ 182) и укрепить систему трудовой инспекции для обеспечения эффективного контроля, ответственности и защиты детей от всех форм экономической эксплуатации;</w:t>
      </w:r>
    </w:p>
    <w:p w14:paraId="2F2193E6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опубликовать обязательные руководящие принципы, касающиеся поведения работодателей и максимальной продолжительности рабочего дня, с целью реализации на практике гарантий недопущения детского труда, а также укрепить механизмы надзора для обеспечения ответственности;</w:t>
      </w:r>
    </w:p>
    <w:p w14:paraId="36339FF8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обеспечить, чтобы ни один ребенок не занимался опасным трудом, и повышать осведомленность общественности о детском труде, его эксплуататорском характере и его последствиях.</w:t>
      </w:r>
    </w:p>
    <w:p w14:paraId="758CB685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32430CD2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47.</w:t>
      </w:r>
      <w:r>
        <w:tab/>
      </w:r>
      <w:r>
        <w:rPr>
          <w:b/>
          <w:bCs/>
        </w:rPr>
        <w:t>Комитет отмечает принятие Плана действий по борьбе с торговлей людьми в 2025 году и рекомендует государству-участнику:</w:t>
      </w:r>
    </w:p>
    <w:p w14:paraId="514F9B8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продолжать укреплять свои инициативы по борьбе с торговлей людьми и реализовать ключевые меры, предусмотренные в Плане действий по борьбе с торговлей людьми 2025 года, включая создание скоординированных систем направления людей в соответствующие службы и предоставления им помощи, и разработать механизм для выявления детей, нуждающихся в защите;</w:t>
      </w:r>
    </w:p>
    <w:p w14:paraId="760F19BB" w14:textId="77777777" w:rsidR="001269FA" w:rsidRPr="00A8096F" w:rsidRDefault="001269FA" w:rsidP="001269FA">
      <w:pPr>
        <w:pStyle w:val="SingleTxtG"/>
        <w:rPr>
          <w:rFonts w:eastAsia="Malgun Gothic"/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расследовать все случаи торговли детьми и привлекать виновных к ответственности; </w:t>
      </w:r>
    </w:p>
    <w:p w14:paraId="3C5B0CE6" w14:textId="77777777" w:rsidR="001269FA" w:rsidRPr="00807ED4" w:rsidRDefault="001269FA" w:rsidP="001269FA">
      <w:pPr>
        <w:pStyle w:val="SingleTxtG"/>
        <w:rPr>
          <w:rFonts w:eastAsia="Malgun Gothic"/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>
        <w:tab/>
      </w:r>
      <w:r>
        <w:rPr>
          <w:b/>
          <w:bCs/>
        </w:rPr>
        <w:t>проводить мероприятия, направленные на повышение осведомленности как родителей, так и детей об опасностях торговли людьми.</w:t>
      </w:r>
    </w:p>
    <w:p w14:paraId="0C0AB809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1242FB01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48.</w:t>
      </w:r>
      <w:r>
        <w:tab/>
        <w:t xml:space="preserve">Комитет приветствует принятие Закона об отправлении правосудия в отношении несовершеннолетних, в котором возраст уголовной ответственности установлен на уровне 15 лет. Он отмечает также принятие дорожной карты по осуществлению Закона об отправлении правосудия в отношении несовершеннолетних (на 2024–2027 годы) и создание </w:t>
      </w:r>
      <w:r w:rsidRPr="000407B2">
        <w:t>исправительно</w:t>
      </w:r>
      <w:r>
        <w:t>го</w:t>
      </w:r>
      <w:r w:rsidRPr="009E15A7">
        <w:t xml:space="preserve"> учреждени</w:t>
      </w:r>
      <w:r>
        <w:t>я</w:t>
      </w:r>
      <w:r w:rsidRPr="009E15A7">
        <w:t xml:space="preserve"> с ослабленным режимом</w:t>
      </w:r>
      <w:r>
        <w:t xml:space="preserve"> для несовершеннолетних и лечебно-профилактического центра для временного размещения несовершеннолетних, а также посещения мест содержания под стражей сотрудниками национального превентивного механизма. Однако он по-прежнему серьезно обеспокоен:</w:t>
      </w:r>
    </w:p>
    <w:p w14:paraId="2EA3FEA6" w14:textId="77777777" w:rsidR="001269FA" w:rsidRPr="00807ED4" w:rsidRDefault="001269FA" w:rsidP="001269FA">
      <w:pPr>
        <w:pStyle w:val="SingleTxtG"/>
      </w:pPr>
      <w:r w:rsidRPr="001269FA">
        <w:tab/>
      </w:r>
      <w:r>
        <w:t>a)</w:t>
      </w:r>
      <w:r>
        <w:tab/>
        <w:t>проблемами, возникающими при осуществлении Закона об отправлении правосудия в отношении несовершеннолетних, а также нехваткой квалифицированных кадров, инфраструктуры, ресурсов и программ реабилитации, необходимых для эффективного отправления правосудия в отношении детей;</w:t>
      </w:r>
    </w:p>
    <w:p w14:paraId="646D035D" w14:textId="77777777" w:rsidR="001269FA" w:rsidRPr="00807ED4" w:rsidRDefault="001269FA" w:rsidP="001269FA">
      <w:pPr>
        <w:pStyle w:val="SingleTxtG"/>
      </w:pPr>
      <w:r w:rsidRPr="001269FA">
        <w:tab/>
      </w:r>
      <w:r>
        <w:t>b)</w:t>
      </w:r>
      <w:r>
        <w:tab/>
        <w:t>отсутствием программ и мер для детей в возрасте до 15 лет, обвиняемых в совершении уголовных преступлений;</w:t>
      </w:r>
    </w:p>
    <w:p w14:paraId="4526F78D" w14:textId="77777777" w:rsidR="001269FA" w:rsidRPr="00807ED4" w:rsidRDefault="001269FA" w:rsidP="001269FA">
      <w:pPr>
        <w:pStyle w:val="SingleTxtG"/>
      </w:pPr>
      <w:r w:rsidRPr="001269FA">
        <w:tab/>
      </w:r>
      <w:r>
        <w:t>c)</w:t>
      </w:r>
      <w:r>
        <w:tab/>
        <w:t>задержками с получением необходимых психологических заключений, гендерных оценок и оценок рисков, вызванными в первую очередь нехваткой квалифицированных специалистов, что приводит к значительному замедлению всех этапов судебных разбирательств;</w:t>
      </w:r>
    </w:p>
    <w:p w14:paraId="02F3C43A" w14:textId="77777777" w:rsidR="001269FA" w:rsidRPr="00807ED4" w:rsidRDefault="001269FA" w:rsidP="001269FA">
      <w:pPr>
        <w:pStyle w:val="SingleTxtG"/>
      </w:pPr>
      <w:r w:rsidRPr="001269FA">
        <w:tab/>
      </w:r>
      <w:r>
        <w:t>d)</w:t>
      </w:r>
      <w:r>
        <w:tab/>
        <w:t>тревожной ситуацией в детских изоляторах, выявленной в ходе проверки соблюдения прав ребенка, проведенной Управлением Уполномоченного по правам ребенка;</w:t>
      </w:r>
    </w:p>
    <w:p w14:paraId="5CBB9D0A" w14:textId="77777777" w:rsidR="001269FA" w:rsidRPr="00807ED4" w:rsidRDefault="001269FA" w:rsidP="001269FA">
      <w:pPr>
        <w:pStyle w:val="SingleTxtG"/>
      </w:pPr>
      <w:r w:rsidRPr="001269FA">
        <w:tab/>
      </w:r>
      <w:r>
        <w:t>e)</w:t>
      </w:r>
      <w:r>
        <w:tab/>
        <w:t xml:space="preserve">применяемым государством-участником реабилитационным подходом, предусматривающим создание интернатов длительного пребывания для несовершеннолетних правонарушителей, известных как </w:t>
      </w:r>
      <w:r w:rsidRPr="00391C59">
        <w:t>«</w:t>
      </w:r>
      <w:r>
        <w:t>Остров надежды</w:t>
      </w:r>
      <w:r w:rsidRPr="00391C59">
        <w:t>»</w:t>
      </w:r>
      <w:r>
        <w:t>, поскольку это приводит к изоляции несовершеннолетних правонарушителей от общества и передаче их под надзор сотрудников правоохранительных органов;</w:t>
      </w:r>
    </w:p>
    <w:p w14:paraId="24847CC7" w14:textId="77777777" w:rsidR="001269FA" w:rsidRPr="00807ED4" w:rsidRDefault="001269FA" w:rsidP="001269FA">
      <w:pPr>
        <w:pStyle w:val="SingleTxtG"/>
      </w:pPr>
      <w:r w:rsidRPr="00391C59">
        <w:lastRenderedPageBreak/>
        <w:tab/>
      </w:r>
      <w:r>
        <w:t>f)</w:t>
      </w:r>
      <w:r>
        <w:tab/>
        <w:t>недостаточным использованием внесудебных средств и предоставлением услуг в области реабилитации и реинтеграции.</w:t>
      </w:r>
    </w:p>
    <w:p w14:paraId="09B3973E" w14:textId="3B794933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49.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а также на заключительные замечания по второму периодическому докладу, представленному государством-участником Комитету по правам человека</w:t>
      </w:r>
      <w:r w:rsidRPr="00A84E58">
        <w:rPr>
          <w:rStyle w:val="aa"/>
        </w:rPr>
        <w:footnoteReference w:id="16"/>
      </w:r>
      <w:r>
        <w:rPr>
          <w:b/>
          <w:bCs/>
        </w:rPr>
        <w:t>, и на глобальное исследование по вопросу о положении детей, лишенных свободы,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о правах ребенка и другими применимыми стандартами.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49BDDACC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в полной мере реализовать дорожную карту по осуществлению Закона об отправлении правосудия в отношении несовершеннолетних (на 2024–2027 годы), в том числе за счет улучшения межведомственной координации и взаимодействия в целях обеспечения соблюдения прав детей в рамках системы отправления правосудия в отношении несовершеннолетних;</w:t>
      </w:r>
    </w:p>
    <w:p w14:paraId="137FA392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сохранить минимальный возраст уголовной ответственности на уровне 15 лет в целях соблюдения стандартов в области прав ребенка и разработать интенсивные, учитывающие интересы ребенка и междисциплинарные программы и меры психосоциальной помощи для детей в возрасте до 15 лет, которые подозреваются, обвиняются или признаются виновными в нарушениях уголовного законодательства; </w:t>
      </w:r>
    </w:p>
    <w:p w14:paraId="22B2DB40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усилить меры по раннему выявлению и предоставлению помощи семьям с целью устранения рисков до того, как дети попадут в систему правосудия, путем решения основополагающих проблем, включая, в частности, нищету, насилие в семье и злоупотребление психоактивными веществами;</w:t>
      </w:r>
    </w:p>
    <w:p w14:paraId="4291FD77" w14:textId="77777777" w:rsidR="001269FA" w:rsidRPr="00A8096F" w:rsidRDefault="001269FA" w:rsidP="001269FA">
      <w:pPr>
        <w:pStyle w:val="SingleTxtG"/>
        <w:rPr>
          <w:rFonts w:eastAsia="Calibri"/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>учитывать, в тех редких случаях, когда лишение свободы оправдано в качестве крайней меры, рекомендации, вынесенные Управлением Уполномоченного по правам ребенка в рамках проверки соблюдения прав детей под углом зрения условий в центрах содержания под стражей несовершеннолетних; и обеспечить наличие достаточного числа квалифицированных специалистов, проведение в безотлагательном порядке модернизации инфраструктуры, внедрение четкой системы классификации детей, признанных правонарушителями, создание отдельных помещений для девочек, а также соответствие условий содержания под стражей международным стандартам, в том числе в части доступа к образованию и медицинским услугам;</w:t>
      </w:r>
    </w:p>
    <w:p w14:paraId="75B5A88D" w14:textId="77777777" w:rsidR="001269FA" w:rsidRPr="00807ED4" w:rsidRDefault="001269FA" w:rsidP="001269FA">
      <w:pPr>
        <w:pStyle w:val="SingleTxtG"/>
        <w:rPr>
          <w:b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 xml:space="preserve">проанализировать программы </w:t>
      </w:r>
      <w:r w:rsidRPr="00391C59">
        <w:rPr>
          <w:b/>
          <w:bCs/>
        </w:rPr>
        <w:t>«</w:t>
      </w:r>
      <w:r w:rsidRPr="00A8096F">
        <w:rPr>
          <w:b/>
          <w:bCs/>
        </w:rPr>
        <w:t>Острова надежды</w:t>
      </w:r>
      <w:r w:rsidRPr="00391C59">
        <w:rPr>
          <w:b/>
          <w:bCs/>
        </w:rPr>
        <w:t>»</w:t>
      </w:r>
      <w:r w:rsidRPr="00A8096F">
        <w:rPr>
          <w:b/>
          <w:bCs/>
        </w:rPr>
        <w:t xml:space="preserve"> на предмет их соответствия Конвенции; и обеспечить, вместо помещения детей в специализиро</w:t>
      </w:r>
      <w:r>
        <w:rPr>
          <w:b/>
          <w:bCs/>
        </w:rPr>
        <w:t>ванные учреждения, применение таких мер, как использование внесудебных средств и посредничество, к детям, подозреваемым, обвиняемым или признанным виновными в нарушении уголовного законодательства, а также, когда возможно, применение в отношении детей наказаний, не связанных с лишением свободы, таких как условное осуждение или общественные работы, и обеспечивать предоставление таким детям медицинских и психосоциальных услуг.</w:t>
      </w:r>
      <w:r>
        <w:t xml:space="preserve"> </w:t>
      </w:r>
    </w:p>
    <w:p w14:paraId="55101FC2" w14:textId="77777777" w:rsidR="001269FA" w:rsidRPr="00807ED4" w:rsidRDefault="001269FA" w:rsidP="001269FA">
      <w:pPr>
        <w:pStyle w:val="H23G"/>
        <w:tabs>
          <w:tab w:val="left" w:pos="1701"/>
          <w:tab w:val="left" w:pos="2268"/>
        </w:tabs>
      </w:pPr>
      <w:r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669F3D1A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50.</w:t>
      </w:r>
      <w:r>
        <w:tab/>
      </w:r>
      <w:r>
        <w:rPr>
          <w:b/>
          <w:bCs/>
        </w:rPr>
        <w:t>Принимая к сведению внесение поправок в Закон о борьбе с терроризмом, Комитет ссылается на свои предыдущие заключительные замечания по докладу государства-участника, представленному в соответствии со статьей 8 Факультативного протокола</w:t>
      </w:r>
      <w:r w:rsidRPr="00A84E58">
        <w:rPr>
          <w:rStyle w:val="aa"/>
        </w:rPr>
        <w:footnoteReference w:id="17"/>
      </w:r>
      <w:r>
        <w:rPr>
          <w:b/>
          <w:bCs/>
        </w:rPr>
        <w:t>, и настоятельно призывает государство-участник:</w:t>
      </w:r>
    </w:p>
    <w:p w14:paraId="05F7F04E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lastRenderedPageBreak/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четко признать в качестве уголовного преступления вербовку и использование в боевых действиях вооруженными силами и негосударственными вооруженными группами детей в возрасте до 18 лет;</w:t>
      </w:r>
    </w:p>
    <w:p w14:paraId="13CA9C5B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 xml:space="preserve">рассмотреть возможность распространения экстерриториальной юрисдикции на преступления, связанные с вербовкой детей и их использованием в военных действиях; </w:t>
      </w:r>
    </w:p>
    <w:p w14:paraId="5EDD157D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  <w:t>обеспечить, чтобы дети мальдивских граждан мужского пола, присоединившихся к ДАИШ и погибших, могли быстро и без затруднений подтвердить свое мальдивское гражданство и быть репатриированы из Сирийской Арабской Республики; и находить долгосрочные решения, сохраняя единство семьи, когда это отвечает принципу наилучшего обеспечения интересов ребенка, для тех детей, чьи матери не могут быть репатриированы;</w:t>
      </w:r>
    </w:p>
    <w:p w14:paraId="628E52B8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d)</w:t>
      </w:r>
      <w:r w:rsidRPr="00A8096F">
        <w:rPr>
          <w:b/>
          <w:bCs/>
        </w:rPr>
        <w:tab/>
        <w:t xml:space="preserve">прекратить практику административного содержания детей под стражей в Национальном центре реинтеграции после их возвращения из зон конфликта и вместо этого проводить индивидуальную оценку их положения и в приоритетном порядке применять альтернативы содержанию под стражей, а также четко указать, что дети в возрасте до 15 лет должны освобождаться от явки в суд для допроса; </w:t>
      </w:r>
    </w:p>
    <w:p w14:paraId="090855C8" w14:textId="77777777" w:rsidR="001269FA" w:rsidRPr="00A8096F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e)</w:t>
      </w:r>
      <w:r w:rsidRPr="00A8096F">
        <w:rPr>
          <w:b/>
          <w:bCs/>
        </w:rPr>
        <w:tab/>
        <w:t>устранять коренные причины радикализации и провести информационно-просветительскую кампанию в целях информирования общин о сопутствующих рисках и о мерах, которые они могут принять для защиты своих детей от радикализации, включая предоставление позитивных альтернатив для молодежи;</w:t>
      </w:r>
    </w:p>
    <w:p w14:paraId="1FCF9394" w14:textId="77777777" w:rsidR="001269FA" w:rsidRPr="00807ED4" w:rsidRDefault="001269FA" w:rsidP="001269FA">
      <w:pPr>
        <w:pStyle w:val="SingleTxtG"/>
        <w:rPr>
          <w:b/>
          <w:bCs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f)</w:t>
      </w:r>
      <w:r>
        <w:tab/>
      </w:r>
      <w:r>
        <w:rPr>
          <w:b/>
          <w:bCs/>
        </w:rPr>
        <w:t>создать механизмы раннего выявления детей, которые могли быть завербованы или использованы в вооруженных конфликтах за рубежом, при их возвращении в государство-участник, обеспечить сбор дезагрегированных данных о таких детях и предоставлять им поддержку в целях их физического и психологического восстановления, реабилитации и реинтеграции в общество.</w:t>
      </w:r>
    </w:p>
    <w:p w14:paraId="795D57E6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F005DE">
        <w:rPr>
          <w:bCs/>
        </w:rPr>
        <w:tab/>
      </w:r>
      <w:r>
        <w:rPr>
          <w:bCs/>
        </w:rPr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0D02092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color w:val="000000"/>
          <w:u w:val="single"/>
        </w:rPr>
      </w:pPr>
      <w:r>
        <w:t>51.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22267EC7" w14:textId="77777777" w:rsidR="001269FA" w:rsidRPr="00A8096F" w:rsidRDefault="001269FA" w:rsidP="001269FA">
      <w:pPr>
        <w:pStyle w:val="SingleTxtG"/>
        <w:rPr>
          <w:b/>
          <w:bCs/>
          <w:color w:val="000000"/>
          <w:u w:val="single"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a)</w:t>
      </w:r>
      <w:r w:rsidRPr="00A8096F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39DA6F10" w14:textId="77777777" w:rsidR="001269FA" w:rsidRPr="00A8096F" w:rsidRDefault="001269FA" w:rsidP="001269FA">
      <w:pPr>
        <w:pStyle w:val="SingleTxtG"/>
        <w:rPr>
          <w:b/>
          <w:bCs/>
          <w:color w:val="000000"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b)</w:t>
      </w:r>
      <w:r w:rsidRPr="00A8096F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0BE37954" w14:textId="77777777" w:rsidR="001269FA" w:rsidRPr="00807ED4" w:rsidRDefault="001269FA" w:rsidP="001269FA">
      <w:pPr>
        <w:pStyle w:val="SingleTxtG"/>
        <w:rPr>
          <w:b/>
          <w:bCs/>
          <w:color w:val="000000"/>
        </w:rPr>
      </w:pPr>
      <w:r w:rsidRPr="001269FA">
        <w:rPr>
          <w:b/>
          <w:bCs/>
        </w:rPr>
        <w:tab/>
      </w:r>
      <w:r w:rsidRPr="00A8096F">
        <w:rPr>
          <w:b/>
          <w:bCs/>
        </w:rPr>
        <w:t>c)</w:t>
      </w:r>
      <w:r w:rsidRPr="00A8096F">
        <w:rPr>
          <w:b/>
          <w:bCs/>
        </w:rPr>
        <w:tab/>
      </w:r>
      <w:r>
        <w:rPr>
          <w:b/>
          <w:bCs/>
        </w:rPr>
        <w:t>Факультативного протокола к Конвенции о правах инвалидов.</w:t>
      </w:r>
    </w:p>
    <w:p w14:paraId="30B24E0E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43692DF3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сотрудничать, в частности, с Комиссией Ассоциации государств Юго-Восточной Азии по поощрению и защите прав женщин и детей.</w:t>
      </w:r>
      <w:r>
        <w:t xml:space="preserve"> </w:t>
      </w:r>
    </w:p>
    <w:p w14:paraId="3514AC54" w14:textId="77777777" w:rsidR="001269FA" w:rsidRPr="00807ED4" w:rsidRDefault="001269FA" w:rsidP="001269FA">
      <w:pPr>
        <w:pStyle w:val="HChG"/>
        <w:tabs>
          <w:tab w:val="left" w:pos="1701"/>
          <w:tab w:val="left" w:pos="2268"/>
        </w:tabs>
      </w:pPr>
      <w:r w:rsidRPr="00F005DE"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7523DF50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7C3B073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53.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</w:t>
      </w:r>
      <w:r>
        <w:rPr>
          <w:b/>
          <w:bCs/>
        </w:rPr>
        <w:lastRenderedPageBreak/>
        <w:t>настоящих заключительных замечаниях, а также для их распространения и обеспечения широкой доступности среди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7F915658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05AA6E2D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укрепить свой национальный механизм осуществления, представления докладов и последующей деятельности и обеспечить наличие у него соответствующего мандата и надлежащих людских, технических и финансовых ресурсов для координации и взаимодействия с международным и региональным механизмами по правам человека и подготовки докладов для них, координации последующей деятельности на национальном уровне и эффективного выполнения договорных обязательств, а также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национальный механизм осуществления, представления докладов и последующей деятельности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Комиссией по правам человека и гражданским обществом.</w:t>
      </w:r>
      <w:r>
        <w:t xml:space="preserve"> </w:t>
      </w:r>
    </w:p>
    <w:p w14:paraId="76515FBA" w14:textId="77777777" w:rsidR="001269FA" w:rsidRPr="00807ED4" w:rsidRDefault="001269FA" w:rsidP="001269FA">
      <w:pPr>
        <w:pStyle w:val="H1G"/>
        <w:tabs>
          <w:tab w:val="left" w:pos="1701"/>
          <w:tab w:val="left" w:pos="2268"/>
        </w:tabs>
      </w:pPr>
      <w:r w:rsidRPr="009E15A7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2AD2694B" w14:textId="77777777" w:rsidR="001269FA" w:rsidRPr="00807ED4" w:rsidRDefault="001269FA" w:rsidP="001269FA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и после принятия перечня тем и вопросов до представления докладов,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A84E58">
        <w:rPr>
          <w:rStyle w:val="aa"/>
        </w:rPr>
        <w:footnoteReference w:id="18"/>
      </w:r>
      <w:r>
        <w:rPr>
          <w:b/>
          <w:bCs/>
        </w:rPr>
        <w:t>, а их объем не должен превышать 21 200 слов</w:t>
      </w:r>
      <w:r w:rsidRPr="00A84E58">
        <w:rPr>
          <w:rStyle w:val="aa"/>
        </w:rPr>
        <w:footnoteReference w:id="19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установленные ограничения,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  <w:r>
        <w:t xml:space="preserve"> </w:t>
      </w:r>
    </w:p>
    <w:p w14:paraId="0123E64A" w14:textId="161CC232" w:rsidR="00381C24" w:rsidRPr="0073342D" w:rsidRDefault="001269FA" w:rsidP="001269F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3342D" w:rsidSect="00E201E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9A469" w14:textId="77777777" w:rsidR="00350C1F" w:rsidRPr="00A312BC" w:rsidRDefault="00350C1F" w:rsidP="00A312BC"/>
  </w:endnote>
  <w:endnote w:type="continuationSeparator" w:id="0">
    <w:p w14:paraId="1E4538EE" w14:textId="77777777" w:rsidR="00350C1F" w:rsidRPr="00A312BC" w:rsidRDefault="00350C1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ADD45" w14:textId="347B79E0" w:rsidR="00E201E4" w:rsidRPr="00E201E4" w:rsidRDefault="00E201E4">
    <w:pPr>
      <w:pStyle w:val="a8"/>
    </w:pPr>
    <w:r w:rsidRPr="00E201E4">
      <w:rPr>
        <w:b/>
        <w:sz w:val="18"/>
      </w:rPr>
      <w:fldChar w:fldCharType="begin"/>
    </w:r>
    <w:r w:rsidRPr="00E201E4">
      <w:rPr>
        <w:b/>
        <w:sz w:val="18"/>
      </w:rPr>
      <w:instrText xml:space="preserve"> PAGE  \* MERGEFORMAT </w:instrText>
    </w:r>
    <w:r w:rsidRPr="00E201E4">
      <w:rPr>
        <w:b/>
        <w:sz w:val="18"/>
      </w:rPr>
      <w:fldChar w:fldCharType="separate"/>
    </w:r>
    <w:r w:rsidRPr="00E201E4">
      <w:rPr>
        <w:b/>
        <w:noProof/>
        <w:sz w:val="18"/>
      </w:rPr>
      <w:t>2</w:t>
    </w:r>
    <w:r w:rsidRPr="00E201E4">
      <w:rPr>
        <w:b/>
        <w:sz w:val="18"/>
      </w:rPr>
      <w:fldChar w:fldCharType="end"/>
    </w:r>
    <w:r>
      <w:rPr>
        <w:b/>
        <w:sz w:val="18"/>
      </w:rPr>
      <w:tab/>
    </w:r>
    <w:r>
      <w:t>GE.26-01765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0C61E" w14:textId="10F21B5C" w:rsidR="00E201E4" w:rsidRPr="00E201E4" w:rsidRDefault="00E201E4" w:rsidP="00E201E4">
    <w:pPr>
      <w:pStyle w:val="a8"/>
      <w:tabs>
        <w:tab w:val="clear" w:pos="9639"/>
        <w:tab w:val="right" w:pos="9638"/>
      </w:tabs>
      <w:rPr>
        <w:b/>
        <w:sz w:val="18"/>
      </w:rPr>
    </w:pPr>
    <w:r>
      <w:t>GE.26-01765</w:t>
    </w:r>
    <w:r>
      <w:tab/>
    </w:r>
    <w:r w:rsidRPr="00E201E4">
      <w:rPr>
        <w:b/>
        <w:sz w:val="18"/>
      </w:rPr>
      <w:fldChar w:fldCharType="begin"/>
    </w:r>
    <w:r w:rsidRPr="00E201E4">
      <w:rPr>
        <w:b/>
        <w:sz w:val="18"/>
      </w:rPr>
      <w:instrText xml:space="preserve"> PAGE  \* MERGEFORMAT </w:instrText>
    </w:r>
    <w:r w:rsidRPr="00E201E4">
      <w:rPr>
        <w:b/>
        <w:sz w:val="18"/>
      </w:rPr>
      <w:fldChar w:fldCharType="separate"/>
    </w:r>
    <w:r w:rsidRPr="00E201E4">
      <w:rPr>
        <w:b/>
        <w:noProof/>
        <w:sz w:val="18"/>
      </w:rPr>
      <w:t>3</w:t>
    </w:r>
    <w:r w:rsidRPr="00E201E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E4613" w14:textId="2C52F0A9" w:rsidR="00042B72" w:rsidRPr="00710F2B" w:rsidRDefault="00E201E4" w:rsidP="00E201E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BC77CA" wp14:editId="5B331F4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26-01765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D9487E" wp14:editId="29AA4D9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0F2B">
      <w:rPr>
        <w:lang w:val="en-US"/>
      </w:rPr>
      <w:t xml:space="preserve">  200526  2</w:t>
    </w:r>
    <w:r w:rsidR="008C3E3C">
      <w:rPr>
        <w:lang w:val="en-US"/>
      </w:rPr>
      <w:t>2</w:t>
    </w:r>
    <w:r w:rsidR="00710F2B">
      <w:rPr>
        <w:lang w:val="en-US"/>
      </w:rPr>
      <w:t>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8C142" w14:textId="77777777" w:rsidR="00350C1F" w:rsidRPr="001075E9" w:rsidRDefault="00350C1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AE98F7" w14:textId="77777777" w:rsidR="00350C1F" w:rsidRDefault="00350C1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9E0490" w14:textId="77777777" w:rsidR="001269FA" w:rsidRPr="00807ED4" w:rsidRDefault="001269FA" w:rsidP="001269FA">
      <w:pPr>
        <w:pStyle w:val="ad"/>
      </w:pPr>
      <w:r>
        <w:tab/>
        <w:t>*</w:t>
      </w:r>
      <w:r>
        <w:tab/>
        <w:t>Приняты Комитетом на его сотой сессии (12–30 января 2026 года).</w:t>
      </w:r>
    </w:p>
  </w:footnote>
  <w:footnote w:id="2">
    <w:p w14:paraId="3621EEE4" w14:textId="19A5F41D" w:rsidR="001269FA" w:rsidRPr="00DA7C98" w:rsidRDefault="001269FA" w:rsidP="001269FA">
      <w:pPr>
        <w:pStyle w:val="ad"/>
        <w:rPr>
          <w:lang w:val="de-CH"/>
        </w:rPr>
      </w:pPr>
      <w:r w:rsidRPr="00AA5758">
        <w:tab/>
      </w:r>
      <w:r w:rsidRPr="00A84E58">
        <w:rPr>
          <w:rStyle w:val="aa"/>
        </w:rPr>
        <w:footnoteRef/>
      </w:r>
      <w:r w:rsidRPr="00DA7C98">
        <w:rPr>
          <w:lang w:val="de-CH"/>
        </w:rPr>
        <w:tab/>
      </w:r>
      <w:hyperlink r:id="rId1" w:history="1">
        <w:r w:rsidRPr="0073342D">
          <w:rPr>
            <w:rStyle w:val="af1"/>
            <w:lang w:val="de-CH"/>
          </w:rPr>
          <w:t>CRC/C/MDV/6-7</w:t>
        </w:r>
      </w:hyperlink>
      <w:r w:rsidRPr="00DA7C98">
        <w:rPr>
          <w:lang w:val="de-CH"/>
        </w:rPr>
        <w:t>.</w:t>
      </w:r>
      <w:hyperlink r:id="rId2" w:history="1"/>
    </w:p>
  </w:footnote>
  <w:footnote w:id="3">
    <w:p w14:paraId="4ED66DDB" w14:textId="172E11B6" w:rsidR="001269FA" w:rsidRPr="00DA7C98" w:rsidRDefault="001269FA" w:rsidP="001269FA">
      <w:pPr>
        <w:pStyle w:val="ad"/>
        <w:rPr>
          <w:lang w:val="de-CH"/>
        </w:rPr>
      </w:pPr>
      <w:r w:rsidRPr="00DA7C98">
        <w:rPr>
          <w:lang w:val="de-CH"/>
        </w:rPr>
        <w:tab/>
      </w:r>
      <w:r w:rsidRPr="00A84E58">
        <w:rPr>
          <w:rStyle w:val="aa"/>
        </w:rPr>
        <w:footnoteRef/>
      </w:r>
      <w:r w:rsidRPr="00DA7C98">
        <w:rPr>
          <w:lang w:val="de-CH"/>
        </w:rPr>
        <w:tab/>
      </w:r>
      <w:r>
        <w:t>См</w:t>
      </w:r>
      <w:r w:rsidRPr="00DA7C98">
        <w:rPr>
          <w:lang w:val="de-CH"/>
        </w:rPr>
        <w:t xml:space="preserve">. </w:t>
      </w:r>
      <w:hyperlink r:id="rId3" w:history="1">
        <w:r w:rsidRPr="0073342D">
          <w:rPr>
            <w:rStyle w:val="af1"/>
            <w:lang w:val="de-CH"/>
          </w:rPr>
          <w:t>CRC/C/SR.2908</w:t>
        </w:r>
      </w:hyperlink>
      <w:r w:rsidRPr="00DA7C98">
        <w:rPr>
          <w:lang w:val="de-CH"/>
        </w:rPr>
        <w:t xml:space="preserve"> </w:t>
      </w:r>
      <w:r>
        <w:t>и</w:t>
      </w:r>
      <w:r w:rsidRPr="00DA7C98">
        <w:rPr>
          <w:lang w:val="de-CH"/>
        </w:rPr>
        <w:t xml:space="preserve"> </w:t>
      </w:r>
      <w:hyperlink r:id="rId4" w:history="1">
        <w:r w:rsidRPr="0073342D">
          <w:rPr>
            <w:rStyle w:val="af1"/>
            <w:lang w:val="de-CH"/>
          </w:rPr>
          <w:t>CRC/C/SR.2909</w:t>
        </w:r>
      </w:hyperlink>
      <w:r w:rsidRPr="00DA7C98">
        <w:rPr>
          <w:lang w:val="de-CH"/>
        </w:rPr>
        <w:t>.</w:t>
      </w:r>
      <w:hyperlink r:id="rId5" w:history="1"/>
      <w:hyperlink r:id="rId6" w:history="1"/>
    </w:p>
  </w:footnote>
  <w:footnote w:id="4">
    <w:p w14:paraId="134139E9" w14:textId="39ADABDF" w:rsidR="001269FA" w:rsidRPr="00A8096F" w:rsidRDefault="001269FA" w:rsidP="001269FA">
      <w:pPr>
        <w:pStyle w:val="ad"/>
        <w:rPr>
          <w:lang w:val="en-US"/>
        </w:rPr>
      </w:pPr>
      <w:r w:rsidRPr="00DA7C98">
        <w:rPr>
          <w:lang w:val="de-CH"/>
        </w:rPr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7" w:history="1">
        <w:r w:rsidRPr="0073342D">
          <w:rPr>
            <w:rStyle w:val="af1"/>
            <w:lang w:val="en-US"/>
          </w:rPr>
          <w:t>CRC/C/MDV/RQ/6-7</w:t>
        </w:r>
      </w:hyperlink>
      <w:r w:rsidRPr="00807ED4">
        <w:rPr>
          <w:lang w:val="en-US"/>
        </w:rPr>
        <w:t xml:space="preserve">. </w:t>
      </w:r>
      <w:hyperlink r:id="rId8" w:history="1"/>
    </w:p>
  </w:footnote>
  <w:footnote w:id="5">
    <w:p w14:paraId="485760D5" w14:textId="2C7C4D94" w:rsidR="001269FA" w:rsidRPr="00A8096F" w:rsidRDefault="001269FA" w:rsidP="001269FA">
      <w:pPr>
        <w:pStyle w:val="ad"/>
        <w:rPr>
          <w:lang w:val="en-US"/>
        </w:rPr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9" w:history="1">
        <w:r w:rsidRPr="0073342D">
          <w:rPr>
            <w:rStyle w:val="af1"/>
            <w:lang w:val="en-US"/>
          </w:rPr>
          <w:t>CRC/C/MDV/CO/3</w:t>
        </w:r>
      </w:hyperlink>
      <w:r w:rsidRPr="00807ED4">
        <w:rPr>
          <w:lang w:val="en-US"/>
        </w:rPr>
        <w:t xml:space="preserve">, </w:t>
      </w:r>
      <w:r>
        <w:t>п</w:t>
      </w:r>
      <w:r w:rsidRPr="00807ED4">
        <w:rPr>
          <w:lang w:val="en-US"/>
        </w:rPr>
        <w:t xml:space="preserve">. 10; </w:t>
      </w:r>
      <w:r>
        <w:t>и</w:t>
      </w:r>
      <w:r w:rsidRPr="00807ED4">
        <w:rPr>
          <w:lang w:val="en-US"/>
        </w:rPr>
        <w:t xml:space="preserve"> </w:t>
      </w:r>
      <w:hyperlink r:id="rId10" w:history="1">
        <w:r w:rsidRPr="0073342D">
          <w:rPr>
            <w:rStyle w:val="af1"/>
            <w:lang w:val="en-US"/>
          </w:rPr>
          <w:t>CRC/C/MDV/CO/4-5</w:t>
        </w:r>
      </w:hyperlink>
      <w:r w:rsidRPr="00807ED4">
        <w:rPr>
          <w:lang w:val="en-US"/>
        </w:rPr>
        <w:t xml:space="preserve">, </w:t>
      </w:r>
      <w:r>
        <w:t>п</w:t>
      </w:r>
      <w:r w:rsidRPr="00807ED4">
        <w:rPr>
          <w:lang w:val="en-US"/>
        </w:rPr>
        <w:t>. 7.</w:t>
      </w:r>
      <w:hyperlink r:id="rId11" w:history="1"/>
      <w:hyperlink r:id="rId12" w:history="1"/>
    </w:p>
  </w:footnote>
  <w:footnote w:id="6">
    <w:p w14:paraId="5B2AA644" w14:textId="2AE22A3C" w:rsidR="001269FA" w:rsidRPr="00807ED4" w:rsidRDefault="001269FA" w:rsidP="001269FA">
      <w:pPr>
        <w:pStyle w:val="ad"/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>
        <w:tab/>
      </w:r>
      <w:hyperlink r:id="rId13" w:history="1">
        <w:r w:rsidRPr="0073342D">
          <w:rPr>
            <w:rStyle w:val="af1"/>
          </w:rPr>
          <w:t>CRC/C/MDV/CO/4-5</w:t>
        </w:r>
      </w:hyperlink>
      <w:r>
        <w:t>.</w:t>
      </w:r>
      <w:hyperlink r:id="rId14" w:history="1"/>
    </w:p>
  </w:footnote>
  <w:footnote w:id="7">
    <w:p w14:paraId="0E396535" w14:textId="77777777" w:rsidR="001269FA" w:rsidRPr="00807ED4" w:rsidRDefault="001269FA" w:rsidP="001269FA">
      <w:pPr>
        <w:pStyle w:val="ad"/>
      </w:pPr>
      <w:r w:rsidRPr="005F0C91">
        <w:tab/>
      </w:r>
      <w:r w:rsidRPr="00A84E58">
        <w:rPr>
          <w:rStyle w:val="aa"/>
        </w:rPr>
        <w:footnoteRef/>
      </w:r>
      <w:r>
        <w:tab/>
        <w:t>Там же, п. 27.</w:t>
      </w:r>
    </w:p>
  </w:footnote>
  <w:footnote w:id="8">
    <w:p w14:paraId="4AEC6850" w14:textId="77777777" w:rsidR="001269FA" w:rsidRPr="009E15A7" w:rsidRDefault="001269FA" w:rsidP="001269FA">
      <w:pPr>
        <w:pStyle w:val="ad"/>
      </w:pPr>
      <w:r>
        <w:tab/>
      </w:r>
      <w:r w:rsidRPr="00A84E58">
        <w:rPr>
          <w:rStyle w:val="aa"/>
        </w:rPr>
        <w:footnoteRef/>
      </w:r>
      <w:r>
        <w:tab/>
        <w:t>Там же, п. 29.</w:t>
      </w:r>
    </w:p>
  </w:footnote>
  <w:footnote w:id="9">
    <w:p w14:paraId="6A6A9888" w14:textId="2BFCB1C2" w:rsidR="001269FA" w:rsidRPr="004E3B47" w:rsidRDefault="001269FA" w:rsidP="001269FA">
      <w:pPr>
        <w:pStyle w:val="ad"/>
      </w:pPr>
      <w:r w:rsidRPr="00EC50BC">
        <w:tab/>
      </w:r>
      <w:r w:rsidRPr="00A84E58">
        <w:rPr>
          <w:rStyle w:val="aa"/>
        </w:rPr>
        <w:footnoteRef/>
      </w:r>
      <w:r w:rsidRPr="004E3B47">
        <w:tab/>
      </w:r>
      <w:hyperlink r:id="rId15" w:history="1">
        <w:r w:rsidRPr="0073342D">
          <w:rPr>
            <w:rStyle w:val="af1"/>
            <w:lang w:val="en-US"/>
          </w:rPr>
          <w:t>CRC</w:t>
        </w:r>
        <w:r w:rsidRPr="004E3B47">
          <w:rPr>
            <w:rStyle w:val="af1"/>
          </w:rPr>
          <w:t>/</w:t>
        </w:r>
        <w:r w:rsidRPr="0073342D">
          <w:rPr>
            <w:rStyle w:val="af1"/>
            <w:lang w:val="en-US"/>
          </w:rPr>
          <w:t>C</w:t>
        </w:r>
        <w:r w:rsidRPr="004E3B47">
          <w:rPr>
            <w:rStyle w:val="af1"/>
          </w:rPr>
          <w:t>/</w:t>
        </w:r>
        <w:r w:rsidRPr="0073342D">
          <w:rPr>
            <w:rStyle w:val="af1"/>
            <w:lang w:val="en-US"/>
          </w:rPr>
          <w:t>MDV</w:t>
        </w:r>
        <w:r w:rsidRPr="004E3B47">
          <w:rPr>
            <w:rStyle w:val="af1"/>
          </w:rPr>
          <w:t>/</w:t>
        </w:r>
        <w:r w:rsidRPr="0073342D">
          <w:rPr>
            <w:rStyle w:val="af1"/>
            <w:lang w:val="en-US"/>
          </w:rPr>
          <w:t>CO</w:t>
        </w:r>
        <w:r w:rsidRPr="004E3B47">
          <w:rPr>
            <w:rStyle w:val="af1"/>
          </w:rPr>
          <w:t>/4-5</w:t>
        </w:r>
      </w:hyperlink>
      <w:r w:rsidRPr="004E3B47">
        <w:t>.</w:t>
      </w:r>
      <w:hyperlink r:id="rId16" w:history="1"/>
    </w:p>
  </w:footnote>
  <w:footnote w:id="10">
    <w:p w14:paraId="166A8096" w14:textId="0882759B" w:rsidR="001269FA" w:rsidRPr="00A8096F" w:rsidRDefault="001269FA" w:rsidP="001269FA">
      <w:pPr>
        <w:pStyle w:val="ad"/>
        <w:rPr>
          <w:lang w:val="en-US"/>
        </w:rPr>
      </w:pPr>
      <w:r w:rsidRPr="004E3B47"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17" w:history="1">
        <w:r w:rsidRPr="0073342D">
          <w:rPr>
            <w:rStyle w:val="af1"/>
            <w:lang w:val="en-US"/>
          </w:rPr>
          <w:t>CRC/C/MDV/CO/4-5</w:t>
        </w:r>
      </w:hyperlink>
      <w:r w:rsidRPr="00807ED4">
        <w:rPr>
          <w:lang w:val="en-US"/>
        </w:rPr>
        <w:t xml:space="preserve">, </w:t>
      </w:r>
      <w:r>
        <w:t>пп</w:t>
      </w:r>
      <w:r w:rsidRPr="00807ED4">
        <w:rPr>
          <w:lang w:val="en-US"/>
        </w:rPr>
        <w:t xml:space="preserve">. 43, 45 </w:t>
      </w:r>
      <w:r>
        <w:t>и</w:t>
      </w:r>
      <w:r w:rsidRPr="00807ED4">
        <w:rPr>
          <w:lang w:val="en-US"/>
        </w:rPr>
        <w:t xml:space="preserve"> 49.</w:t>
      </w:r>
      <w:hyperlink r:id="rId18" w:history="1"/>
    </w:p>
  </w:footnote>
  <w:footnote w:id="11">
    <w:p w14:paraId="0ED3B28B" w14:textId="7592959C" w:rsidR="001269FA" w:rsidRPr="00A8096F" w:rsidRDefault="001269FA" w:rsidP="001269FA">
      <w:pPr>
        <w:pStyle w:val="ad"/>
        <w:rPr>
          <w:lang w:val="en-US"/>
        </w:rPr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19" w:history="1">
        <w:r w:rsidRPr="0073342D">
          <w:rPr>
            <w:rStyle w:val="af1"/>
            <w:lang w:val="en-US"/>
          </w:rPr>
          <w:t>CRC/C/OPSC/MDV/CO/1</w:t>
        </w:r>
      </w:hyperlink>
      <w:r w:rsidRPr="00807ED4">
        <w:rPr>
          <w:lang w:val="en-US"/>
        </w:rPr>
        <w:t>.</w:t>
      </w:r>
      <w:hyperlink r:id="rId20" w:history="1"/>
    </w:p>
  </w:footnote>
  <w:footnote w:id="12">
    <w:p w14:paraId="6A752CE0" w14:textId="68D7B27C" w:rsidR="001269FA" w:rsidRPr="00A8096F" w:rsidRDefault="001269FA" w:rsidP="001269FA">
      <w:pPr>
        <w:pStyle w:val="ad"/>
        <w:rPr>
          <w:lang w:val="en-US"/>
        </w:rPr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 w:rsidRPr="009E15A7">
        <w:rPr>
          <w:lang w:val="en-US"/>
        </w:rPr>
        <w:tab/>
      </w:r>
      <w:hyperlink r:id="rId21" w:history="1">
        <w:r w:rsidRPr="0073342D">
          <w:rPr>
            <w:rStyle w:val="af1"/>
            <w:lang w:val="en-US"/>
          </w:rPr>
          <w:t>CRC/C/156</w:t>
        </w:r>
      </w:hyperlink>
      <w:r w:rsidRPr="009E15A7">
        <w:rPr>
          <w:lang w:val="en-US"/>
        </w:rPr>
        <w:t>.</w:t>
      </w:r>
      <w:hyperlink r:id="rId22" w:history="1"/>
    </w:p>
  </w:footnote>
  <w:footnote w:id="13">
    <w:p w14:paraId="2C4777ED" w14:textId="77777777" w:rsidR="001269FA" w:rsidRPr="00A8096F" w:rsidRDefault="001269FA" w:rsidP="001269FA">
      <w:pPr>
        <w:pStyle w:val="ad"/>
        <w:rPr>
          <w:lang w:val="en-US"/>
        </w:rPr>
      </w:pPr>
      <w:r w:rsidRPr="009E15A7">
        <w:rPr>
          <w:lang w:val="en-US"/>
        </w:rPr>
        <w:tab/>
      </w:r>
      <w:r w:rsidRPr="00A84E58">
        <w:rPr>
          <w:rStyle w:val="aa"/>
        </w:rPr>
        <w:footnoteRef/>
      </w:r>
      <w:r w:rsidRPr="009E15A7">
        <w:rPr>
          <w:lang w:val="en-US"/>
        </w:rPr>
        <w:tab/>
        <w:t xml:space="preserve">URL: </w:t>
      </w:r>
      <w:hyperlink r:id="rId23" w:history="1">
        <w:r w:rsidRPr="00BF1845">
          <w:rPr>
            <w:rStyle w:val="af1"/>
            <w:lang w:val="en-US"/>
          </w:rPr>
          <w:t>https://www.ohchr.org/sites/default/files/documents/hrbodies/crc/statements/CRC-Article-5-statement.pdf</w:t>
        </w:r>
      </w:hyperlink>
      <w:r w:rsidRPr="009E15A7">
        <w:rPr>
          <w:lang w:val="en-US"/>
        </w:rPr>
        <w:t>.</w:t>
      </w:r>
    </w:p>
  </w:footnote>
  <w:footnote w:id="14">
    <w:p w14:paraId="4CD07DD0" w14:textId="7B31BA88" w:rsidR="001269FA" w:rsidRPr="00A8096F" w:rsidRDefault="001269FA" w:rsidP="001269FA">
      <w:pPr>
        <w:pStyle w:val="ad"/>
        <w:rPr>
          <w:lang w:val="en-US"/>
        </w:rPr>
      </w:pPr>
      <w:r w:rsidRPr="009E15A7">
        <w:rPr>
          <w:lang w:val="en-US"/>
        </w:rPr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24" w:history="1">
        <w:r w:rsidRPr="0073342D">
          <w:rPr>
            <w:rStyle w:val="af1"/>
            <w:lang w:val="en-US"/>
          </w:rPr>
          <w:t>CRC/C/MDV/CO/4-5</w:t>
        </w:r>
      </w:hyperlink>
      <w:r w:rsidRPr="00807ED4">
        <w:rPr>
          <w:lang w:val="en-US"/>
        </w:rPr>
        <w:t xml:space="preserve">, </w:t>
      </w:r>
      <w:r>
        <w:t>п</w:t>
      </w:r>
      <w:r w:rsidRPr="00807ED4">
        <w:rPr>
          <w:lang w:val="en-US"/>
        </w:rPr>
        <w:t>. 51</w:t>
      </w:r>
      <w:hyperlink r:id="rId25" w:history="1"/>
    </w:p>
  </w:footnote>
  <w:footnote w:id="15">
    <w:p w14:paraId="75776FAC" w14:textId="70CDB262" w:rsidR="001269FA" w:rsidRPr="00A8096F" w:rsidRDefault="001269FA" w:rsidP="001269FA">
      <w:pPr>
        <w:pStyle w:val="ad"/>
        <w:rPr>
          <w:lang w:val="en-US"/>
        </w:rPr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26" w:history="1">
        <w:r w:rsidRPr="0073342D">
          <w:rPr>
            <w:rStyle w:val="af1"/>
            <w:lang w:val="en-US"/>
          </w:rPr>
          <w:t>CRC/C/MDV/CO/4-5</w:t>
        </w:r>
      </w:hyperlink>
      <w:r w:rsidRPr="00807ED4">
        <w:rPr>
          <w:lang w:val="en-US"/>
        </w:rPr>
        <w:t xml:space="preserve">, </w:t>
      </w:r>
      <w:r>
        <w:t>п</w:t>
      </w:r>
      <w:r w:rsidRPr="00807ED4">
        <w:rPr>
          <w:lang w:val="en-US"/>
        </w:rPr>
        <w:t>. 57.</w:t>
      </w:r>
      <w:hyperlink r:id="rId27" w:history="1"/>
    </w:p>
  </w:footnote>
  <w:footnote w:id="16">
    <w:p w14:paraId="020414E5" w14:textId="22AC06AE" w:rsidR="001269FA" w:rsidRPr="00A8096F" w:rsidRDefault="001269FA" w:rsidP="001269FA">
      <w:pPr>
        <w:pStyle w:val="ad"/>
        <w:jc w:val="both"/>
        <w:rPr>
          <w:lang w:val="en-US"/>
        </w:rPr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28" w:history="1">
        <w:r w:rsidRPr="0073342D">
          <w:rPr>
            <w:rStyle w:val="af1"/>
            <w:lang w:val="en-US"/>
          </w:rPr>
          <w:t>CCPR/C/MDV/CO/2</w:t>
        </w:r>
      </w:hyperlink>
      <w:r w:rsidRPr="00807ED4">
        <w:rPr>
          <w:lang w:val="en-US"/>
        </w:rPr>
        <w:t xml:space="preserve">, </w:t>
      </w:r>
      <w:r>
        <w:t>п</w:t>
      </w:r>
      <w:r w:rsidRPr="00807ED4">
        <w:rPr>
          <w:lang w:val="en-US"/>
        </w:rPr>
        <w:t xml:space="preserve">. 52 b). </w:t>
      </w:r>
      <w:hyperlink r:id="rId29" w:history="1"/>
    </w:p>
  </w:footnote>
  <w:footnote w:id="17">
    <w:p w14:paraId="71A24EF5" w14:textId="5B0EB32A" w:rsidR="001269FA" w:rsidRPr="00A8096F" w:rsidRDefault="001269FA" w:rsidP="001269FA">
      <w:pPr>
        <w:pStyle w:val="ad"/>
        <w:rPr>
          <w:lang w:val="en-US"/>
        </w:rPr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 w:rsidRPr="00807ED4">
        <w:rPr>
          <w:lang w:val="en-US"/>
        </w:rPr>
        <w:tab/>
      </w:r>
      <w:hyperlink r:id="rId30" w:history="1">
        <w:r w:rsidRPr="0073342D">
          <w:rPr>
            <w:rStyle w:val="af1"/>
            <w:lang w:val="en-US"/>
          </w:rPr>
          <w:t>CRC/C/OPAC/MDV/CO/1</w:t>
        </w:r>
      </w:hyperlink>
      <w:r w:rsidRPr="00807ED4">
        <w:rPr>
          <w:lang w:val="en-US"/>
        </w:rPr>
        <w:t>.</w:t>
      </w:r>
      <w:hyperlink r:id="rId31" w:history="1"/>
    </w:p>
  </w:footnote>
  <w:footnote w:id="18">
    <w:p w14:paraId="7ABC0EEE" w14:textId="00F609D2" w:rsidR="001269FA" w:rsidRPr="00807ED4" w:rsidRDefault="001269FA" w:rsidP="001269FA">
      <w:pPr>
        <w:pStyle w:val="ad"/>
      </w:pPr>
      <w:r w:rsidRPr="00807ED4">
        <w:rPr>
          <w:lang w:val="en-US"/>
        </w:rPr>
        <w:tab/>
      </w:r>
      <w:r w:rsidRPr="00A84E58">
        <w:rPr>
          <w:rStyle w:val="aa"/>
        </w:rPr>
        <w:footnoteRef/>
      </w:r>
      <w:r>
        <w:tab/>
      </w:r>
      <w:hyperlink r:id="rId32" w:history="1">
        <w:r w:rsidRPr="0073342D">
          <w:rPr>
            <w:rStyle w:val="af1"/>
          </w:rPr>
          <w:t>CRC/C/58/Rev.3</w:t>
        </w:r>
      </w:hyperlink>
      <w:r>
        <w:t>.</w:t>
      </w:r>
      <w:hyperlink r:id="rId33" w:history="1"/>
    </w:p>
  </w:footnote>
  <w:footnote w:id="19">
    <w:p w14:paraId="1B95B008" w14:textId="77777777" w:rsidR="001269FA" w:rsidRPr="00807ED4" w:rsidRDefault="001269FA" w:rsidP="001269FA">
      <w:pPr>
        <w:pStyle w:val="ad"/>
      </w:pPr>
      <w:r>
        <w:tab/>
      </w:r>
      <w:r w:rsidRPr="00A84E58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26A72" w14:textId="527D479B" w:rsidR="00E201E4" w:rsidRPr="00E201E4" w:rsidRDefault="008C3E3C">
    <w:pPr>
      <w:pStyle w:val="a5"/>
    </w:pPr>
    <w:fldSimple w:instr=" TITLE  \* MERGEFORMAT ">
      <w:r w:rsidR="00CB55BB">
        <w:t>CRC/C/MDV/CO/6-7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2210F" w14:textId="0C694C6E" w:rsidR="00E201E4" w:rsidRPr="00E201E4" w:rsidRDefault="008C3E3C" w:rsidP="00E201E4">
    <w:pPr>
      <w:pStyle w:val="a5"/>
      <w:jc w:val="right"/>
    </w:pPr>
    <w:fldSimple w:instr=" TITLE  \* MERGEFORMAT ">
      <w:r w:rsidR="00CB55BB">
        <w:t>CRC/C/MDV/CO/6-7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06"/>
    <w:rsid w:val="00033EE1"/>
    <w:rsid w:val="00042B72"/>
    <w:rsid w:val="00045323"/>
    <w:rsid w:val="000558BD"/>
    <w:rsid w:val="00077409"/>
    <w:rsid w:val="000869FE"/>
    <w:rsid w:val="000B57E7"/>
    <w:rsid w:val="000B6373"/>
    <w:rsid w:val="000F09DF"/>
    <w:rsid w:val="000F61B2"/>
    <w:rsid w:val="001075E9"/>
    <w:rsid w:val="0011585E"/>
    <w:rsid w:val="00126639"/>
    <w:rsid w:val="001269FA"/>
    <w:rsid w:val="00180183"/>
    <w:rsid w:val="0018024D"/>
    <w:rsid w:val="0018649F"/>
    <w:rsid w:val="00196389"/>
    <w:rsid w:val="001A4D7B"/>
    <w:rsid w:val="001B3EF6"/>
    <w:rsid w:val="001C7A89"/>
    <w:rsid w:val="00232775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6B67"/>
    <w:rsid w:val="00317339"/>
    <w:rsid w:val="00322004"/>
    <w:rsid w:val="003279F3"/>
    <w:rsid w:val="003402C2"/>
    <w:rsid w:val="00341EE7"/>
    <w:rsid w:val="00350C1F"/>
    <w:rsid w:val="00355074"/>
    <w:rsid w:val="00381C24"/>
    <w:rsid w:val="00385DF7"/>
    <w:rsid w:val="003875A7"/>
    <w:rsid w:val="003958D0"/>
    <w:rsid w:val="003B00E5"/>
    <w:rsid w:val="003B2C76"/>
    <w:rsid w:val="003E5706"/>
    <w:rsid w:val="00407B78"/>
    <w:rsid w:val="00413B3A"/>
    <w:rsid w:val="00424203"/>
    <w:rsid w:val="00452493"/>
    <w:rsid w:val="00453318"/>
    <w:rsid w:val="00454E07"/>
    <w:rsid w:val="00472C5C"/>
    <w:rsid w:val="0047629E"/>
    <w:rsid w:val="004E3B47"/>
    <w:rsid w:val="0050108D"/>
    <w:rsid w:val="00513081"/>
    <w:rsid w:val="00517901"/>
    <w:rsid w:val="00526683"/>
    <w:rsid w:val="005709E0"/>
    <w:rsid w:val="00572E19"/>
    <w:rsid w:val="005961C8"/>
    <w:rsid w:val="005A6870"/>
    <w:rsid w:val="005B54BE"/>
    <w:rsid w:val="005D7914"/>
    <w:rsid w:val="005E2B41"/>
    <w:rsid w:val="005F0B42"/>
    <w:rsid w:val="00612318"/>
    <w:rsid w:val="00640BC4"/>
    <w:rsid w:val="00654AB1"/>
    <w:rsid w:val="00681A10"/>
    <w:rsid w:val="006A1ED8"/>
    <w:rsid w:val="006C2031"/>
    <w:rsid w:val="006D461A"/>
    <w:rsid w:val="006F35EE"/>
    <w:rsid w:val="007021FF"/>
    <w:rsid w:val="00710F2B"/>
    <w:rsid w:val="00712895"/>
    <w:rsid w:val="0073342D"/>
    <w:rsid w:val="00757357"/>
    <w:rsid w:val="007B4656"/>
    <w:rsid w:val="007F4CC4"/>
    <w:rsid w:val="00806737"/>
    <w:rsid w:val="00825F8D"/>
    <w:rsid w:val="00834B71"/>
    <w:rsid w:val="0086445C"/>
    <w:rsid w:val="00894693"/>
    <w:rsid w:val="008A08D7"/>
    <w:rsid w:val="008B6909"/>
    <w:rsid w:val="008C3E3C"/>
    <w:rsid w:val="00906890"/>
    <w:rsid w:val="00911BE4"/>
    <w:rsid w:val="0093557E"/>
    <w:rsid w:val="00951972"/>
    <w:rsid w:val="009608F3"/>
    <w:rsid w:val="00973F62"/>
    <w:rsid w:val="009A24AC"/>
    <w:rsid w:val="009C3943"/>
    <w:rsid w:val="00A10705"/>
    <w:rsid w:val="00A14DA8"/>
    <w:rsid w:val="00A312BC"/>
    <w:rsid w:val="00A65BF1"/>
    <w:rsid w:val="00A66A28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718A8"/>
    <w:rsid w:val="00C805C9"/>
    <w:rsid w:val="00C92939"/>
    <w:rsid w:val="00CA1679"/>
    <w:rsid w:val="00CB151C"/>
    <w:rsid w:val="00CB55BB"/>
    <w:rsid w:val="00CE5A1A"/>
    <w:rsid w:val="00CF55F6"/>
    <w:rsid w:val="00D121D2"/>
    <w:rsid w:val="00D12BC2"/>
    <w:rsid w:val="00D33D63"/>
    <w:rsid w:val="00D35BB9"/>
    <w:rsid w:val="00D53C43"/>
    <w:rsid w:val="00D90028"/>
    <w:rsid w:val="00D90138"/>
    <w:rsid w:val="00DD1D1E"/>
    <w:rsid w:val="00DD78D1"/>
    <w:rsid w:val="00DE32CD"/>
    <w:rsid w:val="00DF71B9"/>
    <w:rsid w:val="00E12E0A"/>
    <w:rsid w:val="00E201E4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64B2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6B7E2"/>
  <w15:docId w15:val="{8D505F79-E12D-493A-A7B2-C5CCE304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1269FA"/>
    <w:rPr>
      <w:lang w:val="ru-RU" w:eastAsia="en-US"/>
    </w:rPr>
  </w:style>
  <w:style w:type="character" w:customStyle="1" w:styleId="HChGChar">
    <w:name w:val="_ H _Ch_G Char"/>
    <w:link w:val="HChG"/>
    <w:locked/>
    <w:rsid w:val="001269FA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1269FA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334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MDV/RQ/6-7" TargetMode="External"/><Relationship Id="rId13" Type="http://schemas.openxmlformats.org/officeDocument/2006/relationships/hyperlink" Target="https://docs.un.org/ru/CRC/C/MDV/CO/4-5" TargetMode="External"/><Relationship Id="rId18" Type="http://schemas.openxmlformats.org/officeDocument/2006/relationships/hyperlink" Target="https://docs.un.org/en/CRC/C/MDV/CO/4-5" TargetMode="External"/><Relationship Id="rId26" Type="http://schemas.openxmlformats.org/officeDocument/2006/relationships/hyperlink" Target="https://docs.un.org/ru/CRC/C/MDV/CO/4-5" TargetMode="External"/><Relationship Id="rId3" Type="http://schemas.openxmlformats.org/officeDocument/2006/relationships/hyperlink" Target="https://docs.un.org/ru/CRC/C/SR.2908" TargetMode="External"/><Relationship Id="rId21" Type="http://schemas.openxmlformats.org/officeDocument/2006/relationships/hyperlink" Target="https://docs.un.org/ru/CRC/C/156" TargetMode="External"/><Relationship Id="rId7" Type="http://schemas.openxmlformats.org/officeDocument/2006/relationships/hyperlink" Target="https://docs.un.org/ru/CRC/C/MDV/RQ/6-7" TargetMode="External"/><Relationship Id="rId12" Type="http://schemas.openxmlformats.org/officeDocument/2006/relationships/hyperlink" Target="https://docs.un.org/en/CRC/C/MDV/CO/4-5" TargetMode="External"/><Relationship Id="rId17" Type="http://schemas.openxmlformats.org/officeDocument/2006/relationships/hyperlink" Target="https://docs.un.org/ru/CRC/C/MDV/CO/4-5" TargetMode="External"/><Relationship Id="rId25" Type="http://schemas.openxmlformats.org/officeDocument/2006/relationships/hyperlink" Target="https://docs.un.org/en/CRC/C/MDV/CO/4-5" TargetMode="External"/><Relationship Id="rId33" Type="http://schemas.openxmlformats.org/officeDocument/2006/relationships/hyperlink" Target="http://undocs.org/en/CRC/C/58/Rev.3" TargetMode="External"/><Relationship Id="rId2" Type="http://schemas.openxmlformats.org/officeDocument/2006/relationships/hyperlink" Target="https://docs.un.org/en/CRC/C/MDV/6-7" TargetMode="External"/><Relationship Id="rId16" Type="http://schemas.openxmlformats.org/officeDocument/2006/relationships/hyperlink" Target="https://docs.un.org/en/CRC/C/MDV/CO/4-5" TargetMode="External"/><Relationship Id="rId20" Type="http://schemas.openxmlformats.org/officeDocument/2006/relationships/hyperlink" Target="https://docs.un.org/en/CRC/C/OPSC/MDV/CO/1" TargetMode="External"/><Relationship Id="rId29" Type="http://schemas.openxmlformats.org/officeDocument/2006/relationships/hyperlink" Target="https://docs.un.org/en/CCPR/C/MDV/CO/2" TargetMode="External"/><Relationship Id="rId1" Type="http://schemas.openxmlformats.org/officeDocument/2006/relationships/hyperlink" Target="https://docs.un.org/ru/CRC/C/MDV/6-7" TargetMode="External"/><Relationship Id="rId6" Type="http://schemas.openxmlformats.org/officeDocument/2006/relationships/hyperlink" Target="https://docs.un.org/en/CRC/C/SR.2909" TargetMode="External"/><Relationship Id="rId11" Type="http://schemas.openxmlformats.org/officeDocument/2006/relationships/hyperlink" Target="https://docs.un.org/en/CRC/C/MDV/CO/3" TargetMode="External"/><Relationship Id="rId24" Type="http://schemas.openxmlformats.org/officeDocument/2006/relationships/hyperlink" Target="https://docs.un.org/ru/CRC/C/MDV/CO/4-5" TargetMode="External"/><Relationship Id="rId32" Type="http://schemas.openxmlformats.org/officeDocument/2006/relationships/hyperlink" Target="https://docs.un.org/ru/CRC/C/58/Rev.3" TargetMode="External"/><Relationship Id="rId5" Type="http://schemas.openxmlformats.org/officeDocument/2006/relationships/hyperlink" Target="https://docs.un.org/en/CRC/C/SR.2908" TargetMode="External"/><Relationship Id="rId15" Type="http://schemas.openxmlformats.org/officeDocument/2006/relationships/hyperlink" Target="https://docs.un.org/ru/CRC/C/MDV/CO/4-5" TargetMode="External"/><Relationship Id="rId23" Type="http://schemas.openxmlformats.org/officeDocument/2006/relationships/hyperlink" Target="https://www.ohchr.org/sites/default/files/documents/hrbodies/crc/statements/CRC-Article-5-statement.pdf" TargetMode="External"/><Relationship Id="rId28" Type="http://schemas.openxmlformats.org/officeDocument/2006/relationships/hyperlink" Target="https://docs.un.org/ru/CCPR/C/MDV/CO/2" TargetMode="External"/><Relationship Id="rId10" Type="http://schemas.openxmlformats.org/officeDocument/2006/relationships/hyperlink" Target="https://docs.un.org/ru/CRC/C/MDV/CO/4-5" TargetMode="External"/><Relationship Id="rId19" Type="http://schemas.openxmlformats.org/officeDocument/2006/relationships/hyperlink" Target="https://docs.un.org/ru/CRC/C/OPSC/MDV/CO/1" TargetMode="External"/><Relationship Id="rId31" Type="http://schemas.openxmlformats.org/officeDocument/2006/relationships/hyperlink" Target="https://docs.un.org/en/CRC/C/OPAC/MDV/CO/1" TargetMode="External"/><Relationship Id="rId4" Type="http://schemas.openxmlformats.org/officeDocument/2006/relationships/hyperlink" Target="https://docs.un.org/ru/CRC/C/SR.2909" TargetMode="External"/><Relationship Id="rId9" Type="http://schemas.openxmlformats.org/officeDocument/2006/relationships/hyperlink" Target="https://docs.un.org/ru/CRC/C/MDV/CO/3" TargetMode="External"/><Relationship Id="rId14" Type="http://schemas.openxmlformats.org/officeDocument/2006/relationships/hyperlink" Target="https://docs.un.org/en/CRC/C/MDV/CO/4-5" TargetMode="External"/><Relationship Id="rId22" Type="http://schemas.openxmlformats.org/officeDocument/2006/relationships/hyperlink" Target="https://docs.un.org/en/CRC/C/156" TargetMode="External"/><Relationship Id="rId27" Type="http://schemas.openxmlformats.org/officeDocument/2006/relationships/hyperlink" Target="https://docs.un.org/en/CRC/C/MDV/CO/4-5" TargetMode="External"/><Relationship Id="rId30" Type="http://schemas.openxmlformats.org/officeDocument/2006/relationships/hyperlink" Target="https://docs.un.org/ru/CRC/C/OPAC/MDV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7206</Words>
  <Characters>50444</Characters>
  <Application>Microsoft Office Word</Application>
  <DocSecurity>0</DocSecurity>
  <Lines>951</Lines>
  <Paragraphs>295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CRC/C/MDV/CO/6-7</vt:lpstr>
      <vt:lpstr>A/</vt:lpstr>
      <vt:lpstr>A/</vt:lpstr>
    </vt:vector>
  </TitlesOfParts>
  <Company>DCM</Company>
  <LinksUpToDate>false</LinksUpToDate>
  <CharactersWithSpaces>57355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CRC/C/MDV/CO/6-7</dc:title>
  <dc:subject/>
  <dc:creator>Tatiana CHVETS</dc:creator>
  <cp:keywords/>
  <cp:lastModifiedBy>Tatiana Chvets</cp:lastModifiedBy>
  <cp:revision>2</cp:revision>
  <cp:lastPrinted>2008-01-15T07:58:00Z</cp:lastPrinted>
  <dcterms:created xsi:type="dcterms:W3CDTF">2026-05-22T07:38:00Z</dcterms:created>
  <dcterms:modified xsi:type="dcterms:W3CDTF">2026-05-22T07:38:00Z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