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1C18A243" w14:textId="77777777" w:rsidTr="009D5F1A">
        <w:trPr>
          <w:trHeight w:hRule="exact" w:val="851"/>
        </w:trPr>
        <w:tc>
          <w:tcPr>
            <w:tcW w:w="1276" w:type="dxa"/>
            <w:tcBorders>
              <w:bottom w:val="single" w:sz="4" w:space="0" w:color="auto"/>
            </w:tcBorders>
          </w:tcPr>
          <w:p w14:paraId="4158F6D6" w14:textId="77777777" w:rsidR="00DC0149" w:rsidRPr="00DB58B5" w:rsidRDefault="00DC0149" w:rsidP="005F7366"/>
        </w:tc>
        <w:tc>
          <w:tcPr>
            <w:tcW w:w="2268" w:type="dxa"/>
            <w:tcBorders>
              <w:bottom w:val="single" w:sz="4" w:space="0" w:color="auto"/>
            </w:tcBorders>
            <w:vAlign w:val="bottom"/>
          </w:tcPr>
          <w:p w14:paraId="0D0240B9"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A79C21D" w14:textId="6FE1012A" w:rsidR="00DC0149" w:rsidRPr="00DB58B5" w:rsidRDefault="005F7366" w:rsidP="005F7366">
            <w:pPr>
              <w:jc w:val="right"/>
            </w:pPr>
            <w:r w:rsidRPr="005F7366">
              <w:rPr>
                <w:sz w:val="40"/>
              </w:rPr>
              <w:t>CERD</w:t>
            </w:r>
            <w:r>
              <w:t>/C/JAM/Q/21-24</w:t>
            </w:r>
          </w:p>
        </w:tc>
      </w:tr>
      <w:tr w:rsidR="00DC0149" w:rsidRPr="00DB58B5" w14:paraId="3B07D613" w14:textId="77777777" w:rsidTr="009D5F1A">
        <w:trPr>
          <w:trHeight w:hRule="exact" w:val="2835"/>
        </w:trPr>
        <w:tc>
          <w:tcPr>
            <w:tcW w:w="1276" w:type="dxa"/>
            <w:tcBorders>
              <w:top w:val="single" w:sz="4" w:space="0" w:color="auto"/>
              <w:bottom w:val="single" w:sz="12" w:space="0" w:color="auto"/>
            </w:tcBorders>
          </w:tcPr>
          <w:p w14:paraId="7815A201" w14:textId="77777777" w:rsidR="00DC0149" w:rsidRPr="00DB58B5" w:rsidRDefault="00DC0149" w:rsidP="009D5F1A">
            <w:pPr>
              <w:spacing w:before="120"/>
              <w:jc w:val="center"/>
            </w:pPr>
            <w:r>
              <w:rPr>
                <w:noProof/>
                <w:lang w:eastAsia="fr-CH"/>
              </w:rPr>
              <w:drawing>
                <wp:inline distT="0" distB="0" distL="0" distR="0" wp14:anchorId="3EB8297E" wp14:editId="3A1CAB7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F4ED02"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04F01FE0" w14:textId="77777777" w:rsidR="00DC0149" w:rsidRDefault="005F7366" w:rsidP="009D5F1A">
            <w:pPr>
              <w:spacing w:before="240"/>
            </w:pPr>
            <w:r>
              <w:t>Distr. générale</w:t>
            </w:r>
          </w:p>
          <w:p w14:paraId="38790E46" w14:textId="77777777" w:rsidR="005F7366" w:rsidRDefault="005F7366" w:rsidP="005F7366">
            <w:pPr>
              <w:spacing w:line="240" w:lineRule="exact"/>
            </w:pPr>
            <w:r>
              <w:t>27 septembre 2022</w:t>
            </w:r>
          </w:p>
          <w:p w14:paraId="525CA62B" w14:textId="77777777" w:rsidR="005F7366" w:rsidRDefault="005F7366" w:rsidP="005F7366">
            <w:pPr>
              <w:spacing w:line="240" w:lineRule="exact"/>
            </w:pPr>
            <w:r>
              <w:t>Français</w:t>
            </w:r>
          </w:p>
          <w:p w14:paraId="400ECDFE" w14:textId="77777777" w:rsidR="005F7366" w:rsidRDefault="005F7366" w:rsidP="005F7366">
            <w:pPr>
              <w:spacing w:line="240" w:lineRule="exact"/>
            </w:pPr>
            <w:r>
              <w:t>Original : anglais</w:t>
            </w:r>
          </w:p>
          <w:p w14:paraId="7F354E3F" w14:textId="0253F001" w:rsidR="005F7366" w:rsidRPr="00DB58B5" w:rsidRDefault="005F7366" w:rsidP="005F7366">
            <w:pPr>
              <w:spacing w:line="240" w:lineRule="exact"/>
            </w:pPr>
            <w:r>
              <w:t>Anglais, espagnol et français seulement</w:t>
            </w:r>
          </w:p>
        </w:tc>
      </w:tr>
    </w:tbl>
    <w:p w14:paraId="36AC753D" w14:textId="77777777" w:rsidR="00623CA8" w:rsidRDefault="00623CA8" w:rsidP="00623CA8">
      <w:pPr>
        <w:spacing w:before="120"/>
        <w:rPr>
          <w:b/>
          <w:sz w:val="24"/>
          <w:szCs w:val="24"/>
        </w:rPr>
      </w:pPr>
      <w:r w:rsidRPr="00C56102">
        <w:rPr>
          <w:b/>
          <w:sz w:val="24"/>
          <w:szCs w:val="24"/>
        </w:rPr>
        <w:t>Comité pour l’élimination de la discrimination raciale</w:t>
      </w:r>
    </w:p>
    <w:p w14:paraId="5BE2D015" w14:textId="26E8676B" w:rsidR="005F7366" w:rsidRPr="00020E21" w:rsidRDefault="005F7366" w:rsidP="005F7366">
      <w:pPr>
        <w:rPr>
          <w:b/>
          <w:lang w:val="fr-FR"/>
        </w:rPr>
      </w:pPr>
      <w:r w:rsidRPr="00020E21">
        <w:rPr>
          <w:b/>
          <w:lang w:val="fr-FR"/>
        </w:rPr>
        <w:t>108</w:t>
      </w:r>
      <w:r w:rsidRPr="00F13314">
        <w:rPr>
          <w:b/>
          <w:vertAlign w:val="superscript"/>
          <w:lang w:val="fr-FR"/>
        </w:rPr>
        <w:t>e</w:t>
      </w:r>
      <w:r w:rsidR="00F13314">
        <w:rPr>
          <w:b/>
          <w:lang w:val="fr-FR"/>
        </w:rPr>
        <w:t> </w:t>
      </w:r>
      <w:r w:rsidRPr="00020E21">
        <w:rPr>
          <w:b/>
          <w:lang w:val="fr-FR"/>
        </w:rPr>
        <w:t>session</w:t>
      </w:r>
    </w:p>
    <w:p w14:paraId="27558A4D" w14:textId="343DD8C0" w:rsidR="005F7366" w:rsidRPr="00020E21" w:rsidRDefault="005F7366" w:rsidP="005F7366">
      <w:pPr>
        <w:rPr>
          <w:lang w:val="fr-FR"/>
        </w:rPr>
      </w:pPr>
      <w:r>
        <w:rPr>
          <w:lang w:val="fr-FR"/>
        </w:rPr>
        <w:t>14 novembre</w:t>
      </w:r>
      <w:r w:rsidR="00F13314">
        <w:rPr>
          <w:lang w:val="fr-FR"/>
        </w:rPr>
        <w:noBreakHyphen/>
      </w:r>
      <w:r w:rsidRPr="00020E21">
        <w:rPr>
          <w:lang w:val="fr-FR"/>
        </w:rPr>
        <w:t xml:space="preserve">2 </w:t>
      </w:r>
      <w:r>
        <w:rPr>
          <w:lang w:val="fr-FR"/>
        </w:rPr>
        <w:t>décembre</w:t>
      </w:r>
      <w:r w:rsidRPr="00020E21">
        <w:rPr>
          <w:lang w:val="fr-FR"/>
        </w:rPr>
        <w:t xml:space="preserve"> 2022</w:t>
      </w:r>
    </w:p>
    <w:p w14:paraId="17A76931" w14:textId="77777777" w:rsidR="005F7366" w:rsidRPr="00020E21" w:rsidRDefault="005F7366" w:rsidP="005F7366">
      <w:pPr>
        <w:rPr>
          <w:lang w:val="fr-FR"/>
        </w:rPr>
      </w:pPr>
      <w:r>
        <w:rPr>
          <w:lang w:val="fr-FR"/>
        </w:rPr>
        <w:t>Point 4 de l’ordre du jour provisoire</w:t>
      </w:r>
    </w:p>
    <w:p w14:paraId="0C7B3FA4" w14:textId="7CEE217F" w:rsidR="005F7366" w:rsidRPr="00020E21" w:rsidRDefault="005F7366" w:rsidP="005F7366">
      <w:pPr>
        <w:rPr>
          <w:b/>
          <w:bCs/>
          <w:lang w:val="fr-FR"/>
        </w:rPr>
      </w:pPr>
      <w:r>
        <w:rPr>
          <w:b/>
          <w:bCs/>
          <w:lang w:val="fr-FR"/>
        </w:rPr>
        <w:t xml:space="preserve">Examen des rapports, observations et renseignements </w:t>
      </w:r>
      <w:r w:rsidR="00F13314">
        <w:rPr>
          <w:b/>
          <w:bCs/>
          <w:lang w:val="fr-FR"/>
        </w:rPr>
        <w:br/>
      </w:r>
      <w:r>
        <w:rPr>
          <w:b/>
          <w:bCs/>
          <w:lang w:val="fr-FR"/>
        </w:rPr>
        <w:t xml:space="preserve">soumis par les États parties en application de l’article 9 </w:t>
      </w:r>
      <w:r w:rsidR="00F13314">
        <w:rPr>
          <w:b/>
          <w:bCs/>
          <w:lang w:val="fr-FR"/>
        </w:rPr>
        <w:br/>
      </w:r>
      <w:r>
        <w:rPr>
          <w:b/>
          <w:bCs/>
          <w:lang w:val="fr-FR"/>
        </w:rPr>
        <w:t xml:space="preserve">de la </w:t>
      </w:r>
      <w:r w:rsidRPr="00020E21">
        <w:rPr>
          <w:b/>
          <w:bCs/>
          <w:lang w:val="fr-FR"/>
        </w:rPr>
        <w:t>Convention</w:t>
      </w:r>
    </w:p>
    <w:p w14:paraId="6F452AF3" w14:textId="77777777" w:rsidR="005F7366" w:rsidRPr="00020E21" w:rsidRDefault="005F7366" w:rsidP="005F7366">
      <w:pPr>
        <w:pStyle w:val="HChG"/>
        <w:rPr>
          <w:lang w:val="fr-FR"/>
        </w:rPr>
      </w:pPr>
      <w:r w:rsidRPr="00020E21">
        <w:rPr>
          <w:lang w:val="fr-FR"/>
        </w:rPr>
        <w:tab/>
      </w:r>
      <w:r w:rsidRPr="00020E21">
        <w:rPr>
          <w:lang w:val="fr-FR"/>
        </w:rPr>
        <w:tab/>
      </w:r>
      <w:r w:rsidRPr="005A12B8">
        <w:rPr>
          <w:lang w:val="fr-FR"/>
        </w:rPr>
        <w:t xml:space="preserve">Liste de thèmes concernant le rapport de la </w:t>
      </w:r>
      <w:r>
        <w:rPr>
          <w:lang w:val="fr-FR"/>
        </w:rPr>
        <w:t>Jamaïque</w:t>
      </w:r>
      <w:r w:rsidRPr="005A12B8">
        <w:rPr>
          <w:lang w:val="fr-FR"/>
        </w:rPr>
        <w:t xml:space="preserve"> valant </w:t>
      </w:r>
      <w:r>
        <w:rPr>
          <w:lang w:val="fr-FR"/>
        </w:rPr>
        <w:t>vingt et unième à vingt-</w:t>
      </w:r>
      <w:r w:rsidRPr="005A12B8">
        <w:rPr>
          <w:lang w:val="fr-FR"/>
        </w:rPr>
        <w:t>quatrième rapports périodiques</w:t>
      </w:r>
    </w:p>
    <w:p w14:paraId="4B8DAB35" w14:textId="77777777" w:rsidR="005F7366" w:rsidRPr="00020E21" w:rsidRDefault="005F7366" w:rsidP="00F13314">
      <w:pPr>
        <w:pStyle w:val="H1G"/>
        <w:rPr>
          <w:lang w:val="fr-FR"/>
        </w:rPr>
      </w:pPr>
      <w:r w:rsidRPr="00020E21">
        <w:rPr>
          <w:lang w:val="fr-FR"/>
        </w:rPr>
        <w:tab/>
      </w:r>
      <w:r w:rsidRPr="00020E21">
        <w:rPr>
          <w:lang w:val="fr-FR"/>
        </w:rPr>
        <w:tab/>
      </w:r>
      <w:r w:rsidRPr="00A57F8F">
        <w:rPr>
          <w:lang w:val="fr-FR"/>
        </w:rPr>
        <w:t>Note du rapporteur pour le pays</w:t>
      </w:r>
    </w:p>
    <w:p w14:paraId="14EDDEB5" w14:textId="77777777" w:rsidR="005F7366" w:rsidRPr="00020E21" w:rsidRDefault="005F7366" w:rsidP="00F13314">
      <w:pPr>
        <w:pStyle w:val="SingleTxtG"/>
        <w:rPr>
          <w:lang w:val="fr-FR"/>
        </w:rPr>
      </w:pPr>
      <w:r w:rsidRPr="00020E21">
        <w:rPr>
          <w:lang w:val="fr-FR"/>
        </w:rPr>
        <w:t>1.</w:t>
      </w:r>
      <w:r w:rsidRPr="00020E21">
        <w:rPr>
          <w:lang w:val="fr-FR"/>
        </w:rPr>
        <w:tab/>
      </w:r>
      <w:r w:rsidRPr="001876C5">
        <w:rPr>
          <w:lang w:val="fr-FR"/>
        </w:rPr>
        <w:t>À sa soixante-seizième session</w:t>
      </w:r>
      <w:r w:rsidRPr="00020E21">
        <w:rPr>
          <w:rStyle w:val="Appelnotedebasdep"/>
          <w:lang w:val="fr-FR"/>
        </w:rPr>
        <w:footnoteReference w:id="2"/>
      </w:r>
      <w:r w:rsidRPr="00E9387C">
        <w:rPr>
          <w:lang w:val="fr-FR"/>
        </w:rPr>
        <w:t>, le Comité pour l</w:t>
      </w:r>
      <w:r>
        <w:rPr>
          <w:lang w:val="fr-FR"/>
        </w:rPr>
        <w:t>’</w:t>
      </w:r>
      <w:r w:rsidRPr="00E9387C">
        <w:rPr>
          <w:lang w:val="fr-FR"/>
        </w:rPr>
        <w:t xml:space="preserve">élimination de la discrimination raciale a décidé que le rapporteur </w:t>
      </w:r>
      <w:r>
        <w:rPr>
          <w:lang w:val="fr-FR"/>
        </w:rPr>
        <w:t>pour le</w:t>
      </w:r>
      <w:r w:rsidRPr="00E9387C">
        <w:rPr>
          <w:lang w:val="fr-FR"/>
        </w:rPr>
        <w:t xml:space="preserve"> pays ferait parvenir à l</w:t>
      </w:r>
      <w:r>
        <w:rPr>
          <w:lang w:val="fr-FR"/>
        </w:rPr>
        <w:t>’</w:t>
      </w:r>
      <w:r w:rsidRPr="00E9387C">
        <w:rPr>
          <w:lang w:val="fr-FR"/>
        </w:rPr>
        <w:t>État partie concerné une courte liste de thèmes en vue de guider et de structurer le dialogue entre la délégation de l</w:t>
      </w:r>
      <w:r>
        <w:rPr>
          <w:lang w:val="fr-FR"/>
        </w:rPr>
        <w:t>’</w:t>
      </w:r>
      <w:r w:rsidRPr="00E9387C">
        <w:rPr>
          <w:lang w:val="fr-FR"/>
        </w:rPr>
        <w:t>État partie et le Comité pendant l</w:t>
      </w:r>
      <w:r>
        <w:rPr>
          <w:lang w:val="fr-FR"/>
        </w:rPr>
        <w:t>’</w:t>
      </w:r>
      <w:r w:rsidRPr="00E9387C">
        <w:rPr>
          <w:lang w:val="fr-FR"/>
        </w:rPr>
        <w:t>examen du rapport de l</w:t>
      </w:r>
      <w:r>
        <w:rPr>
          <w:lang w:val="fr-FR"/>
        </w:rPr>
        <w:t>’</w:t>
      </w:r>
      <w:r w:rsidRPr="00E9387C">
        <w:rPr>
          <w:lang w:val="fr-FR"/>
        </w:rPr>
        <w:t>État partie</w:t>
      </w:r>
      <w:r w:rsidRPr="00020E21">
        <w:rPr>
          <w:lang w:val="fr-FR"/>
        </w:rPr>
        <w:t xml:space="preserve">. </w:t>
      </w:r>
      <w:r w:rsidRPr="002343A9">
        <w:rPr>
          <w:lang w:val="fr-FR"/>
        </w:rPr>
        <w:t>On trouvera ci-après une liste de thèmes non exhaustive, d</w:t>
      </w:r>
      <w:r>
        <w:rPr>
          <w:lang w:val="fr-FR"/>
        </w:rPr>
        <w:t>’</w:t>
      </w:r>
      <w:r w:rsidRPr="002343A9">
        <w:rPr>
          <w:lang w:val="fr-FR"/>
        </w:rPr>
        <w:t>autres questions pouvant être traitées au cours du dialogue</w:t>
      </w:r>
      <w:r w:rsidRPr="00020E21">
        <w:rPr>
          <w:lang w:val="fr-FR"/>
        </w:rPr>
        <w:t xml:space="preserve">. </w:t>
      </w:r>
      <w:r w:rsidRPr="002343A9">
        <w:rPr>
          <w:lang w:val="fr-FR"/>
        </w:rPr>
        <w:t>Cette liste n</w:t>
      </w:r>
      <w:r>
        <w:rPr>
          <w:lang w:val="fr-FR"/>
        </w:rPr>
        <w:t>’</w:t>
      </w:r>
      <w:r w:rsidRPr="002343A9">
        <w:rPr>
          <w:lang w:val="fr-FR"/>
        </w:rPr>
        <w:t>appelle pas de réponses écrites</w:t>
      </w:r>
      <w:r w:rsidRPr="00020E21">
        <w:rPr>
          <w:lang w:val="fr-FR"/>
        </w:rPr>
        <w:t>.</w:t>
      </w:r>
    </w:p>
    <w:p w14:paraId="0485800D" w14:textId="16FD29FE" w:rsidR="005F7366" w:rsidRPr="00020E21" w:rsidRDefault="005F7366" w:rsidP="005F7366">
      <w:pPr>
        <w:pStyle w:val="H23G"/>
        <w:rPr>
          <w:lang w:val="fr-FR"/>
        </w:rPr>
      </w:pPr>
      <w:r w:rsidRPr="00020E21">
        <w:rPr>
          <w:lang w:val="fr-FR"/>
        </w:rPr>
        <w:tab/>
      </w:r>
      <w:r w:rsidRPr="00020E21">
        <w:rPr>
          <w:lang w:val="fr-FR"/>
        </w:rPr>
        <w:tab/>
      </w:r>
      <w:r w:rsidRPr="00C40CFC">
        <w:rPr>
          <w:lang w:val="fr-FR"/>
        </w:rPr>
        <w:t xml:space="preserve">La Convention dans le droit interne et le cadre institutionnel et stratégique </w:t>
      </w:r>
      <w:r w:rsidR="00F13314">
        <w:rPr>
          <w:lang w:val="fr-FR"/>
        </w:rPr>
        <w:br/>
      </w:r>
      <w:r w:rsidRPr="00C40CFC">
        <w:rPr>
          <w:lang w:val="fr-FR"/>
        </w:rPr>
        <w:t xml:space="preserve">régissant sa mise en œuvre </w:t>
      </w:r>
      <w:r w:rsidRPr="00020E21">
        <w:rPr>
          <w:lang w:val="fr-FR"/>
        </w:rPr>
        <w:t>(art. 1</w:t>
      </w:r>
      <w:r w:rsidRPr="00F13314">
        <w:rPr>
          <w:vertAlign w:val="superscript"/>
          <w:lang w:val="fr-FR"/>
        </w:rPr>
        <w:t>er</w:t>
      </w:r>
      <w:r w:rsidRPr="00020E21">
        <w:rPr>
          <w:lang w:val="fr-FR"/>
        </w:rPr>
        <w:t xml:space="preserve">, 2, 4, 6 </w:t>
      </w:r>
      <w:r>
        <w:rPr>
          <w:lang w:val="fr-FR"/>
        </w:rPr>
        <w:t>et</w:t>
      </w:r>
      <w:r w:rsidRPr="00020E21">
        <w:rPr>
          <w:lang w:val="fr-FR"/>
        </w:rPr>
        <w:t xml:space="preserve"> 7)</w:t>
      </w:r>
    </w:p>
    <w:p w14:paraId="108E3257" w14:textId="14690253" w:rsidR="005F7366" w:rsidRPr="00020E21" w:rsidRDefault="005F7366" w:rsidP="005F7366">
      <w:pPr>
        <w:pStyle w:val="SingleTxtG"/>
        <w:rPr>
          <w:lang w:val="fr-FR"/>
        </w:rPr>
      </w:pPr>
      <w:r w:rsidRPr="00020E21">
        <w:rPr>
          <w:lang w:val="fr-FR"/>
        </w:rPr>
        <w:t>2.</w:t>
      </w:r>
      <w:r w:rsidRPr="00020E21">
        <w:rPr>
          <w:lang w:val="fr-FR"/>
        </w:rPr>
        <w:tab/>
      </w:r>
      <w:r w:rsidRPr="00DF6C69">
        <w:rPr>
          <w:lang w:val="fr-FR"/>
        </w:rPr>
        <w:t xml:space="preserve">Mesures prises </w:t>
      </w:r>
      <w:r>
        <w:rPr>
          <w:lang w:val="fr-FR"/>
        </w:rPr>
        <w:t>afin</w:t>
      </w:r>
      <w:r w:rsidRPr="00DF6C69">
        <w:rPr>
          <w:lang w:val="fr-FR"/>
        </w:rPr>
        <w:t xml:space="preserve"> que tous les motifs énoncés </w:t>
      </w:r>
      <w:r>
        <w:rPr>
          <w:lang w:val="fr-FR"/>
        </w:rPr>
        <w:t>à l’article 1</w:t>
      </w:r>
      <w:r w:rsidRPr="002B7021">
        <w:rPr>
          <w:vertAlign w:val="superscript"/>
          <w:lang w:val="fr-FR"/>
        </w:rPr>
        <w:t>er</w:t>
      </w:r>
      <w:r>
        <w:rPr>
          <w:lang w:val="fr-FR"/>
        </w:rPr>
        <w:t xml:space="preserve"> (par. 1)</w:t>
      </w:r>
      <w:r w:rsidRPr="00DF6C69">
        <w:rPr>
          <w:lang w:val="fr-FR"/>
        </w:rPr>
        <w:t xml:space="preserve"> de la Convention soient </w:t>
      </w:r>
      <w:r>
        <w:rPr>
          <w:lang w:val="fr-FR"/>
        </w:rPr>
        <w:t>complètement couverts</w:t>
      </w:r>
      <w:r w:rsidRPr="00DF6C69">
        <w:rPr>
          <w:lang w:val="fr-FR"/>
        </w:rPr>
        <w:t xml:space="preserve"> par l</w:t>
      </w:r>
      <w:r>
        <w:rPr>
          <w:lang w:val="fr-FR"/>
        </w:rPr>
        <w:t>’</w:t>
      </w:r>
      <w:r w:rsidRPr="00DF6C69">
        <w:rPr>
          <w:lang w:val="fr-FR"/>
        </w:rPr>
        <w:t>ordre juridique interne de l</w:t>
      </w:r>
      <w:r>
        <w:rPr>
          <w:lang w:val="fr-FR"/>
        </w:rPr>
        <w:t>’</w:t>
      </w:r>
      <w:r w:rsidRPr="00DF6C69">
        <w:rPr>
          <w:lang w:val="fr-FR"/>
        </w:rPr>
        <w:t>État partie, notamment par la Charte des droits et libertés fondamentaux</w:t>
      </w:r>
      <w:r w:rsidRPr="00020E21">
        <w:rPr>
          <w:lang w:val="fr-FR"/>
        </w:rPr>
        <w:t xml:space="preserve">. </w:t>
      </w:r>
      <w:r w:rsidRPr="002867C6">
        <w:rPr>
          <w:lang w:val="fr-FR"/>
        </w:rPr>
        <w:t>Informations actualisées sur les mesures prises pour incorporer la Convention dans le système juridique de l</w:t>
      </w:r>
      <w:r>
        <w:rPr>
          <w:lang w:val="fr-FR"/>
        </w:rPr>
        <w:t>’</w:t>
      </w:r>
      <w:r w:rsidRPr="002867C6">
        <w:rPr>
          <w:lang w:val="fr-FR"/>
        </w:rPr>
        <w:t>État partie et pour adopter une législation antidiscrimination complète qui contienne une définition claire de la discrimination raciale, y compris de ses formes directes et indirectes, et qui englobe tous les domaines du droit et de la vie publique, conformément</w:t>
      </w:r>
      <w:r>
        <w:rPr>
          <w:lang w:val="fr-FR"/>
        </w:rPr>
        <w:t xml:space="preserve"> à</w:t>
      </w:r>
      <w:r w:rsidRPr="002867C6">
        <w:rPr>
          <w:lang w:val="fr-FR"/>
        </w:rPr>
        <w:t xml:space="preserve"> </w:t>
      </w:r>
      <w:r w:rsidRPr="00EE7901">
        <w:rPr>
          <w:lang w:val="fr-FR"/>
        </w:rPr>
        <w:t>l</w:t>
      </w:r>
      <w:r>
        <w:rPr>
          <w:lang w:val="fr-FR"/>
        </w:rPr>
        <w:t>’</w:t>
      </w:r>
      <w:r w:rsidRPr="00EE7901">
        <w:rPr>
          <w:lang w:val="fr-FR"/>
        </w:rPr>
        <w:t>article</w:t>
      </w:r>
      <w:r w:rsidR="00F13314">
        <w:rPr>
          <w:lang w:val="fr-FR"/>
        </w:rPr>
        <w:t> </w:t>
      </w:r>
      <w:r w:rsidRPr="00EE7901">
        <w:rPr>
          <w:lang w:val="fr-FR"/>
        </w:rPr>
        <w:t>1</w:t>
      </w:r>
      <w:r w:rsidRPr="002B7021">
        <w:rPr>
          <w:vertAlign w:val="superscript"/>
          <w:lang w:val="fr-FR"/>
        </w:rPr>
        <w:t>er</w:t>
      </w:r>
      <w:r w:rsidRPr="00EE7901">
        <w:rPr>
          <w:lang w:val="fr-FR"/>
        </w:rPr>
        <w:t xml:space="preserve"> (par.</w:t>
      </w:r>
      <w:r w:rsidR="00F13314">
        <w:rPr>
          <w:lang w:val="fr-FR"/>
        </w:rPr>
        <w:t> </w:t>
      </w:r>
      <w:r w:rsidRPr="00EE7901">
        <w:rPr>
          <w:lang w:val="fr-FR"/>
        </w:rPr>
        <w:t xml:space="preserve">1) </w:t>
      </w:r>
      <w:r w:rsidRPr="002867C6">
        <w:rPr>
          <w:lang w:val="fr-FR"/>
        </w:rPr>
        <w:t>de la Convention</w:t>
      </w:r>
      <w:r w:rsidRPr="00020E21">
        <w:rPr>
          <w:rStyle w:val="Appelnotedebasdep"/>
          <w:lang w:val="fr-FR"/>
        </w:rPr>
        <w:footnoteReference w:id="3"/>
      </w:r>
      <w:r>
        <w:rPr>
          <w:lang w:val="fr-FR"/>
        </w:rPr>
        <w:t>.</w:t>
      </w:r>
    </w:p>
    <w:p w14:paraId="3A2DEF40" w14:textId="77777777" w:rsidR="005F7366" w:rsidRPr="00020E21" w:rsidRDefault="005F7366" w:rsidP="005F7366">
      <w:pPr>
        <w:pStyle w:val="SingleTxtG"/>
        <w:rPr>
          <w:lang w:val="fr-FR"/>
        </w:rPr>
      </w:pPr>
      <w:r w:rsidRPr="00020E21">
        <w:rPr>
          <w:lang w:val="fr-FR"/>
        </w:rPr>
        <w:t>3.</w:t>
      </w:r>
      <w:r w:rsidRPr="00020E21">
        <w:rPr>
          <w:lang w:val="fr-FR"/>
        </w:rPr>
        <w:tab/>
      </w:r>
      <w:r w:rsidRPr="00D97DB8">
        <w:rPr>
          <w:lang w:val="fr-FR"/>
        </w:rPr>
        <w:t xml:space="preserve">Informations actualisées sur les mesures prises par </w:t>
      </w:r>
      <w:r>
        <w:rPr>
          <w:lang w:val="fr-FR"/>
        </w:rPr>
        <w:t>l’</w:t>
      </w:r>
      <w:r w:rsidRPr="00D97DB8">
        <w:rPr>
          <w:lang w:val="fr-FR"/>
        </w:rPr>
        <w:t xml:space="preserve">État partie pour réexaminer </w:t>
      </w:r>
      <w:r>
        <w:rPr>
          <w:lang w:val="fr-FR"/>
        </w:rPr>
        <w:t>et retirer sa</w:t>
      </w:r>
      <w:r w:rsidRPr="00D97DB8">
        <w:rPr>
          <w:lang w:val="fr-FR"/>
        </w:rPr>
        <w:t xml:space="preserve"> réserve très général</w:t>
      </w:r>
      <w:r>
        <w:rPr>
          <w:lang w:val="fr-FR"/>
        </w:rPr>
        <w:t>e</w:t>
      </w:r>
      <w:r w:rsidRPr="00D97DB8">
        <w:rPr>
          <w:lang w:val="fr-FR"/>
        </w:rPr>
        <w:t xml:space="preserve"> à la Convention</w:t>
      </w:r>
      <w:r>
        <w:rPr>
          <w:lang w:val="fr-FR"/>
        </w:rPr>
        <w:t>,</w:t>
      </w:r>
      <w:r w:rsidRPr="00D97DB8">
        <w:rPr>
          <w:lang w:val="fr-FR"/>
        </w:rPr>
        <w:t xml:space="preserve"> afin que </w:t>
      </w:r>
      <w:r>
        <w:rPr>
          <w:lang w:val="fr-FR"/>
        </w:rPr>
        <w:t>celle-ci</w:t>
      </w:r>
      <w:r w:rsidRPr="00D97DB8">
        <w:rPr>
          <w:lang w:val="fr-FR"/>
        </w:rPr>
        <w:t xml:space="preserve"> soit pleinement applicable sur son territoire</w:t>
      </w:r>
      <w:r w:rsidRPr="00020E21">
        <w:rPr>
          <w:rStyle w:val="Appelnotedebasdep"/>
          <w:lang w:val="fr-FR"/>
        </w:rPr>
        <w:footnoteReference w:id="4"/>
      </w:r>
      <w:r>
        <w:rPr>
          <w:lang w:val="fr-FR"/>
        </w:rPr>
        <w:t>.</w:t>
      </w:r>
    </w:p>
    <w:p w14:paraId="0F403435" w14:textId="77777777" w:rsidR="005F7366" w:rsidRPr="00020E21" w:rsidRDefault="005F7366" w:rsidP="005F7366">
      <w:pPr>
        <w:pStyle w:val="SingleTxtG"/>
        <w:rPr>
          <w:lang w:val="fr-FR"/>
        </w:rPr>
      </w:pPr>
      <w:r w:rsidRPr="00020E21">
        <w:rPr>
          <w:lang w:val="fr-FR"/>
        </w:rPr>
        <w:t>4.</w:t>
      </w:r>
      <w:r w:rsidRPr="00020E21">
        <w:rPr>
          <w:lang w:val="fr-FR"/>
        </w:rPr>
        <w:tab/>
      </w:r>
      <w:r w:rsidRPr="00AA0535">
        <w:rPr>
          <w:lang w:val="fr-FR"/>
        </w:rPr>
        <w:t xml:space="preserve">Informations actualisées sur les progrès </w:t>
      </w:r>
      <w:r>
        <w:rPr>
          <w:lang w:val="fr-FR"/>
        </w:rPr>
        <w:t>accomplis</w:t>
      </w:r>
      <w:r w:rsidRPr="00AA0535">
        <w:rPr>
          <w:lang w:val="fr-FR"/>
        </w:rPr>
        <w:t xml:space="preserve"> concernant la création d</w:t>
      </w:r>
      <w:r>
        <w:rPr>
          <w:lang w:val="fr-FR"/>
        </w:rPr>
        <w:t>’</w:t>
      </w:r>
      <w:r w:rsidRPr="00AA0535">
        <w:rPr>
          <w:lang w:val="fr-FR"/>
        </w:rPr>
        <w:t xml:space="preserve">une institution nationale </w:t>
      </w:r>
      <w:bookmarkStart w:id="0" w:name="_Hlk117258513"/>
      <w:r w:rsidRPr="00AA0535">
        <w:rPr>
          <w:lang w:val="fr-FR"/>
        </w:rPr>
        <w:t>des droits de l</w:t>
      </w:r>
      <w:r>
        <w:rPr>
          <w:lang w:val="fr-FR"/>
        </w:rPr>
        <w:t>’</w:t>
      </w:r>
      <w:r w:rsidRPr="00AA0535">
        <w:rPr>
          <w:lang w:val="fr-FR"/>
        </w:rPr>
        <w:t xml:space="preserve">homme </w:t>
      </w:r>
      <w:bookmarkEnd w:id="0"/>
      <w:r w:rsidRPr="00AA0535">
        <w:rPr>
          <w:lang w:val="fr-FR"/>
        </w:rPr>
        <w:t>qui soit conforme aux Principes concernant le statut des institutions nationales pour la promotion et la protection des droits de l</w:t>
      </w:r>
      <w:r>
        <w:rPr>
          <w:lang w:val="fr-FR"/>
        </w:rPr>
        <w:t>’</w:t>
      </w:r>
      <w:r w:rsidRPr="00AA0535">
        <w:rPr>
          <w:lang w:val="fr-FR"/>
        </w:rPr>
        <w:t xml:space="preserve">homme (Principes de Paris) et </w:t>
      </w:r>
      <w:r>
        <w:rPr>
          <w:lang w:val="fr-FR"/>
        </w:rPr>
        <w:t xml:space="preserve">soit </w:t>
      </w:r>
      <w:r w:rsidRPr="00AA0535">
        <w:rPr>
          <w:lang w:val="fr-FR"/>
        </w:rPr>
        <w:t>dotée de</w:t>
      </w:r>
      <w:r>
        <w:rPr>
          <w:lang w:val="fr-FR"/>
        </w:rPr>
        <w:t>s</w:t>
      </w:r>
      <w:r w:rsidRPr="00AA0535">
        <w:rPr>
          <w:lang w:val="fr-FR"/>
        </w:rPr>
        <w:t xml:space="preserve"> ressources financières et humaines </w:t>
      </w:r>
      <w:r>
        <w:rPr>
          <w:lang w:val="fr-FR"/>
        </w:rPr>
        <w:t>nécessaires</w:t>
      </w:r>
      <w:r w:rsidRPr="00AA0535">
        <w:rPr>
          <w:lang w:val="fr-FR"/>
        </w:rPr>
        <w:t xml:space="preserve">, </w:t>
      </w:r>
      <w:r>
        <w:rPr>
          <w:lang w:val="fr-FR"/>
        </w:rPr>
        <w:t>et concernant l’établissement</w:t>
      </w:r>
      <w:r w:rsidRPr="00AA0535">
        <w:rPr>
          <w:lang w:val="fr-FR"/>
        </w:rPr>
        <w:t xml:space="preserve"> d</w:t>
      </w:r>
      <w:r>
        <w:rPr>
          <w:lang w:val="fr-FR"/>
        </w:rPr>
        <w:t>’</w:t>
      </w:r>
      <w:r w:rsidRPr="00AA0535">
        <w:rPr>
          <w:lang w:val="fr-FR"/>
        </w:rPr>
        <w:t>un mécanisme chargé de suivre et d</w:t>
      </w:r>
      <w:r>
        <w:rPr>
          <w:lang w:val="fr-FR"/>
        </w:rPr>
        <w:t>’</w:t>
      </w:r>
      <w:r w:rsidRPr="00AA0535">
        <w:rPr>
          <w:lang w:val="fr-FR"/>
        </w:rPr>
        <w:t xml:space="preserve">évaluer les progrès </w:t>
      </w:r>
      <w:r>
        <w:rPr>
          <w:lang w:val="fr-FR"/>
        </w:rPr>
        <w:t>accomplis</w:t>
      </w:r>
      <w:r w:rsidRPr="00AA0535">
        <w:rPr>
          <w:lang w:val="fr-FR"/>
        </w:rPr>
        <w:t xml:space="preserve"> dans l</w:t>
      </w:r>
      <w:r>
        <w:rPr>
          <w:lang w:val="fr-FR"/>
        </w:rPr>
        <w:t>’</w:t>
      </w:r>
      <w:r w:rsidRPr="00AA0535">
        <w:rPr>
          <w:lang w:val="fr-FR"/>
        </w:rPr>
        <w:t>application de la Convention</w:t>
      </w:r>
      <w:r w:rsidRPr="00020E21">
        <w:rPr>
          <w:rStyle w:val="Appelnotedebasdep"/>
          <w:lang w:val="fr-FR"/>
        </w:rPr>
        <w:footnoteReference w:id="5"/>
      </w:r>
      <w:r>
        <w:rPr>
          <w:lang w:val="fr-FR"/>
        </w:rPr>
        <w:t>.</w:t>
      </w:r>
      <w:r w:rsidRPr="00020E21">
        <w:rPr>
          <w:lang w:val="fr-FR"/>
        </w:rPr>
        <w:t xml:space="preserve"> </w:t>
      </w:r>
      <w:r w:rsidRPr="002945A8">
        <w:rPr>
          <w:lang w:val="fr-FR"/>
        </w:rPr>
        <w:t xml:space="preserve">Renseignements sur les consultations </w:t>
      </w:r>
      <w:r w:rsidRPr="002945A8">
        <w:rPr>
          <w:lang w:val="fr-FR"/>
        </w:rPr>
        <w:lastRenderedPageBreak/>
        <w:t xml:space="preserve">menées avec les parties prenantes, en particulier avec les organisations de la société civile, </w:t>
      </w:r>
      <w:r>
        <w:rPr>
          <w:lang w:val="fr-FR"/>
        </w:rPr>
        <w:t>concernant</w:t>
      </w:r>
      <w:r w:rsidRPr="002945A8">
        <w:rPr>
          <w:lang w:val="fr-FR"/>
        </w:rPr>
        <w:t xml:space="preserve"> la création d</w:t>
      </w:r>
      <w:r>
        <w:rPr>
          <w:lang w:val="fr-FR"/>
        </w:rPr>
        <w:t>’</w:t>
      </w:r>
      <w:r w:rsidRPr="002945A8">
        <w:rPr>
          <w:lang w:val="fr-FR"/>
        </w:rPr>
        <w:t>une institution</w:t>
      </w:r>
      <w:r w:rsidRPr="002B7021">
        <w:rPr>
          <w:lang w:val="fr-FR"/>
        </w:rPr>
        <w:t xml:space="preserve"> </w:t>
      </w:r>
      <w:r w:rsidRPr="00EC76D0">
        <w:rPr>
          <w:lang w:val="fr-FR"/>
        </w:rPr>
        <w:t>des droits de l</w:t>
      </w:r>
      <w:r>
        <w:rPr>
          <w:lang w:val="fr-FR"/>
        </w:rPr>
        <w:t>’</w:t>
      </w:r>
      <w:r w:rsidRPr="00EC76D0">
        <w:rPr>
          <w:lang w:val="fr-FR"/>
        </w:rPr>
        <w:t>homme</w:t>
      </w:r>
      <w:r w:rsidRPr="002945A8">
        <w:rPr>
          <w:lang w:val="fr-FR"/>
        </w:rPr>
        <w:t>.</w:t>
      </w:r>
    </w:p>
    <w:p w14:paraId="2D1F9372" w14:textId="77777777" w:rsidR="005F7366" w:rsidRPr="00020E21" w:rsidRDefault="005F7366" w:rsidP="005F7366">
      <w:pPr>
        <w:pStyle w:val="SingleTxtG"/>
        <w:rPr>
          <w:lang w:val="fr-FR"/>
        </w:rPr>
      </w:pPr>
      <w:r w:rsidRPr="00020E21">
        <w:rPr>
          <w:lang w:val="fr-FR"/>
        </w:rPr>
        <w:t>5.</w:t>
      </w:r>
      <w:r w:rsidRPr="00020E21">
        <w:rPr>
          <w:lang w:val="fr-FR"/>
        </w:rPr>
        <w:tab/>
      </w:r>
      <w:r w:rsidRPr="003F358F">
        <w:rPr>
          <w:lang w:val="fr-FR"/>
        </w:rPr>
        <w:t>Informations sur la possibilité d</w:t>
      </w:r>
      <w:r>
        <w:rPr>
          <w:lang w:val="fr-FR"/>
        </w:rPr>
        <w:t>’</w:t>
      </w:r>
      <w:r w:rsidRPr="003F358F">
        <w:rPr>
          <w:lang w:val="fr-FR"/>
        </w:rPr>
        <w:t xml:space="preserve">invoquer directement les dispositions de la Convention devant les tribunaux nationaux et, </w:t>
      </w:r>
      <w:r>
        <w:rPr>
          <w:lang w:val="fr-FR"/>
        </w:rPr>
        <w:t>le cas échéant</w:t>
      </w:r>
      <w:r w:rsidRPr="003F358F">
        <w:rPr>
          <w:lang w:val="fr-FR"/>
        </w:rPr>
        <w:t xml:space="preserve">, exemples </w:t>
      </w:r>
      <w:r>
        <w:rPr>
          <w:lang w:val="fr-FR"/>
        </w:rPr>
        <w:t>d’affaires dans lesquelles des</w:t>
      </w:r>
      <w:r w:rsidRPr="003F358F">
        <w:rPr>
          <w:lang w:val="fr-FR"/>
        </w:rPr>
        <w:t xml:space="preserve"> tribunaux ont appliqué la Convention</w:t>
      </w:r>
      <w:r w:rsidRPr="00020E21">
        <w:rPr>
          <w:lang w:val="fr-FR"/>
        </w:rPr>
        <w:t xml:space="preserve">. </w:t>
      </w:r>
      <w:r w:rsidRPr="00FB71FE">
        <w:rPr>
          <w:lang w:val="fr-FR"/>
        </w:rPr>
        <w:t>Renseignements actualisés sur les affaires judiciaires relatives à la discrimination directe ou indirecte fondée sur la race, la couleur, l</w:t>
      </w:r>
      <w:r>
        <w:rPr>
          <w:lang w:val="fr-FR"/>
        </w:rPr>
        <w:t>’</w:t>
      </w:r>
      <w:r w:rsidRPr="00FB71FE">
        <w:rPr>
          <w:lang w:val="fr-FR"/>
        </w:rPr>
        <w:t>ascendance ou l</w:t>
      </w:r>
      <w:r>
        <w:rPr>
          <w:lang w:val="fr-FR"/>
        </w:rPr>
        <w:t>’</w:t>
      </w:r>
      <w:r w:rsidRPr="00FB71FE">
        <w:rPr>
          <w:lang w:val="fr-FR"/>
        </w:rPr>
        <w:t>origine nationale ou ethnique</w:t>
      </w:r>
      <w:r w:rsidRPr="00020E21">
        <w:rPr>
          <w:lang w:val="fr-FR"/>
        </w:rPr>
        <w:t xml:space="preserve">. </w:t>
      </w:r>
      <w:r>
        <w:rPr>
          <w:lang w:val="fr-FR"/>
        </w:rPr>
        <w:t>Informations supplémentaires sur les mécanismes et procédures judiciaires et extrajudiciaires au moyen desquels les victimes de discrimination raciale peuvent faire valoir leurs droits</w:t>
      </w:r>
      <w:r w:rsidRPr="00020E21">
        <w:rPr>
          <w:rStyle w:val="Appelnotedebasdep"/>
          <w:lang w:val="fr-FR"/>
        </w:rPr>
        <w:footnoteReference w:id="6"/>
      </w:r>
      <w:r>
        <w:rPr>
          <w:lang w:val="fr-FR"/>
        </w:rPr>
        <w:t>.</w:t>
      </w:r>
    </w:p>
    <w:p w14:paraId="2F684D1D" w14:textId="77777777" w:rsidR="005F7366" w:rsidRPr="00020E21" w:rsidRDefault="005F7366" w:rsidP="005F7366">
      <w:pPr>
        <w:pStyle w:val="SingleTxtG"/>
        <w:rPr>
          <w:lang w:val="fr-FR"/>
        </w:rPr>
      </w:pPr>
      <w:r w:rsidRPr="00020E21">
        <w:rPr>
          <w:lang w:val="fr-FR"/>
        </w:rPr>
        <w:t>6.</w:t>
      </w:r>
      <w:r w:rsidRPr="00020E21">
        <w:rPr>
          <w:lang w:val="fr-FR"/>
        </w:rPr>
        <w:tab/>
      </w:r>
      <w:r>
        <w:rPr>
          <w:lang w:val="fr-FR"/>
        </w:rPr>
        <w:t>Mesures qui ont été prises ou qu’il est envisagé de prendre pour adopter des dispositions d’ordre législatif, administratif et autre afin de donner pleinement effet aux dispositions de l’</w:t>
      </w:r>
      <w:r w:rsidRPr="00020E21">
        <w:rPr>
          <w:lang w:val="fr-FR"/>
        </w:rPr>
        <w:t xml:space="preserve">article 4 </w:t>
      </w:r>
      <w:r>
        <w:rPr>
          <w:lang w:val="fr-FR"/>
        </w:rPr>
        <w:t>d</w:t>
      </w:r>
      <w:r w:rsidRPr="00020E21">
        <w:rPr>
          <w:lang w:val="fr-FR"/>
        </w:rPr>
        <w:t>e</w:t>
      </w:r>
      <w:r>
        <w:rPr>
          <w:lang w:val="fr-FR"/>
        </w:rPr>
        <w:t xml:space="preserve"> la</w:t>
      </w:r>
      <w:r w:rsidRPr="00020E21">
        <w:rPr>
          <w:lang w:val="fr-FR"/>
        </w:rPr>
        <w:t xml:space="preserve"> Convention</w:t>
      </w:r>
      <w:r w:rsidRPr="00020E21">
        <w:rPr>
          <w:rStyle w:val="Appelnotedebasdep"/>
          <w:lang w:val="fr-FR"/>
        </w:rPr>
        <w:footnoteReference w:id="7"/>
      </w:r>
      <w:r>
        <w:rPr>
          <w:lang w:val="fr-FR"/>
        </w:rPr>
        <w:t>.</w:t>
      </w:r>
    </w:p>
    <w:p w14:paraId="4F631D10" w14:textId="77777777" w:rsidR="005F7366" w:rsidRPr="00020E21" w:rsidRDefault="005F7366" w:rsidP="00F13314">
      <w:pPr>
        <w:pStyle w:val="SingleTxtG"/>
        <w:rPr>
          <w:lang w:val="fr-FR"/>
        </w:rPr>
      </w:pPr>
      <w:r w:rsidRPr="00020E21">
        <w:rPr>
          <w:lang w:val="fr-FR"/>
        </w:rPr>
        <w:t>7.</w:t>
      </w:r>
      <w:r w:rsidRPr="00020E21">
        <w:rPr>
          <w:lang w:val="fr-FR"/>
        </w:rPr>
        <w:tab/>
      </w:r>
      <w:r>
        <w:rPr>
          <w:lang w:val="fr-FR"/>
        </w:rPr>
        <w:t>Informations actualisées sur les mesures prises pour mieux faire connaître la Convention à la population de l’État partie et aux non-ressortissants et pour diffuser des informations concernant la protection assurée contre les violations de la Convention et les recours disponibles en cas de violation</w:t>
      </w:r>
      <w:r w:rsidRPr="00020E21">
        <w:rPr>
          <w:lang w:val="fr-FR"/>
        </w:rPr>
        <w:t xml:space="preserve">. </w:t>
      </w:r>
      <w:r>
        <w:rPr>
          <w:lang w:val="fr-FR"/>
        </w:rPr>
        <w:t>Renseignements actualisés sur les mesures adoptées pour faire connaître les dispositions de la Convention aux membres des forces de l’ordre et aux membres de l’appareil judiciaire</w:t>
      </w:r>
      <w:r w:rsidRPr="00020E21">
        <w:rPr>
          <w:rStyle w:val="Appelnotedebasdep"/>
          <w:lang w:val="fr-FR"/>
        </w:rPr>
        <w:footnoteReference w:id="8"/>
      </w:r>
      <w:r>
        <w:rPr>
          <w:lang w:val="fr-FR"/>
        </w:rPr>
        <w:t>.</w:t>
      </w:r>
    </w:p>
    <w:p w14:paraId="285ECC40" w14:textId="66F8F501" w:rsidR="005F7366" w:rsidRPr="00020E21" w:rsidRDefault="005F7366" w:rsidP="005F7366">
      <w:pPr>
        <w:pStyle w:val="H23G"/>
        <w:rPr>
          <w:lang w:val="fr-FR"/>
        </w:rPr>
      </w:pPr>
      <w:r w:rsidRPr="00020E21">
        <w:rPr>
          <w:lang w:val="fr-FR"/>
        </w:rPr>
        <w:tab/>
      </w:r>
      <w:r w:rsidRPr="00020E21">
        <w:rPr>
          <w:lang w:val="fr-FR"/>
        </w:rPr>
        <w:tab/>
        <w:t xml:space="preserve">Situation </w:t>
      </w:r>
      <w:r>
        <w:rPr>
          <w:lang w:val="fr-FR"/>
        </w:rPr>
        <w:t xml:space="preserve">des groupes ethniques, des minorités et des non-ressortissants, </w:t>
      </w:r>
      <w:r w:rsidR="00F13314">
        <w:rPr>
          <w:lang w:val="fr-FR"/>
        </w:rPr>
        <w:br/>
      </w:r>
      <w:r>
        <w:rPr>
          <w:lang w:val="fr-FR"/>
        </w:rPr>
        <w:t xml:space="preserve">notamment des migrants, des réfugiés, des demandeurs d’asile </w:t>
      </w:r>
      <w:r w:rsidR="00F13314">
        <w:rPr>
          <w:lang w:val="fr-FR"/>
        </w:rPr>
        <w:br/>
      </w:r>
      <w:r>
        <w:rPr>
          <w:lang w:val="fr-FR"/>
        </w:rPr>
        <w:t xml:space="preserve">et des apatrides </w:t>
      </w:r>
      <w:r w:rsidRPr="00020E21">
        <w:rPr>
          <w:lang w:val="fr-FR"/>
        </w:rPr>
        <w:t>(art. 5)</w:t>
      </w:r>
    </w:p>
    <w:p w14:paraId="57CE7A22" w14:textId="77777777" w:rsidR="005F7366" w:rsidRPr="00020E21" w:rsidRDefault="005F7366" w:rsidP="005F7366">
      <w:pPr>
        <w:pStyle w:val="SingleTxtG"/>
        <w:rPr>
          <w:lang w:val="fr-FR"/>
        </w:rPr>
      </w:pPr>
      <w:r w:rsidRPr="00020E21">
        <w:rPr>
          <w:lang w:val="fr-FR"/>
        </w:rPr>
        <w:t>8.</w:t>
      </w:r>
      <w:r w:rsidRPr="00020E21">
        <w:rPr>
          <w:lang w:val="fr-FR"/>
        </w:rPr>
        <w:tab/>
      </w:r>
      <w:r>
        <w:rPr>
          <w:lang w:val="fr-FR"/>
        </w:rPr>
        <w:t xml:space="preserve">Données actualisées ventilées par origine nationale ou ethnique, sexe et genre </w:t>
      </w:r>
      <w:r w:rsidRPr="00B149C0">
        <w:rPr>
          <w:lang w:val="fr-FR"/>
        </w:rPr>
        <w:t>sur la composition démographique de la population</w:t>
      </w:r>
      <w:r>
        <w:rPr>
          <w:lang w:val="fr-FR"/>
        </w:rPr>
        <w:t>, y compris les non-ressortissants, notamment les migrants, les réfugiés, les demandeurs d’asile et les apatrides</w:t>
      </w:r>
      <w:r w:rsidRPr="00020E21">
        <w:rPr>
          <w:rStyle w:val="Appelnotedebasdep"/>
          <w:lang w:val="fr-FR"/>
        </w:rPr>
        <w:footnoteReference w:id="9"/>
      </w:r>
      <w:r>
        <w:rPr>
          <w:lang w:val="fr-FR"/>
        </w:rPr>
        <w:t>.</w:t>
      </w:r>
      <w:r w:rsidRPr="00020E21">
        <w:rPr>
          <w:lang w:val="fr-FR"/>
        </w:rPr>
        <w:t xml:space="preserve"> Information</w:t>
      </w:r>
      <w:r>
        <w:rPr>
          <w:lang w:val="fr-FR"/>
        </w:rPr>
        <w:t>s sur les mesures qui ont été prises ou qu’il est envisagé de prendre pour créer un mécanisme chargé de recueillir des données de manière systématique et cohérente conformément au principe d’auto-identification afin d’évaluer la situation socioéconomique des personnes ou des groupes en fonction de leur race, de leur couleur, de leur ascendance ou de leur origine nationale ou ethnique</w:t>
      </w:r>
      <w:r w:rsidRPr="00020E21">
        <w:rPr>
          <w:lang w:val="fr-FR"/>
        </w:rPr>
        <w:t xml:space="preserve">, </w:t>
      </w:r>
      <w:r>
        <w:rPr>
          <w:lang w:val="fr-FR"/>
        </w:rPr>
        <w:t>notamment la situation des personnes d’ascendance africaine, indienne, chinoise, moyenne-orientale ou européenne, des Marrons et des non-ressortissants tels que les migrants, les réfugiés, les demandeurs d’asile et les apatrides</w:t>
      </w:r>
      <w:r w:rsidRPr="00020E21">
        <w:rPr>
          <w:rStyle w:val="Appelnotedebasdep"/>
          <w:lang w:val="fr-FR"/>
        </w:rPr>
        <w:footnoteReference w:id="10"/>
      </w:r>
      <w:r>
        <w:rPr>
          <w:lang w:val="fr-FR"/>
        </w:rPr>
        <w:t>.</w:t>
      </w:r>
    </w:p>
    <w:p w14:paraId="27303DC0" w14:textId="77777777" w:rsidR="005F7366" w:rsidRPr="00020E21" w:rsidRDefault="005F7366" w:rsidP="005F7366">
      <w:pPr>
        <w:pStyle w:val="SingleTxtG"/>
        <w:rPr>
          <w:lang w:val="fr-FR"/>
        </w:rPr>
      </w:pPr>
      <w:r w:rsidRPr="00020E21">
        <w:rPr>
          <w:lang w:val="fr-FR"/>
        </w:rPr>
        <w:t>9.</w:t>
      </w:r>
      <w:r w:rsidRPr="00020E21">
        <w:rPr>
          <w:lang w:val="fr-FR"/>
        </w:rPr>
        <w:tab/>
        <w:t>Information</w:t>
      </w:r>
      <w:r>
        <w:rPr>
          <w:lang w:val="fr-FR"/>
        </w:rPr>
        <w:t>s sur les mesures qui ont été adoptées ou qu’il est envisagé d’adopter pour remédier aux inégalités socioéconomiques qui seraient fondées sur la race ou la couleur de peau, en particulier concernant le revenu, l’éducation, l’emploi et les pratiques de recrutement, et aux différences de niveau de vie, notamment la promotion de travaux de recherche dans ce domaine. Renseignements supplémentaires sur les dispositions prises pour remédier à la situation dont l’État partie a fait état, à savoir que les possibilités d’ascension sociale restent « corrélées à la couleur de la peau » dans la société jamaïcaine</w:t>
      </w:r>
      <w:r w:rsidRPr="00020E21">
        <w:rPr>
          <w:rStyle w:val="Appelnotedebasdep"/>
          <w:lang w:val="fr-FR"/>
        </w:rPr>
        <w:footnoteReference w:id="11"/>
      </w:r>
      <w:r>
        <w:rPr>
          <w:lang w:val="fr-FR"/>
        </w:rPr>
        <w:t>.</w:t>
      </w:r>
    </w:p>
    <w:p w14:paraId="00BDA899" w14:textId="77777777" w:rsidR="005F7366" w:rsidRPr="00020E21" w:rsidRDefault="005F7366" w:rsidP="005F7366">
      <w:pPr>
        <w:pStyle w:val="SingleTxtG"/>
        <w:rPr>
          <w:lang w:val="fr-FR"/>
        </w:rPr>
      </w:pPr>
      <w:r w:rsidRPr="00020E21">
        <w:rPr>
          <w:lang w:val="fr-FR"/>
        </w:rPr>
        <w:t>10.</w:t>
      </w:r>
      <w:r w:rsidRPr="00020E21">
        <w:rPr>
          <w:lang w:val="fr-FR"/>
        </w:rPr>
        <w:tab/>
        <w:t>Informations sur les mesures mises en place pour prévenir et combattre</w:t>
      </w:r>
      <w:r>
        <w:rPr>
          <w:lang w:val="fr-FR"/>
        </w:rPr>
        <w:t xml:space="preserve"> le racisme, la discrimination raciale et la xénophobie à l’égard des non-ressortissants, notamment sur Internet et dans les médias sociaux.</w:t>
      </w:r>
      <w:r w:rsidRPr="00020E21">
        <w:rPr>
          <w:lang w:val="fr-FR"/>
        </w:rPr>
        <w:t xml:space="preserve"> </w:t>
      </w:r>
    </w:p>
    <w:p w14:paraId="06F9B1C1" w14:textId="77777777" w:rsidR="005F7366" w:rsidRPr="00020E21" w:rsidRDefault="005F7366" w:rsidP="005F7366">
      <w:pPr>
        <w:pStyle w:val="SingleTxtG"/>
        <w:rPr>
          <w:lang w:val="fr-FR"/>
        </w:rPr>
      </w:pPr>
      <w:r w:rsidRPr="00020E21">
        <w:rPr>
          <w:lang w:val="fr-FR"/>
        </w:rPr>
        <w:t>11.</w:t>
      </w:r>
      <w:r w:rsidRPr="00020E21">
        <w:rPr>
          <w:lang w:val="fr-FR"/>
        </w:rPr>
        <w:tab/>
      </w:r>
      <w:r>
        <w:rPr>
          <w:lang w:val="fr-FR"/>
        </w:rPr>
        <w:t>Mesures qui ont été prises ou qu’il est envisagé de prendre pour abroger ou réformer les lois qui érigent en infraction la migration irrégulière</w:t>
      </w:r>
      <w:r w:rsidRPr="00020E21">
        <w:rPr>
          <w:lang w:val="fr-FR"/>
        </w:rPr>
        <w:t>,</w:t>
      </w:r>
      <w:r>
        <w:rPr>
          <w:lang w:val="fr-FR"/>
        </w:rPr>
        <w:t xml:space="preserve"> telles que la loi de 1942 sur l’expulsion (ressortissants des pays du Commonwealth)</w:t>
      </w:r>
      <w:r w:rsidRPr="00020E21">
        <w:rPr>
          <w:lang w:val="fr-FR"/>
        </w:rPr>
        <w:t xml:space="preserve">, </w:t>
      </w:r>
      <w:r>
        <w:rPr>
          <w:lang w:val="fr-FR"/>
        </w:rPr>
        <w:t>la loi de 1945 sur les restrictions à l’immigration (ressortissants des pays du Commonwealth) et la loi de 1946 sur les étrangers</w:t>
      </w:r>
      <w:r w:rsidRPr="00020E21">
        <w:rPr>
          <w:lang w:val="fr-FR"/>
        </w:rPr>
        <w:t xml:space="preserve">. </w:t>
      </w:r>
      <w:r>
        <w:rPr>
          <w:lang w:val="fr-FR"/>
        </w:rPr>
        <w:t xml:space="preserve">Dispositions prises pour faire en sorte </w:t>
      </w:r>
      <w:r w:rsidRPr="00E433AB">
        <w:rPr>
          <w:lang w:val="fr-FR"/>
        </w:rPr>
        <w:t xml:space="preserve">que </w:t>
      </w:r>
      <w:r w:rsidRPr="005F4400">
        <w:rPr>
          <w:lang w:val="fr-FR"/>
        </w:rPr>
        <w:t>les migrants ne soient détenus qu</w:t>
      </w:r>
      <w:r>
        <w:rPr>
          <w:lang w:val="fr-FR"/>
        </w:rPr>
        <w:t>’</w:t>
      </w:r>
      <w:r w:rsidRPr="005F4400">
        <w:rPr>
          <w:lang w:val="fr-FR"/>
        </w:rPr>
        <w:t>en dernier ressort et pour une durée aussi brève que possible</w:t>
      </w:r>
      <w:r>
        <w:rPr>
          <w:lang w:val="fr-FR"/>
        </w:rPr>
        <w:t>, pour prévoir des mesures de substitution à la détention et pour garantir la régularité de toutes les procédures de détention.</w:t>
      </w:r>
      <w:r w:rsidRPr="00020E21">
        <w:rPr>
          <w:lang w:val="fr-FR"/>
        </w:rPr>
        <w:t xml:space="preserve"> </w:t>
      </w:r>
      <w:r>
        <w:rPr>
          <w:lang w:val="fr-FR"/>
        </w:rPr>
        <w:t xml:space="preserve">Mesures </w:t>
      </w:r>
      <w:r>
        <w:rPr>
          <w:lang w:val="fr-FR"/>
        </w:rPr>
        <w:lastRenderedPageBreak/>
        <w:t>adoptées pour informer les non-ressortissants, y compris ceux qui sont en situation irrégulière, des recours judiciaires et des autres recours</w:t>
      </w:r>
      <w:r w:rsidRPr="00020E21">
        <w:rPr>
          <w:lang w:val="fr-FR"/>
        </w:rPr>
        <w:t xml:space="preserve"> </w:t>
      </w:r>
      <w:r>
        <w:rPr>
          <w:lang w:val="fr-FR"/>
        </w:rPr>
        <w:t xml:space="preserve">qu’ils peuvent former en cas de violation de leurs droits, notamment de ceux qui sont consacrés par la Convention. </w:t>
      </w:r>
    </w:p>
    <w:p w14:paraId="3424E71F" w14:textId="77DC19ED" w:rsidR="005F7366" w:rsidRPr="00020E21" w:rsidRDefault="005F7366" w:rsidP="005F7366">
      <w:pPr>
        <w:pStyle w:val="SingleTxtG"/>
        <w:rPr>
          <w:lang w:val="fr-FR"/>
        </w:rPr>
      </w:pPr>
      <w:r w:rsidRPr="00020E21">
        <w:rPr>
          <w:lang w:val="fr-FR"/>
        </w:rPr>
        <w:t>12.</w:t>
      </w:r>
      <w:r w:rsidRPr="00020E21">
        <w:rPr>
          <w:lang w:val="fr-FR"/>
        </w:rPr>
        <w:tab/>
      </w:r>
      <w:r>
        <w:rPr>
          <w:lang w:val="fr-FR"/>
        </w:rPr>
        <w:t xml:space="preserve">Mesures prises pour adopter des lois sur la protection des droits des réfugiés et des demandeurs d’asile qui soient conformes aux normes internationales, en particulier au principe de </w:t>
      </w:r>
      <w:r w:rsidRPr="00020E21">
        <w:rPr>
          <w:lang w:val="fr-FR"/>
        </w:rPr>
        <w:t xml:space="preserve">non-refoulement. </w:t>
      </w:r>
      <w:r>
        <w:rPr>
          <w:lang w:val="fr-FR"/>
        </w:rPr>
        <w:t>Informations actualisées sur les dispositions prises pour que tous les migrants qui arrivent aux frontières bénéficient de garanties procédurales suffisantes dans le cadre de l’examen de leur demande de protection internationale et pour que les autorités examinent attentivement la situation de tous les demandeurs afin d’évaluer leurs besoins en matière de protection</w:t>
      </w:r>
      <w:r w:rsidRPr="00020E21">
        <w:rPr>
          <w:lang w:val="fr-FR"/>
        </w:rPr>
        <w:t>.</w:t>
      </w:r>
      <w:r>
        <w:rPr>
          <w:lang w:val="fr-FR"/>
        </w:rPr>
        <w:t xml:space="preserve"> Renseignements actualisés sur les mesures adoptées pour délivrer aux demandeurs d’asile et aux réfugiés des cartes d’identité adaptées leur permettant d’exercer effectivement leurs droits</w:t>
      </w:r>
      <w:r w:rsidRPr="00020E21">
        <w:rPr>
          <w:lang w:val="fr-FR"/>
        </w:rPr>
        <w:t>.</w:t>
      </w:r>
      <w:r>
        <w:rPr>
          <w:lang w:val="fr-FR"/>
        </w:rPr>
        <w:t xml:space="preserve"> Informations actualisées sur les progrès faits concernant la levée de l’obligation, pour les personnes qui ont obtenu le statut de réfugié, d’obtenir un permis de travail</w:t>
      </w:r>
      <w:r w:rsidRPr="00020E21">
        <w:rPr>
          <w:rStyle w:val="Appelnotedebasdep"/>
          <w:lang w:val="fr-FR"/>
        </w:rPr>
        <w:footnoteReference w:id="12"/>
      </w:r>
      <w:r>
        <w:rPr>
          <w:lang w:val="fr-FR"/>
        </w:rPr>
        <w:t>.</w:t>
      </w:r>
    </w:p>
    <w:p w14:paraId="06C36379" w14:textId="27CD5843" w:rsidR="005F7366" w:rsidRPr="00020E21" w:rsidRDefault="005F7366" w:rsidP="005F7366">
      <w:pPr>
        <w:pStyle w:val="SingleTxtG"/>
        <w:rPr>
          <w:lang w:val="fr-FR"/>
        </w:rPr>
      </w:pPr>
      <w:r w:rsidRPr="00020E21">
        <w:rPr>
          <w:lang w:val="fr-FR"/>
        </w:rPr>
        <w:t>13.</w:t>
      </w:r>
      <w:r w:rsidRPr="00020E21">
        <w:rPr>
          <w:lang w:val="fr-FR"/>
        </w:rPr>
        <w:tab/>
        <w:t>Information</w:t>
      </w:r>
      <w:r>
        <w:rPr>
          <w:lang w:val="fr-FR"/>
        </w:rPr>
        <w:t>s sur les mesures prises : pour prévenir et combattre la traite des personnes</w:t>
      </w:r>
      <w:r w:rsidRPr="00020E21">
        <w:rPr>
          <w:lang w:val="fr-FR"/>
        </w:rPr>
        <w:t>,</w:t>
      </w:r>
      <w:r>
        <w:rPr>
          <w:lang w:val="fr-FR"/>
        </w:rPr>
        <w:t xml:space="preserve"> en particulier des non-ressortissants, </w:t>
      </w:r>
      <w:r w:rsidRPr="00813266">
        <w:rPr>
          <w:lang w:val="fr-FR"/>
        </w:rPr>
        <w:t>à des fins d</w:t>
      </w:r>
      <w:r>
        <w:rPr>
          <w:lang w:val="fr-FR"/>
        </w:rPr>
        <w:t>’</w:t>
      </w:r>
      <w:r w:rsidRPr="00813266">
        <w:rPr>
          <w:lang w:val="fr-FR"/>
        </w:rPr>
        <w:t>exploitation par le travail et d</w:t>
      </w:r>
      <w:r>
        <w:rPr>
          <w:lang w:val="fr-FR"/>
        </w:rPr>
        <w:t>’</w:t>
      </w:r>
      <w:r w:rsidRPr="00813266">
        <w:rPr>
          <w:lang w:val="fr-FR"/>
        </w:rPr>
        <w:t>exploitation sexuelle</w:t>
      </w:r>
      <w:r w:rsidRPr="00020E21">
        <w:rPr>
          <w:lang w:val="fr-FR"/>
        </w:rPr>
        <w:t xml:space="preserve">, </w:t>
      </w:r>
      <w:r>
        <w:rPr>
          <w:lang w:val="fr-FR"/>
        </w:rPr>
        <w:t>notamment par la mise en place d’un système de statistiques complet et par l’allocation de ressources humaines et financières suffisantes au</w:t>
      </w:r>
      <w:r w:rsidRPr="00020E21">
        <w:rPr>
          <w:lang w:val="fr-FR"/>
        </w:rPr>
        <w:t xml:space="preserve"> </w:t>
      </w:r>
      <w:r w:rsidRPr="007C102C">
        <w:rPr>
          <w:lang w:val="fr-FR"/>
        </w:rPr>
        <w:t xml:space="preserve">Bureau du </w:t>
      </w:r>
      <w:r>
        <w:rPr>
          <w:lang w:val="fr-FR"/>
        </w:rPr>
        <w:t>R</w:t>
      </w:r>
      <w:r w:rsidRPr="007C102C">
        <w:rPr>
          <w:lang w:val="fr-FR"/>
        </w:rPr>
        <w:t>apporteur national sur la traite des personnes</w:t>
      </w:r>
      <w:r w:rsidR="0012008A">
        <w:rPr>
          <w:lang w:val="fr-FR"/>
        </w:rPr>
        <w:t> </w:t>
      </w:r>
      <w:r w:rsidRPr="00020E21">
        <w:rPr>
          <w:lang w:val="fr-FR"/>
        </w:rPr>
        <w:t>;</w:t>
      </w:r>
      <w:r>
        <w:rPr>
          <w:lang w:val="fr-FR"/>
        </w:rPr>
        <w:t xml:space="preserve"> pour mieux repérer les victimes de la traite parmi les personnes qui demandent une protection internationale, les migrants et les travailleurs étrangers, en particulier les femmes et les enfants</w:t>
      </w:r>
      <w:r w:rsidR="0012008A">
        <w:rPr>
          <w:lang w:val="fr-FR"/>
        </w:rPr>
        <w:t> </w:t>
      </w:r>
      <w:r w:rsidRPr="00020E21">
        <w:rPr>
          <w:lang w:val="fr-FR"/>
        </w:rPr>
        <w:t xml:space="preserve">; </w:t>
      </w:r>
      <w:r>
        <w:rPr>
          <w:lang w:val="fr-FR"/>
        </w:rPr>
        <w:t>pour fournir une assistance et des services de réadaptation adéquats aux victimes de la traite et allouer des fonds suffisants aux services chargés de protéger ces victimes</w:t>
      </w:r>
      <w:r w:rsidR="0012008A">
        <w:rPr>
          <w:lang w:val="fr-FR"/>
        </w:rPr>
        <w:t> </w:t>
      </w:r>
      <w:r w:rsidRPr="00020E21">
        <w:rPr>
          <w:lang w:val="fr-FR"/>
        </w:rPr>
        <w:t xml:space="preserve">; </w:t>
      </w:r>
      <w:r>
        <w:rPr>
          <w:lang w:val="fr-FR"/>
        </w:rPr>
        <w:t>pour renforcer les mécanismes compétents pour enquêter sur les cas de traite et pour poursuivre les responsables et leur infliger des sanctions à la mesure de la gravité des infractions commises</w:t>
      </w:r>
      <w:r w:rsidR="0012008A">
        <w:rPr>
          <w:lang w:val="fr-FR"/>
        </w:rPr>
        <w:t> </w:t>
      </w:r>
      <w:r w:rsidRPr="00020E21">
        <w:rPr>
          <w:lang w:val="fr-FR"/>
        </w:rPr>
        <w:t xml:space="preserve">; </w:t>
      </w:r>
      <w:r>
        <w:rPr>
          <w:lang w:val="fr-FR"/>
        </w:rPr>
        <w:t xml:space="preserve">pour mieux former les forces de l’ordre et les membres de l’appareil judiciaire à la lutte contre la traite des personnes. </w:t>
      </w:r>
    </w:p>
    <w:p w14:paraId="10CBD491" w14:textId="77777777" w:rsidR="005F7366" w:rsidRPr="00020E21" w:rsidRDefault="005F7366" w:rsidP="005F7366">
      <w:pPr>
        <w:pStyle w:val="SingleTxtG"/>
        <w:rPr>
          <w:lang w:val="fr-FR"/>
        </w:rPr>
      </w:pPr>
      <w:r w:rsidRPr="00020E21">
        <w:rPr>
          <w:lang w:val="fr-FR"/>
        </w:rPr>
        <w:t>14.</w:t>
      </w:r>
      <w:r w:rsidRPr="00020E21">
        <w:rPr>
          <w:lang w:val="fr-FR"/>
        </w:rPr>
        <w:tab/>
      </w:r>
      <w:r w:rsidRPr="00F20AC4">
        <w:rPr>
          <w:lang w:val="fr-FR"/>
        </w:rPr>
        <w:t xml:space="preserve">Renseignements sur </w:t>
      </w:r>
      <w:r>
        <w:rPr>
          <w:lang w:val="fr-FR"/>
        </w:rPr>
        <w:t>les effets</w:t>
      </w:r>
      <w:r w:rsidRPr="00F20AC4">
        <w:rPr>
          <w:lang w:val="fr-FR"/>
        </w:rPr>
        <w:t xml:space="preserve"> de la pandémie de maladie à coronavirus (COVID-19) sur les personnes les plus </w:t>
      </w:r>
      <w:r>
        <w:rPr>
          <w:lang w:val="fr-FR"/>
        </w:rPr>
        <w:t>exposées</w:t>
      </w:r>
      <w:r w:rsidRPr="00F20AC4">
        <w:rPr>
          <w:lang w:val="fr-FR"/>
        </w:rPr>
        <w:t xml:space="preserve"> à la discrimination et sur les différents groupes protégés par la Convention, </w:t>
      </w:r>
      <w:r>
        <w:rPr>
          <w:lang w:val="fr-FR"/>
        </w:rPr>
        <w:t>notamment</w:t>
      </w:r>
      <w:r w:rsidRPr="00F20AC4">
        <w:rPr>
          <w:lang w:val="fr-FR"/>
        </w:rPr>
        <w:t xml:space="preserve"> les non-ressortissants</w:t>
      </w:r>
      <w:r w:rsidRPr="00020E21">
        <w:rPr>
          <w:lang w:val="fr-FR"/>
        </w:rPr>
        <w:t xml:space="preserve">, </w:t>
      </w:r>
      <w:r>
        <w:rPr>
          <w:lang w:val="fr-FR"/>
        </w:rPr>
        <w:t>en particulier les</w:t>
      </w:r>
      <w:r w:rsidRPr="00020E21">
        <w:rPr>
          <w:lang w:val="fr-FR"/>
        </w:rPr>
        <w:t xml:space="preserve"> migrants, </w:t>
      </w:r>
      <w:r>
        <w:rPr>
          <w:lang w:val="fr-FR"/>
        </w:rPr>
        <w:t>les réfugiés et les demandeurs d’asile</w:t>
      </w:r>
      <w:r w:rsidRPr="00020E21">
        <w:rPr>
          <w:lang w:val="fr-FR"/>
        </w:rPr>
        <w:t xml:space="preserve">. </w:t>
      </w:r>
      <w:r>
        <w:rPr>
          <w:lang w:val="fr-FR"/>
        </w:rPr>
        <w:t>Mesures prises pour protéger ces personnes et ces groupes des effets de la pandémie de COVID-19, pour les protéger</w:t>
      </w:r>
      <w:r w:rsidRPr="00020E21">
        <w:rPr>
          <w:lang w:val="fr-FR"/>
        </w:rPr>
        <w:t xml:space="preserve"> </w:t>
      </w:r>
      <w:r>
        <w:rPr>
          <w:lang w:val="fr-FR"/>
        </w:rPr>
        <w:t xml:space="preserve">contre les actes discriminatoires et combattre les discours de haine et la stigmatisation liés à la pandémie, et pour atténuer les répercussions socioéconomiques de la pandémie sur ces personnes et ces groupes. </w:t>
      </w:r>
    </w:p>
    <w:p w14:paraId="76A671F6" w14:textId="0BBFC15C" w:rsidR="005F7366" w:rsidRPr="00020E21" w:rsidRDefault="005F7366" w:rsidP="005F7366">
      <w:pPr>
        <w:pStyle w:val="H23G"/>
        <w:rPr>
          <w:lang w:val="fr-FR"/>
        </w:rPr>
      </w:pPr>
      <w:r w:rsidRPr="00020E21">
        <w:rPr>
          <w:lang w:val="fr-FR"/>
        </w:rPr>
        <w:tab/>
      </w:r>
      <w:r w:rsidRPr="00020E21">
        <w:rPr>
          <w:lang w:val="fr-FR"/>
        </w:rPr>
        <w:tab/>
      </w:r>
      <w:r w:rsidRPr="00C82F08">
        <w:rPr>
          <w:lang w:val="fr-FR"/>
        </w:rPr>
        <w:t xml:space="preserve">Formation, éducation et autres mesures visant à lutter contre les préjugés </w:t>
      </w:r>
      <w:r w:rsidR="0012008A">
        <w:rPr>
          <w:lang w:val="fr-FR"/>
        </w:rPr>
        <w:br/>
      </w:r>
      <w:r w:rsidRPr="00C82F08">
        <w:rPr>
          <w:lang w:val="fr-FR"/>
        </w:rPr>
        <w:t>et l</w:t>
      </w:r>
      <w:r>
        <w:rPr>
          <w:lang w:val="fr-FR"/>
        </w:rPr>
        <w:t>’</w:t>
      </w:r>
      <w:r w:rsidRPr="00C82F08">
        <w:rPr>
          <w:lang w:val="fr-FR"/>
        </w:rPr>
        <w:t xml:space="preserve">intolérance </w:t>
      </w:r>
      <w:r w:rsidRPr="00020E21">
        <w:rPr>
          <w:lang w:val="fr-FR"/>
        </w:rPr>
        <w:t>(art. 7)</w:t>
      </w:r>
    </w:p>
    <w:p w14:paraId="6A6EE429" w14:textId="2AE04E23" w:rsidR="005F7366" w:rsidRPr="00020E21" w:rsidRDefault="005F7366" w:rsidP="005F7366">
      <w:pPr>
        <w:pStyle w:val="SingleTxtG"/>
        <w:rPr>
          <w:lang w:val="fr-FR"/>
        </w:rPr>
      </w:pPr>
      <w:r w:rsidRPr="00020E21">
        <w:rPr>
          <w:lang w:val="fr-FR"/>
        </w:rPr>
        <w:t>15.</w:t>
      </w:r>
      <w:r w:rsidRPr="00020E21">
        <w:rPr>
          <w:lang w:val="fr-FR"/>
        </w:rPr>
        <w:tab/>
      </w:r>
      <w:r w:rsidRPr="00931D15">
        <w:rPr>
          <w:lang w:val="fr-FR"/>
        </w:rPr>
        <w:t xml:space="preserve">Renseignements sur les mesures </w:t>
      </w:r>
      <w:r>
        <w:rPr>
          <w:lang w:val="fr-FR"/>
        </w:rPr>
        <w:t>adoptées</w:t>
      </w:r>
      <w:r w:rsidRPr="00931D15">
        <w:rPr>
          <w:lang w:val="fr-FR"/>
        </w:rPr>
        <w:t xml:space="preserve"> pour inclure dans les programmes scolaires et les programmes de formation des enseignants et d</w:t>
      </w:r>
      <w:r>
        <w:rPr>
          <w:lang w:val="fr-FR"/>
        </w:rPr>
        <w:t>’</w:t>
      </w:r>
      <w:r w:rsidRPr="00931D15">
        <w:rPr>
          <w:lang w:val="fr-FR"/>
        </w:rPr>
        <w:t xml:space="preserve">autres catégories professionnelles des modules et des matières obligatoires </w:t>
      </w:r>
      <w:r>
        <w:rPr>
          <w:lang w:val="fr-FR"/>
        </w:rPr>
        <w:t>visant à</w:t>
      </w:r>
      <w:r w:rsidRPr="00931D15">
        <w:rPr>
          <w:lang w:val="fr-FR"/>
        </w:rPr>
        <w:t xml:space="preserve"> promouvoir l</w:t>
      </w:r>
      <w:r>
        <w:rPr>
          <w:lang w:val="fr-FR"/>
        </w:rPr>
        <w:t>’</w:t>
      </w:r>
      <w:r w:rsidRPr="00931D15">
        <w:rPr>
          <w:lang w:val="fr-FR"/>
        </w:rPr>
        <w:t>éducation aux droits de l</w:t>
      </w:r>
      <w:r>
        <w:rPr>
          <w:lang w:val="fr-FR"/>
        </w:rPr>
        <w:t>’</w:t>
      </w:r>
      <w:r w:rsidRPr="00931D15">
        <w:rPr>
          <w:lang w:val="fr-FR"/>
        </w:rPr>
        <w:t>homme</w:t>
      </w:r>
      <w:r w:rsidRPr="00020E21">
        <w:rPr>
          <w:lang w:val="fr-FR"/>
        </w:rPr>
        <w:t xml:space="preserve">, </w:t>
      </w:r>
      <w:r>
        <w:rPr>
          <w:lang w:val="fr-FR"/>
        </w:rPr>
        <w:t>en particulier en ce qui concerne les questions de discrimination fondée sur la race, la couleur, l’ascendance ou l’origine nationale ou ethnique et la Convention, en vue de promouvoir la compréhension, la</w:t>
      </w:r>
      <w:r w:rsidRPr="00020E21">
        <w:rPr>
          <w:lang w:val="fr-FR"/>
        </w:rPr>
        <w:t xml:space="preserve"> tol</w:t>
      </w:r>
      <w:r>
        <w:rPr>
          <w:lang w:val="fr-FR"/>
        </w:rPr>
        <w:t>é</w:t>
      </w:r>
      <w:r w:rsidRPr="00020E21">
        <w:rPr>
          <w:lang w:val="fr-FR"/>
        </w:rPr>
        <w:t xml:space="preserve">rance </w:t>
      </w:r>
      <w:r>
        <w:rPr>
          <w:lang w:val="fr-FR"/>
        </w:rPr>
        <w:t>et l’amitié entre les différents groupes ethniques, dont les non</w:t>
      </w:r>
      <w:r w:rsidR="0012008A">
        <w:rPr>
          <w:lang w:val="fr-FR"/>
        </w:rPr>
        <w:noBreakHyphen/>
      </w:r>
      <w:r>
        <w:rPr>
          <w:lang w:val="fr-FR"/>
        </w:rPr>
        <w:t>ressortissants tels que les migrants, les demandeurs d’asile, les réfugiés et les apatrides</w:t>
      </w:r>
      <w:r w:rsidRPr="00020E21">
        <w:rPr>
          <w:rStyle w:val="Appelnotedebasdep"/>
          <w:lang w:val="fr-FR"/>
        </w:rPr>
        <w:footnoteReference w:id="13"/>
      </w:r>
      <w:r>
        <w:rPr>
          <w:lang w:val="fr-FR"/>
        </w:rPr>
        <w:t>.</w:t>
      </w:r>
    </w:p>
    <w:p w14:paraId="3B33EFCE" w14:textId="44F75BB2" w:rsidR="005F7366" w:rsidRDefault="005F7366" w:rsidP="005F7366">
      <w:pPr>
        <w:pStyle w:val="SingleTxtG"/>
        <w:rPr>
          <w:lang w:val="fr-FR"/>
        </w:rPr>
      </w:pPr>
      <w:r w:rsidRPr="00020E21">
        <w:rPr>
          <w:lang w:val="fr-FR"/>
        </w:rPr>
        <w:t>16.</w:t>
      </w:r>
      <w:r w:rsidRPr="00020E21">
        <w:rPr>
          <w:lang w:val="fr-FR"/>
        </w:rPr>
        <w:tab/>
        <w:t>Information</w:t>
      </w:r>
      <w:r>
        <w:rPr>
          <w:lang w:val="fr-FR"/>
        </w:rPr>
        <w:t>s sur les dispositions prises pour collaborer avec les parties prenantes, dont les organisations de la société civile et le monde universitaire</w:t>
      </w:r>
      <w:r w:rsidRPr="00020E21">
        <w:rPr>
          <w:lang w:val="fr-FR"/>
        </w:rPr>
        <w:t>,</w:t>
      </w:r>
      <w:r>
        <w:rPr>
          <w:lang w:val="fr-FR"/>
        </w:rPr>
        <w:t xml:space="preserve"> pour promouvoir la compréhension, la tolérance et l’amitié entre les différents groupes ethniques présents dans l’État partie, lutter contre la discrimination raciale et faire connaître la Convention</w:t>
      </w:r>
      <w:r w:rsidRPr="00020E21">
        <w:rPr>
          <w:rStyle w:val="Appelnotedebasdep"/>
          <w:lang w:val="fr-FR"/>
        </w:rPr>
        <w:footnoteReference w:id="14"/>
      </w:r>
      <w:r>
        <w:rPr>
          <w:lang w:val="fr-FR"/>
        </w:rPr>
        <w:t>.</w:t>
      </w:r>
    </w:p>
    <w:p w14:paraId="60859294" w14:textId="12DF1371" w:rsidR="0012008A" w:rsidRPr="0012008A" w:rsidRDefault="0012008A" w:rsidP="0012008A">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2008A" w:rsidRPr="0012008A" w:rsidSect="005F736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207D6" w14:textId="77777777" w:rsidR="00D93905" w:rsidRDefault="00D93905" w:rsidP="00F95C08">
      <w:pPr>
        <w:spacing w:line="240" w:lineRule="auto"/>
      </w:pPr>
    </w:p>
  </w:endnote>
  <w:endnote w:type="continuationSeparator" w:id="0">
    <w:p w14:paraId="76F0B50E" w14:textId="77777777" w:rsidR="00D93905" w:rsidRPr="00AC3823" w:rsidRDefault="00D93905" w:rsidP="00AC3823">
      <w:pPr>
        <w:pStyle w:val="Pieddepage"/>
      </w:pPr>
    </w:p>
  </w:endnote>
  <w:endnote w:type="continuationNotice" w:id="1">
    <w:p w14:paraId="4F6DABB3" w14:textId="77777777" w:rsidR="00D93905" w:rsidRDefault="00D939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56E8D" w14:textId="3DC66B27" w:rsidR="005F7366" w:rsidRPr="005F7366" w:rsidRDefault="005F7366" w:rsidP="005F7366">
    <w:pPr>
      <w:pStyle w:val="Pieddepage"/>
      <w:tabs>
        <w:tab w:val="right" w:pos="9638"/>
      </w:tabs>
    </w:pPr>
    <w:r w:rsidRPr="005F7366">
      <w:rPr>
        <w:b/>
        <w:sz w:val="18"/>
      </w:rPr>
      <w:fldChar w:fldCharType="begin"/>
    </w:r>
    <w:r w:rsidRPr="005F7366">
      <w:rPr>
        <w:b/>
        <w:sz w:val="18"/>
      </w:rPr>
      <w:instrText xml:space="preserve"> PAGE  \* MERGEFORMAT </w:instrText>
    </w:r>
    <w:r w:rsidRPr="005F7366">
      <w:rPr>
        <w:b/>
        <w:sz w:val="18"/>
      </w:rPr>
      <w:fldChar w:fldCharType="separate"/>
    </w:r>
    <w:r w:rsidRPr="005F7366">
      <w:rPr>
        <w:b/>
        <w:noProof/>
        <w:sz w:val="18"/>
      </w:rPr>
      <w:t>2</w:t>
    </w:r>
    <w:r w:rsidRPr="005F7366">
      <w:rPr>
        <w:b/>
        <w:sz w:val="18"/>
      </w:rPr>
      <w:fldChar w:fldCharType="end"/>
    </w:r>
    <w:r>
      <w:rPr>
        <w:b/>
        <w:sz w:val="18"/>
      </w:rPr>
      <w:tab/>
    </w:r>
    <w:r>
      <w:t>GE.22-15279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E4BA9" w14:textId="6114390C" w:rsidR="005F7366" w:rsidRPr="005F7366" w:rsidRDefault="005F7366" w:rsidP="005F7366">
    <w:pPr>
      <w:pStyle w:val="Pieddepage"/>
      <w:tabs>
        <w:tab w:val="right" w:pos="9638"/>
      </w:tabs>
      <w:rPr>
        <w:b/>
        <w:sz w:val="18"/>
      </w:rPr>
    </w:pPr>
    <w:r>
      <w:t>GE.22-15279</w:t>
    </w:r>
    <w:r>
      <w:tab/>
    </w:r>
    <w:r w:rsidRPr="005F7366">
      <w:rPr>
        <w:b/>
        <w:sz w:val="18"/>
      </w:rPr>
      <w:fldChar w:fldCharType="begin"/>
    </w:r>
    <w:r w:rsidRPr="005F7366">
      <w:rPr>
        <w:b/>
        <w:sz w:val="18"/>
      </w:rPr>
      <w:instrText xml:space="preserve"> PAGE  \* MERGEFORMAT </w:instrText>
    </w:r>
    <w:r w:rsidRPr="005F7366">
      <w:rPr>
        <w:b/>
        <w:sz w:val="18"/>
      </w:rPr>
      <w:fldChar w:fldCharType="separate"/>
    </w:r>
    <w:r w:rsidRPr="005F7366">
      <w:rPr>
        <w:b/>
        <w:noProof/>
        <w:sz w:val="18"/>
      </w:rPr>
      <w:t>3</w:t>
    </w:r>
    <w:r w:rsidRPr="005F736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C5E2C" w14:textId="69AD927D" w:rsidR="00984B29" w:rsidRPr="005F7366" w:rsidRDefault="005F7366" w:rsidP="005F7366">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B97A7FE" wp14:editId="12C4FE1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22-15279  (F)</w:t>
    </w:r>
    <w:r>
      <w:rPr>
        <w:noProof/>
        <w:sz w:val="20"/>
      </w:rPr>
      <w:drawing>
        <wp:anchor distT="0" distB="0" distL="114300" distR="114300" simplePos="0" relativeHeight="251660288" behindDoc="0" locked="0" layoutInCell="1" allowOverlap="1" wp14:anchorId="66920598" wp14:editId="1AB147D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241022    241022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B45F4" w14:textId="77777777" w:rsidR="00D93905" w:rsidRPr="00AC3823" w:rsidRDefault="00D93905" w:rsidP="00AC3823">
      <w:pPr>
        <w:pStyle w:val="Pieddepage"/>
        <w:tabs>
          <w:tab w:val="right" w:pos="2155"/>
        </w:tabs>
        <w:spacing w:after="80" w:line="240" w:lineRule="atLeast"/>
        <w:ind w:left="680"/>
        <w:rPr>
          <w:u w:val="single"/>
        </w:rPr>
      </w:pPr>
      <w:r>
        <w:rPr>
          <w:u w:val="single"/>
        </w:rPr>
        <w:tab/>
      </w:r>
    </w:p>
  </w:footnote>
  <w:footnote w:type="continuationSeparator" w:id="0">
    <w:p w14:paraId="71D77437" w14:textId="77777777" w:rsidR="00D93905" w:rsidRPr="00AC3823" w:rsidRDefault="00D93905" w:rsidP="00AC3823">
      <w:pPr>
        <w:pStyle w:val="Pieddepage"/>
        <w:tabs>
          <w:tab w:val="right" w:pos="2155"/>
        </w:tabs>
        <w:spacing w:after="80" w:line="240" w:lineRule="atLeast"/>
        <w:ind w:left="680"/>
        <w:rPr>
          <w:u w:val="single"/>
        </w:rPr>
      </w:pPr>
      <w:r>
        <w:rPr>
          <w:u w:val="single"/>
        </w:rPr>
        <w:tab/>
      </w:r>
    </w:p>
  </w:footnote>
  <w:footnote w:type="continuationNotice" w:id="1">
    <w:p w14:paraId="16018B84" w14:textId="77777777" w:rsidR="00D93905" w:rsidRPr="00AC3823" w:rsidRDefault="00D93905">
      <w:pPr>
        <w:spacing w:line="240" w:lineRule="auto"/>
        <w:rPr>
          <w:sz w:val="2"/>
          <w:szCs w:val="2"/>
        </w:rPr>
      </w:pPr>
    </w:p>
  </w:footnote>
  <w:footnote w:id="2">
    <w:p w14:paraId="1D164C10" w14:textId="77777777" w:rsidR="005F7366" w:rsidRPr="0026723E" w:rsidRDefault="005F7366" w:rsidP="005F7366">
      <w:pPr>
        <w:pStyle w:val="Notedebasdepage"/>
        <w:rPr>
          <w:lang w:val="fr-FR"/>
        </w:rPr>
      </w:pPr>
      <w:r>
        <w:tab/>
      </w:r>
      <w:r w:rsidRPr="00FF4ED4">
        <w:rPr>
          <w:rStyle w:val="Appelnotedebasdep"/>
        </w:rPr>
        <w:footnoteRef/>
      </w:r>
      <w:r w:rsidRPr="0026723E">
        <w:rPr>
          <w:lang w:val="fr-FR"/>
        </w:rPr>
        <w:tab/>
      </w:r>
      <w:hyperlink r:id="rId1" w:history="1">
        <w:r w:rsidRPr="0026723E">
          <w:rPr>
            <w:rStyle w:val="Lienhypertexte"/>
            <w:lang w:val="fr-FR"/>
          </w:rPr>
          <w:t>A/65/18</w:t>
        </w:r>
      </w:hyperlink>
      <w:r w:rsidRPr="0026723E">
        <w:rPr>
          <w:lang w:val="fr-FR"/>
        </w:rPr>
        <w:t>, par. 85.</w:t>
      </w:r>
    </w:p>
  </w:footnote>
  <w:footnote w:id="3">
    <w:p w14:paraId="7B70C7F1" w14:textId="12F98C27" w:rsidR="005F7366" w:rsidRPr="0026723E" w:rsidRDefault="005F7366" w:rsidP="005F7366">
      <w:pPr>
        <w:pStyle w:val="Notedebasdepage"/>
        <w:rPr>
          <w:lang w:val="fr-FR"/>
        </w:rPr>
      </w:pPr>
      <w:r w:rsidRPr="0026723E">
        <w:rPr>
          <w:lang w:val="fr-FR"/>
        </w:rPr>
        <w:tab/>
      </w:r>
      <w:r w:rsidRPr="005D0534">
        <w:rPr>
          <w:rStyle w:val="Appelnotedebasdep"/>
        </w:rPr>
        <w:footnoteRef/>
      </w:r>
      <w:r w:rsidRPr="0026723E">
        <w:rPr>
          <w:lang w:val="fr-FR"/>
        </w:rPr>
        <w:tab/>
      </w:r>
      <w:hyperlink r:id="rId2" w:history="1">
        <w:r w:rsidRPr="0026723E">
          <w:rPr>
            <w:rStyle w:val="Lienhypertexte"/>
            <w:lang w:val="fr-FR"/>
          </w:rPr>
          <w:t>CERD/C/JAM/CO/16-20</w:t>
        </w:r>
      </w:hyperlink>
      <w:r w:rsidRPr="0026723E">
        <w:rPr>
          <w:lang w:val="fr-FR"/>
        </w:rPr>
        <w:t>, par. 7</w:t>
      </w:r>
      <w:r w:rsidR="0012008A">
        <w:rPr>
          <w:lang w:val="fr-FR"/>
        </w:rPr>
        <w:t> </w:t>
      </w:r>
      <w:r w:rsidRPr="0026723E">
        <w:rPr>
          <w:lang w:val="fr-FR"/>
        </w:rPr>
        <w:t xml:space="preserve">; et </w:t>
      </w:r>
      <w:hyperlink r:id="rId3" w:history="1">
        <w:r w:rsidRPr="0026723E">
          <w:rPr>
            <w:rStyle w:val="Lienhypertexte"/>
            <w:lang w:val="fr-FR"/>
          </w:rPr>
          <w:t>CERD/C/JAM/21-24</w:t>
        </w:r>
      </w:hyperlink>
      <w:r w:rsidRPr="0026723E">
        <w:rPr>
          <w:lang w:val="fr-FR"/>
        </w:rPr>
        <w:t>, par. 12, 14 à 18 et 111.</w:t>
      </w:r>
    </w:p>
  </w:footnote>
  <w:footnote w:id="4">
    <w:p w14:paraId="30B3695B" w14:textId="0A826D31" w:rsidR="005F7366" w:rsidRPr="0026723E" w:rsidRDefault="005F7366" w:rsidP="005F7366">
      <w:pPr>
        <w:pStyle w:val="Notedebasdepage"/>
        <w:rPr>
          <w:lang w:val="fr-FR"/>
        </w:rPr>
      </w:pPr>
      <w:r w:rsidRPr="0026723E">
        <w:rPr>
          <w:lang w:val="fr-FR"/>
        </w:rPr>
        <w:tab/>
      </w:r>
      <w:r w:rsidRPr="005D0534">
        <w:rPr>
          <w:rStyle w:val="Appelnotedebasdep"/>
        </w:rPr>
        <w:footnoteRef/>
      </w:r>
      <w:r w:rsidRPr="0026723E">
        <w:rPr>
          <w:lang w:val="fr-FR"/>
        </w:rPr>
        <w:tab/>
      </w:r>
      <w:hyperlink r:id="rId4" w:history="1">
        <w:r w:rsidRPr="0026723E">
          <w:rPr>
            <w:rStyle w:val="Lienhypertexte"/>
            <w:lang w:val="fr-FR"/>
          </w:rPr>
          <w:t>CERD/C/JAM/CO/16-20</w:t>
        </w:r>
      </w:hyperlink>
      <w:r w:rsidRPr="0026723E">
        <w:rPr>
          <w:lang w:val="fr-FR"/>
        </w:rPr>
        <w:t>, par. 6</w:t>
      </w:r>
      <w:r w:rsidR="0012008A">
        <w:rPr>
          <w:lang w:val="fr-FR"/>
        </w:rPr>
        <w:t> </w:t>
      </w:r>
      <w:r w:rsidRPr="0026723E">
        <w:rPr>
          <w:lang w:val="fr-FR"/>
        </w:rPr>
        <w:t xml:space="preserve">; et </w:t>
      </w:r>
      <w:hyperlink r:id="rId5" w:history="1">
        <w:r w:rsidRPr="0026723E">
          <w:rPr>
            <w:rStyle w:val="Lienhypertexte"/>
            <w:lang w:val="fr-FR"/>
          </w:rPr>
          <w:t>CERD/C/JAM/21-24</w:t>
        </w:r>
      </w:hyperlink>
      <w:r w:rsidRPr="0026723E">
        <w:rPr>
          <w:lang w:val="fr-FR"/>
        </w:rPr>
        <w:t>, par. 109.</w:t>
      </w:r>
    </w:p>
  </w:footnote>
  <w:footnote w:id="5">
    <w:p w14:paraId="6DDD84D3" w14:textId="48A3AD0B" w:rsidR="005F7366" w:rsidRPr="0026723E" w:rsidRDefault="005F7366" w:rsidP="005F7366">
      <w:pPr>
        <w:pStyle w:val="Notedebasdepage"/>
        <w:rPr>
          <w:lang w:val="fr-FR"/>
        </w:rPr>
      </w:pPr>
      <w:r w:rsidRPr="0026723E">
        <w:rPr>
          <w:lang w:val="fr-FR"/>
        </w:rPr>
        <w:tab/>
      </w:r>
      <w:r w:rsidRPr="005D0534">
        <w:rPr>
          <w:rStyle w:val="Appelnotedebasdep"/>
        </w:rPr>
        <w:footnoteRef/>
      </w:r>
      <w:r w:rsidRPr="0026723E">
        <w:rPr>
          <w:lang w:val="fr-FR"/>
        </w:rPr>
        <w:tab/>
      </w:r>
      <w:hyperlink r:id="rId6" w:history="1">
        <w:r w:rsidRPr="0026723E">
          <w:rPr>
            <w:rStyle w:val="Lienhypertexte"/>
            <w:lang w:val="fr-FR"/>
          </w:rPr>
          <w:t>CERD/C/JAM/CO/16-20</w:t>
        </w:r>
      </w:hyperlink>
      <w:r w:rsidRPr="0026723E">
        <w:rPr>
          <w:lang w:val="fr-FR"/>
        </w:rPr>
        <w:t>, par. 8</w:t>
      </w:r>
      <w:r w:rsidR="0012008A">
        <w:rPr>
          <w:lang w:val="fr-FR"/>
        </w:rPr>
        <w:t> </w:t>
      </w:r>
      <w:r w:rsidRPr="0026723E">
        <w:rPr>
          <w:lang w:val="fr-FR"/>
        </w:rPr>
        <w:t xml:space="preserve">; et </w:t>
      </w:r>
      <w:hyperlink r:id="rId7" w:history="1">
        <w:r w:rsidRPr="0026723E">
          <w:rPr>
            <w:rStyle w:val="Lienhypertexte"/>
            <w:lang w:val="fr-FR"/>
          </w:rPr>
          <w:t>CERD/C/JAM/21-24</w:t>
        </w:r>
      </w:hyperlink>
      <w:r w:rsidRPr="0026723E">
        <w:rPr>
          <w:lang w:val="fr-FR"/>
        </w:rPr>
        <w:t>, par. 19</w:t>
      </w:r>
      <w:r>
        <w:rPr>
          <w:lang w:val="fr-FR"/>
        </w:rPr>
        <w:t>,</w:t>
      </w:r>
      <w:r w:rsidRPr="0026723E">
        <w:rPr>
          <w:lang w:val="fr-FR"/>
        </w:rPr>
        <w:t xml:space="preserve"> 20</w:t>
      </w:r>
      <w:r>
        <w:rPr>
          <w:lang w:val="fr-FR"/>
        </w:rPr>
        <w:t>,</w:t>
      </w:r>
      <w:r w:rsidRPr="0026723E">
        <w:rPr>
          <w:lang w:val="fr-FR"/>
        </w:rPr>
        <w:t xml:space="preserve"> 112 et 113.</w:t>
      </w:r>
    </w:p>
  </w:footnote>
  <w:footnote w:id="6">
    <w:p w14:paraId="663D7867" w14:textId="4A325A55" w:rsidR="005F7366" w:rsidRPr="0026723E" w:rsidRDefault="005F7366" w:rsidP="005F7366">
      <w:pPr>
        <w:pStyle w:val="Notedebasdepage"/>
        <w:rPr>
          <w:lang w:val="fr-FR"/>
        </w:rPr>
      </w:pPr>
      <w:r w:rsidRPr="0026723E">
        <w:rPr>
          <w:lang w:val="fr-FR"/>
        </w:rPr>
        <w:tab/>
      </w:r>
      <w:r w:rsidRPr="00FF4ED4">
        <w:rPr>
          <w:rStyle w:val="Appelnotedebasdep"/>
        </w:rPr>
        <w:footnoteRef/>
      </w:r>
      <w:r w:rsidRPr="0026723E">
        <w:rPr>
          <w:lang w:val="fr-FR"/>
        </w:rPr>
        <w:tab/>
      </w:r>
      <w:hyperlink r:id="rId8" w:history="1">
        <w:r w:rsidRPr="0026723E">
          <w:rPr>
            <w:rStyle w:val="Lienhypertexte"/>
            <w:lang w:val="fr-FR"/>
          </w:rPr>
          <w:t>CERD/C/JAM/CO/16-20</w:t>
        </w:r>
      </w:hyperlink>
      <w:r w:rsidRPr="0026723E">
        <w:rPr>
          <w:lang w:val="fr-FR"/>
        </w:rPr>
        <w:t>, par. 9</w:t>
      </w:r>
      <w:r w:rsidR="0012008A">
        <w:rPr>
          <w:lang w:val="fr-FR"/>
        </w:rPr>
        <w:t> </w:t>
      </w:r>
      <w:r w:rsidRPr="0026723E">
        <w:rPr>
          <w:lang w:val="fr-FR"/>
        </w:rPr>
        <w:t xml:space="preserve">; et </w:t>
      </w:r>
      <w:hyperlink r:id="rId9" w:history="1">
        <w:r w:rsidRPr="0026723E">
          <w:rPr>
            <w:rStyle w:val="Lienhypertexte"/>
            <w:lang w:val="fr-FR"/>
          </w:rPr>
          <w:t>CERD/C/JAM/21-24</w:t>
        </w:r>
      </w:hyperlink>
      <w:r w:rsidRPr="0026723E">
        <w:rPr>
          <w:lang w:val="fr-FR"/>
        </w:rPr>
        <w:t>, par. 11, 16, 88, 90 et 114.</w:t>
      </w:r>
    </w:p>
  </w:footnote>
  <w:footnote w:id="7">
    <w:p w14:paraId="5F40FB08" w14:textId="08C058D5" w:rsidR="005F7366" w:rsidRPr="0026723E" w:rsidRDefault="005F7366" w:rsidP="005F7366">
      <w:pPr>
        <w:pStyle w:val="Notedebasdepage"/>
        <w:rPr>
          <w:lang w:val="fr-FR"/>
        </w:rPr>
      </w:pPr>
      <w:r w:rsidRPr="0026723E">
        <w:rPr>
          <w:lang w:val="fr-FR"/>
        </w:rPr>
        <w:tab/>
      </w:r>
      <w:r w:rsidRPr="00195FE0">
        <w:rPr>
          <w:rStyle w:val="Appelnotedebasdep"/>
        </w:rPr>
        <w:footnoteRef/>
      </w:r>
      <w:r w:rsidRPr="0026723E">
        <w:rPr>
          <w:lang w:val="fr-FR"/>
        </w:rPr>
        <w:tab/>
      </w:r>
      <w:hyperlink r:id="rId10" w:history="1">
        <w:r w:rsidRPr="0026723E">
          <w:rPr>
            <w:rStyle w:val="Lienhypertexte"/>
            <w:lang w:val="fr-FR"/>
          </w:rPr>
          <w:t>CERD/C/JAM/CO/16-20</w:t>
        </w:r>
      </w:hyperlink>
      <w:r w:rsidRPr="0026723E">
        <w:rPr>
          <w:lang w:val="fr-FR"/>
        </w:rPr>
        <w:t>, par. 10</w:t>
      </w:r>
      <w:r w:rsidR="0012008A">
        <w:rPr>
          <w:lang w:val="fr-FR"/>
        </w:rPr>
        <w:t> </w:t>
      </w:r>
      <w:r w:rsidRPr="0026723E">
        <w:rPr>
          <w:lang w:val="fr-FR"/>
        </w:rPr>
        <w:t xml:space="preserve">; et </w:t>
      </w:r>
      <w:hyperlink r:id="rId11" w:history="1">
        <w:r w:rsidRPr="0026723E">
          <w:rPr>
            <w:rStyle w:val="Lienhypertexte"/>
            <w:lang w:val="fr-FR"/>
          </w:rPr>
          <w:t>CERD/C/JAM/21-24</w:t>
        </w:r>
      </w:hyperlink>
      <w:r w:rsidRPr="0026723E">
        <w:rPr>
          <w:lang w:val="fr-FR"/>
        </w:rPr>
        <w:t>, par. 25</w:t>
      </w:r>
      <w:r>
        <w:rPr>
          <w:lang w:val="fr-FR"/>
        </w:rPr>
        <w:t>,</w:t>
      </w:r>
      <w:r w:rsidRPr="0026723E">
        <w:rPr>
          <w:lang w:val="fr-FR"/>
        </w:rPr>
        <w:t xml:space="preserve"> 26</w:t>
      </w:r>
      <w:r>
        <w:rPr>
          <w:lang w:val="fr-FR"/>
        </w:rPr>
        <w:t>,</w:t>
      </w:r>
      <w:r w:rsidRPr="0026723E">
        <w:rPr>
          <w:lang w:val="fr-FR"/>
        </w:rPr>
        <w:t xml:space="preserve"> 115 et 116.</w:t>
      </w:r>
    </w:p>
  </w:footnote>
  <w:footnote w:id="8">
    <w:p w14:paraId="5AEB4629" w14:textId="561C90B6" w:rsidR="005F7366" w:rsidRPr="0026723E" w:rsidRDefault="005F7366" w:rsidP="005F7366">
      <w:pPr>
        <w:pStyle w:val="Notedebasdepage"/>
        <w:rPr>
          <w:lang w:val="fr-FR"/>
        </w:rPr>
      </w:pPr>
      <w:r w:rsidRPr="0026723E">
        <w:rPr>
          <w:lang w:val="fr-FR"/>
        </w:rPr>
        <w:tab/>
      </w:r>
      <w:r w:rsidRPr="00195FE0">
        <w:rPr>
          <w:rStyle w:val="Appelnotedebasdep"/>
        </w:rPr>
        <w:footnoteRef/>
      </w:r>
      <w:r w:rsidRPr="0026723E">
        <w:rPr>
          <w:lang w:val="fr-FR"/>
        </w:rPr>
        <w:tab/>
      </w:r>
      <w:hyperlink r:id="rId12" w:history="1">
        <w:r w:rsidRPr="0026723E">
          <w:rPr>
            <w:rStyle w:val="Lienhypertexte"/>
            <w:lang w:val="fr-FR"/>
          </w:rPr>
          <w:t>CERD/C/JAM/CO/16-20</w:t>
        </w:r>
      </w:hyperlink>
      <w:r w:rsidRPr="0026723E">
        <w:rPr>
          <w:lang w:val="fr-FR"/>
        </w:rPr>
        <w:t>, par. 9</w:t>
      </w:r>
      <w:r w:rsidR="0012008A">
        <w:rPr>
          <w:lang w:val="fr-FR"/>
        </w:rPr>
        <w:t> </w:t>
      </w:r>
      <w:r w:rsidRPr="0026723E">
        <w:rPr>
          <w:lang w:val="fr-FR"/>
        </w:rPr>
        <w:t xml:space="preserve">; et </w:t>
      </w:r>
      <w:hyperlink r:id="rId13" w:history="1">
        <w:r w:rsidRPr="0026723E">
          <w:rPr>
            <w:rStyle w:val="Lienhypertexte"/>
            <w:lang w:val="fr-FR"/>
          </w:rPr>
          <w:t>CERD/C/JAM/21-24</w:t>
        </w:r>
      </w:hyperlink>
      <w:r w:rsidRPr="0026723E">
        <w:rPr>
          <w:lang w:val="fr-FR"/>
        </w:rPr>
        <w:t>, par. 11, 16, 88, 91 et 114.</w:t>
      </w:r>
    </w:p>
  </w:footnote>
  <w:footnote w:id="9">
    <w:p w14:paraId="0EEF6E16" w14:textId="20E86BD6" w:rsidR="005F7366" w:rsidRPr="0026723E" w:rsidRDefault="005F7366" w:rsidP="005F7366">
      <w:pPr>
        <w:pStyle w:val="Notedebasdepage"/>
        <w:rPr>
          <w:lang w:val="fr-FR"/>
        </w:rPr>
      </w:pPr>
      <w:r w:rsidRPr="0026723E">
        <w:rPr>
          <w:lang w:val="fr-FR"/>
        </w:rPr>
        <w:tab/>
      </w:r>
      <w:r w:rsidRPr="00195FE0">
        <w:rPr>
          <w:rStyle w:val="Appelnotedebasdep"/>
        </w:rPr>
        <w:footnoteRef/>
      </w:r>
      <w:r w:rsidRPr="0026723E">
        <w:rPr>
          <w:lang w:val="fr-FR"/>
        </w:rPr>
        <w:tab/>
      </w:r>
      <w:hyperlink r:id="rId14" w:history="1">
        <w:r w:rsidRPr="0026723E">
          <w:rPr>
            <w:rStyle w:val="Lienhypertexte"/>
            <w:lang w:val="fr-FR"/>
          </w:rPr>
          <w:t>CERD/C/JAM/CO/16-20</w:t>
        </w:r>
      </w:hyperlink>
      <w:r w:rsidRPr="0026723E">
        <w:rPr>
          <w:lang w:val="fr-FR"/>
        </w:rPr>
        <w:t>, par. 11</w:t>
      </w:r>
      <w:r w:rsidR="0012008A">
        <w:rPr>
          <w:lang w:val="fr-FR"/>
        </w:rPr>
        <w:t> </w:t>
      </w:r>
      <w:r w:rsidRPr="0026723E">
        <w:rPr>
          <w:lang w:val="fr-FR"/>
        </w:rPr>
        <w:t xml:space="preserve">; et </w:t>
      </w:r>
      <w:hyperlink r:id="rId15" w:history="1">
        <w:r w:rsidRPr="0026723E">
          <w:rPr>
            <w:rStyle w:val="Lienhypertexte"/>
            <w:lang w:val="fr-FR"/>
          </w:rPr>
          <w:t>CERD/C/JAM/21-24</w:t>
        </w:r>
      </w:hyperlink>
      <w:r w:rsidRPr="0026723E">
        <w:rPr>
          <w:lang w:val="fr-FR"/>
        </w:rPr>
        <w:t>, par. 4, 9 et 117.</w:t>
      </w:r>
    </w:p>
  </w:footnote>
  <w:footnote w:id="10">
    <w:p w14:paraId="125EF7A5" w14:textId="0F7DC2CB" w:rsidR="005F7366" w:rsidRPr="0026723E" w:rsidRDefault="005F7366" w:rsidP="005F7366">
      <w:pPr>
        <w:pStyle w:val="Notedebasdepage"/>
        <w:rPr>
          <w:lang w:val="fr-FR"/>
        </w:rPr>
      </w:pPr>
      <w:r w:rsidRPr="0026723E">
        <w:rPr>
          <w:lang w:val="fr-FR"/>
        </w:rPr>
        <w:tab/>
      </w:r>
      <w:r w:rsidRPr="00195FE0">
        <w:rPr>
          <w:rStyle w:val="Appelnotedebasdep"/>
        </w:rPr>
        <w:footnoteRef/>
      </w:r>
      <w:r w:rsidRPr="0026723E">
        <w:rPr>
          <w:lang w:val="fr-FR"/>
        </w:rPr>
        <w:tab/>
      </w:r>
      <w:hyperlink r:id="rId16" w:history="1">
        <w:r w:rsidRPr="0026723E">
          <w:rPr>
            <w:rStyle w:val="Lienhypertexte"/>
            <w:lang w:val="fr-FR"/>
          </w:rPr>
          <w:t>CERD/C/JAM/CO/16-20</w:t>
        </w:r>
      </w:hyperlink>
      <w:r w:rsidRPr="0026723E">
        <w:rPr>
          <w:lang w:val="fr-FR"/>
        </w:rPr>
        <w:t>, par. 11</w:t>
      </w:r>
      <w:r w:rsidR="0012008A">
        <w:rPr>
          <w:lang w:val="fr-FR"/>
        </w:rPr>
        <w:t> </w:t>
      </w:r>
      <w:r w:rsidRPr="0026723E">
        <w:rPr>
          <w:lang w:val="fr-FR"/>
        </w:rPr>
        <w:t xml:space="preserve">; et </w:t>
      </w:r>
      <w:hyperlink r:id="rId17" w:history="1">
        <w:r w:rsidRPr="0026723E">
          <w:rPr>
            <w:rStyle w:val="Lienhypertexte"/>
            <w:lang w:val="fr-FR"/>
          </w:rPr>
          <w:t>CERD/C/JAM/21-24</w:t>
        </w:r>
      </w:hyperlink>
      <w:r w:rsidRPr="0026723E">
        <w:rPr>
          <w:lang w:val="fr-FR"/>
        </w:rPr>
        <w:t>, par. 4</w:t>
      </w:r>
      <w:r>
        <w:rPr>
          <w:lang w:val="fr-FR"/>
        </w:rPr>
        <w:t>,</w:t>
      </w:r>
      <w:r w:rsidRPr="0026723E">
        <w:rPr>
          <w:lang w:val="fr-FR"/>
        </w:rPr>
        <w:t xml:space="preserve"> 5, 7, 9, 27 et 117.</w:t>
      </w:r>
    </w:p>
  </w:footnote>
  <w:footnote w:id="11">
    <w:p w14:paraId="604F2A83" w14:textId="77777777" w:rsidR="005F7366" w:rsidRPr="0026723E" w:rsidRDefault="005F7366" w:rsidP="005F7366">
      <w:pPr>
        <w:pStyle w:val="Notedebasdepage"/>
        <w:rPr>
          <w:lang w:val="fr-FR"/>
        </w:rPr>
      </w:pPr>
      <w:r w:rsidRPr="0026723E">
        <w:rPr>
          <w:lang w:val="fr-FR"/>
        </w:rPr>
        <w:tab/>
      </w:r>
      <w:r w:rsidRPr="00195FE0">
        <w:rPr>
          <w:rStyle w:val="Appelnotedebasdep"/>
        </w:rPr>
        <w:footnoteRef/>
      </w:r>
      <w:r w:rsidRPr="0026723E">
        <w:rPr>
          <w:lang w:val="fr-FR"/>
        </w:rPr>
        <w:tab/>
      </w:r>
      <w:hyperlink r:id="rId18" w:history="1">
        <w:r w:rsidRPr="0026723E">
          <w:rPr>
            <w:rStyle w:val="Lienhypertexte"/>
            <w:lang w:val="fr-FR"/>
          </w:rPr>
          <w:t>CERD/C/JAM/21-24</w:t>
        </w:r>
      </w:hyperlink>
      <w:r w:rsidRPr="0026723E">
        <w:rPr>
          <w:lang w:val="fr-FR"/>
        </w:rPr>
        <w:t>, par. 8.</w:t>
      </w:r>
    </w:p>
  </w:footnote>
  <w:footnote w:id="12">
    <w:p w14:paraId="581EDEEC" w14:textId="1FB8983C" w:rsidR="005F7366" w:rsidRPr="00195FE0" w:rsidRDefault="005F7366" w:rsidP="005F7366">
      <w:pPr>
        <w:pStyle w:val="Notedebasdepage"/>
        <w:rPr>
          <w:lang w:val="fr-FR"/>
        </w:rPr>
      </w:pPr>
      <w:r w:rsidRPr="0026723E">
        <w:rPr>
          <w:lang w:val="fr-FR"/>
        </w:rPr>
        <w:tab/>
      </w:r>
      <w:r w:rsidRPr="00FF4ED4">
        <w:rPr>
          <w:rStyle w:val="Appelnotedebasdep"/>
        </w:rPr>
        <w:footnoteRef/>
      </w:r>
      <w:r w:rsidRPr="0026723E">
        <w:rPr>
          <w:lang w:val="fr-FR"/>
        </w:rPr>
        <w:tab/>
      </w:r>
      <w:hyperlink r:id="rId19" w:history="1">
        <w:r w:rsidRPr="0026723E">
          <w:rPr>
            <w:rStyle w:val="Lienhypertexte"/>
            <w:lang w:val="fr-FR"/>
          </w:rPr>
          <w:t>CERD/C/JAM/CO/16-20</w:t>
        </w:r>
      </w:hyperlink>
      <w:r w:rsidRPr="0026723E">
        <w:rPr>
          <w:lang w:val="fr-FR"/>
        </w:rPr>
        <w:t xml:space="preserve">, par. </w:t>
      </w:r>
      <w:r w:rsidRPr="00195FE0">
        <w:rPr>
          <w:lang w:val="fr-FR"/>
        </w:rPr>
        <w:t>12</w:t>
      </w:r>
      <w:r w:rsidR="0012008A">
        <w:rPr>
          <w:lang w:val="fr-FR"/>
        </w:rPr>
        <w:t> </w:t>
      </w:r>
      <w:r w:rsidRPr="00195FE0">
        <w:rPr>
          <w:lang w:val="fr-FR"/>
        </w:rPr>
        <w:t xml:space="preserve">; </w:t>
      </w:r>
      <w:r>
        <w:rPr>
          <w:lang w:val="fr-FR"/>
        </w:rPr>
        <w:t>et</w:t>
      </w:r>
      <w:r w:rsidRPr="00195FE0">
        <w:rPr>
          <w:lang w:val="fr-FR"/>
        </w:rPr>
        <w:t xml:space="preserve"> </w:t>
      </w:r>
      <w:hyperlink r:id="rId20" w:history="1">
        <w:r w:rsidRPr="00195FE0">
          <w:rPr>
            <w:rStyle w:val="Lienhypertexte"/>
            <w:lang w:val="fr-FR"/>
          </w:rPr>
          <w:t>CERD/C/JAM/21-24</w:t>
        </w:r>
      </w:hyperlink>
      <w:r w:rsidRPr="00195FE0">
        <w:rPr>
          <w:lang w:val="fr-FR"/>
        </w:rPr>
        <w:t>, par. 118</w:t>
      </w:r>
      <w:r>
        <w:rPr>
          <w:lang w:val="fr-FR"/>
        </w:rPr>
        <w:t xml:space="preserve"> à </w:t>
      </w:r>
      <w:r w:rsidRPr="00195FE0">
        <w:rPr>
          <w:lang w:val="fr-FR"/>
        </w:rPr>
        <w:t>124.</w:t>
      </w:r>
    </w:p>
  </w:footnote>
  <w:footnote w:id="13">
    <w:p w14:paraId="335ADCD3" w14:textId="465126F7" w:rsidR="005F7366" w:rsidRPr="0026723E" w:rsidRDefault="005F7366" w:rsidP="005F7366">
      <w:pPr>
        <w:pStyle w:val="Notedebasdepage"/>
        <w:rPr>
          <w:lang w:val="fr-FR"/>
        </w:rPr>
      </w:pPr>
      <w:r w:rsidRPr="00195FE0">
        <w:rPr>
          <w:lang w:val="fr-FR"/>
        </w:rPr>
        <w:tab/>
      </w:r>
      <w:r w:rsidRPr="00195FE0">
        <w:rPr>
          <w:rStyle w:val="Appelnotedebasdep"/>
        </w:rPr>
        <w:footnoteRef/>
      </w:r>
      <w:r w:rsidRPr="00195FE0">
        <w:rPr>
          <w:lang w:val="fr-FR"/>
        </w:rPr>
        <w:tab/>
      </w:r>
      <w:hyperlink r:id="rId21" w:history="1">
        <w:r w:rsidRPr="00195FE0">
          <w:rPr>
            <w:rStyle w:val="Lienhypertexte"/>
            <w:lang w:val="fr-FR"/>
          </w:rPr>
          <w:t>CERD/C/JAM/21-24</w:t>
        </w:r>
      </w:hyperlink>
      <w:r w:rsidRPr="00195FE0">
        <w:rPr>
          <w:lang w:val="fr-FR"/>
        </w:rPr>
        <w:t>, par.</w:t>
      </w:r>
      <w:r w:rsidR="0012008A">
        <w:rPr>
          <w:lang w:val="fr-FR"/>
        </w:rPr>
        <w:t> </w:t>
      </w:r>
      <w:r w:rsidRPr="0026723E">
        <w:rPr>
          <w:lang w:val="fr-FR"/>
        </w:rPr>
        <w:t>7 et 95.</w:t>
      </w:r>
    </w:p>
  </w:footnote>
  <w:footnote w:id="14">
    <w:p w14:paraId="3FD6635E" w14:textId="3250BEAD" w:rsidR="005F7366" w:rsidRPr="0026723E" w:rsidRDefault="005F7366" w:rsidP="005F7366">
      <w:pPr>
        <w:pStyle w:val="Notedebasdepage"/>
        <w:rPr>
          <w:lang w:val="fr-FR"/>
        </w:rPr>
      </w:pPr>
      <w:r w:rsidRPr="0026723E">
        <w:rPr>
          <w:lang w:val="fr-FR"/>
        </w:rPr>
        <w:tab/>
      </w:r>
      <w:r w:rsidRPr="00195FE0">
        <w:rPr>
          <w:rStyle w:val="Appelnotedebasdep"/>
        </w:rPr>
        <w:footnoteRef/>
      </w:r>
      <w:r w:rsidRPr="0026723E">
        <w:rPr>
          <w:lang w:val="fr-FR"/>
        </w:rPr>
        <w:tab/>
      </w:r>
      <w:hyperlink r:id="rId22" w:history="1">
        <w:r w:rsidRPr="0026723E">
          <w:rPr>
            <w:rStyle w:val="Lienhypertexte"/>
            <w:lang w:val="fr-FR"/>
          </w:rPr>
          <w:t>CERD/C/JAM/CO/16-20</w:t>
        </w:r>
      </w:hyperlink>
      <w:r w:rsidRPr="0026723E">
        <w:rPr>
          <w:lang w:val="fr-FR"/>
        </w:rPr>
        <w:t>, par. 13</w:t>
      </w:r>
      <w:r w:rsidR="0012008A">
        <w:rPr>
          <w:lang w:val="fr-FR"/>
        </w:rPr>
        <w:t> </w:t>
      </w:r>
      <w:r w:rsidRPr="0026723E">
        <w:rPr>
          <w:lang w:val="fr-FR"/>
        </w:rPr>
        <w:t xml:space="preserve">; et </w:t>
      </w:r>
      <w:hyperlink r:id="rId23" w:history="1">
        <w:r w:rsidRPr="0026723E">
          <w:rPr>
            <w:rStyle w:val="Lienhypertexte"/>
            <w:lang w:val="fr-FR"/>
          </w:rPr>
          <w:t>CERD/C/JAM/21-24</w:t>
        </w:r>
      </w:hyperlink>
      <w:r w:rsidRPr="0026723E">
        <w:rPr>
          <w:lang w:val="fr-FR"/>
        </w:rPr>
        <w:t>, par. 2 et 125.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68D51" w14:textId="5B6AE849" w:rsidR="005F7366" w:rsidRPr="005F7366" w:rsidRDefault="005F7366">
    <w:pPr>
      <w:pStyle w:val="En-tte"/>
    </w:pPr>
    <w:fldSimple w:instr=" TITLE  \* MERGEFORMAT ">
      <w:r w:rsidR="001C3BD4">
        <w:t>CERD/C/JAM/Q/21-24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56556" w14:textId="47661FEC" w:rsidR="005F7366" w:rsidRPr="005F7366" w:rsidRDefault="005F7366" w:rsidP="005F7366">
    <w:pPr>
      <w:pStyle w:val="En-tte"/>
      <w:jc w:val="right"/>
    </w:pPr>
    <w:fldSimple w:instr=" TITLE  \* MERGEFORMAT ">
      <w:r w:rsidR="001C3BD4">
        <w:t>CERD/C/JAM/Q/21-24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088651098">
    <w:abstractNumId w:val="12"/>
  </w:num>
  <w:num w:numId="2" w16cid:durableId="1551385766">
    <w:abstractNumId w:val="11"/>
  </w:num>
  <w:num w:numId="3" w16cid:durableId="937828667">
    <w:abstractNumId w:val="10"/>
  </w:num>
  <w:num w:numId="4" w16cid:durableId="1464233691">
    <w:abstractNumId w:val="8"/>
  </w:num>
  <w:num w:numId="5" w16cid:durableId="1713339538">
    <w:abstractNumId w:val="3"/>
  </w:num>
  <w:num w:numId="6" w16cid:durableId="651065312">
    <w:abstractNumId w:val="2"/>
  </w:num>
  <w:num w:numId="7" w16cid:durableId="356662055">
    <w:abstractNumId w:val="1"/>
  </w:num>
  <w:num w:numId="8" w16cid:durableId="980038857">
    <w:abstractNumId w:val="0"/>
  </w:num>
  <w:num w:numId="9" w16cid:durableId="1849130003">
    <w:abstractNumId w:val="9"/>
  </w:num>
  <w:num w:numId="10" w16cid:durableId="217782807">
    <w:abstractNumId w:val="7"/>
  </w:num>
  <w:num w:numId="11" w16cid:durableId="1979066298">
    <w:abstractNumId w:val="6"/>
  </w:num>
  <w:num w:numId="12" w16cid:durableId="134834212">
    <w:abstractNumId w:val="5"/>
  </w:num>
  <w:num w:numId="13" w16cid:durableId="882643398">
    <w:abstractNumId w:val="4"/>
  </w:num>
  <w:num w:numId="14" w16cid:durableId="1628005407">
    <w:abstractNumId w:val="12"/>
  </w:num>
  <w:num w:numId="15" w16cid:durableId="1236431505">
    <w:abstractNumId w:val="11"/>
  </w:num>
  <w:num w:numId="16" w16cid:durableId="9165243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905"/>
    <w:rsid w:val="00017F94"/>
    <w:rsid w:val="00023842"/>
    <w:rsid w:val="000334F9"/>
    <w:rsid w:val="0007796D"/>
    <w:rsid w:val="000B7790"/>
    <w:rsid w:val="00111F2F"/>
    <w:rsid w:val="0012008A"/>
    <w:rsid w:val="0014365E"/>
    <w:rsid w:val="00176178"/>
    <w:rsid w:val="001C3BD4"/>
    <w:rsid w:val="001F525A"/>
    <w:rsid w:val="00215BEC"/>
    <w:rsid w:val="00223272"/>
    <w:rsid w:val="00232EAE"/>
    <w:rsid w:val="0024779E"/>
    <w:rsid w:val="00262657"/>
    <w:rsid w:val="00383CE1"/>
    <w:rsid w:val="003E18C1"/>
    <w:rsid w:val="00446FE5"/>
    <w:rsid w:val="00452396"/>
    <w:rsid w:val="004F094E"/>
    <w:rsid w:val="005505B7"/>
    <w:rsid w:val="00573BE5"/>
    <w:rsid w:val="00586ED3"/>
    <w:rsid w:val="00596AA9"/>
    <w:rsid w:val="005F7366"/>
    <w:rsid w:val="00623CA8"/>
    <w:rsid w:val="006E0451"/>
    <w:rsid w:val="00712E6E"/>
    <w:rsid w:val="0071601D"/>
    <w:rsid w:val="00780585"/>
    <w:rsid w:val="00783E9F"/>
    <w:rsid w:val="007A62E6"/>
    <w:rsid w:val="0080684C"/>
    <w:rsid w:val="00871C75"/>
    <w:rsid w:val="008776DC"/>
    <w:rsid w:val="009705C8"/>
    <w:rsid w:val="00984B29"/>
    <w:rsid w:val="009D5F1A"/>
    <w:rsid w:val="00A30353"/>
    <w:rsid w:val="00AC3823"/>
    <w:rsid w:val="00AE323C"/>
    <w:rsid w:val="00B00181"/>
    <w:rsid w:val="00B765F7"/>
    <w:rsid w:val="00BA0CA9"/>
    <w:rsid w:val="00BB0B66"/>
    <w:rsid w:val="00BB19C3"/>
    <w:rsid w:val="00C02897"/>
    <w:rsid w:val="00D3439C"/>
    <w:rsid w:val="00D93905"/>
    <w:rsid w:val="00DB1831"/>
    <w:rsid w:val="00DC0149"/>
    <w:rsid w:val="00DD3BFD"/>
    <w:rsid w:val="00DF6678"/>
    <w:rsid w:val="00F1331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C051DA"/>
  <w15:docId w15:val="{561018D3-0853-4859-8E9D-CFE6DE25B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JAM/CO/16-20" TargetMode="External"/><Relationship Id="rId13" Type="http://schemas.openxmlformats.org/officeDocument/2006/relationships/hyperlink" Target="http://undocs.org/en/CERD/C/JAM/21-24" TargetMode="External"/><Relationship Id="rId18" Type="http://schemas.openxmlformats.org/officeDocument/2006/relationships/hyperlink" Target="http://undocs.org/en/CERD/C/JAM/21-24" TargetMode="External"/><Relationship Id="rId3" Type="http://schemas.openxmlformats.org/officeDocument/2006/relationships/hyperlink" Target="http://undocs.org/en/CERD/C/JAM/21-24" TargetMode="External"/><Relationship Id="rId21" Type="http://schemas.openxmlformats.org/officeDocument/2006/relationships/hyperlink" Target="http://undocs.org/en/CERD/C/JAM/21-24" TargetMode="External"/><Relationship Id="rId7" Type="http://schemas.openxmlformats.org/officeDocument/2006/relationships/hyperlink" Target="http://undocs.org/en/CERD/C/JAM/21-24" TargetMode="External"/><Relationship Id="rId12" Type="http://schemas.openxmlformats.org/officeDocument/2006/relationships/hyperlink" Target="http://undocs.org/en/CERD/C/JAM/CO/16-20" TargetMode="External"/><Relationship Id="rId17" Type="http://schemas.openxmlformats.org/officeDocument/2006/relationships/hyperlink" Target="http://undocs.org/en/CERD/C/JAM/21-24" TargetMode="External"/><Relationship Id="rId2" Type="http://schemas.openxmlformats.org/officeDocument/2006/relationships/hyperlink" Target="http://undocs.org/en/CERD/C/JAM/CO/16-20" TargetMode="External"/><Relationship Id="rId16" Type="http://schemas.openxmlformats.org/officeDocument/2006/relationships/hyperlink" Target="http://undocs.org/en/CERD/C/JAM/CO/16-20" TargetMode="External"/><Relationship Id="rId20" Type="http://schemas.openxmlformats.org/officeDocument/2006/relationships/hyperlink" Target="http://undocs.org/en/CERD/C/JAM/21-24" TargetMode="External"/><Relationship Id="rId1" Type="http://schemas.openxmlformats.org/officeDocument/2006/relationships/hyperlink" Target="http://undocs.org/en/A/65/18" TargetMode="External"/><Relationship Id="rId6" Type="http://schemas.openxmlformats.org/officeDocument/2006/relationships/hyperlink" Target="http://undocs.org/en/CERD/C/JAM/CO/16-20" TargetMode="External"/><Relationship Id="rId11" Type="http://schemas.openxmlformats.org/officeDocument/2006/relationships/hyperlink" Target="http://undocs.org/en/CERD/C/JAM/21-24" TargetMode="External"/><Relationship Id="rId5" Type="http://schemas.openxmlformats.org/officeDocument/2006/relationships/hyperlink" Target="http://undocs.org/en/CERD/C/JAM/21-24" TargetMode="External"/><Relationship Id="rId15" Type="http://schemas.openxmlformats.org/officeDocument/2006/relationships/hyperlink" Target="http://undocs.org/en/CERD/C/JAM/21-24" TargetMode="External"/><Relationship Id="rId23" Type="http://schemas.openxmlformats.org/officeDocument/2006/relationships/hyperlink" Target="http://undocs.org/en/CERD/C/JAM/21-24" TargetMode="External"/><Relationship Id="rId10" Type="http://schemas.openxmlformats.org/officeDocument/2006/relationships/hyperlink" Target="http://undocs.org/en/CERD/C/JAM/CO/16-20" TargetMode="External"/><Relationship Id="rId19" Type="http://schemas.openxmlformats.org/officeDocument/2006/relationships/hyperlink" Target="http://undocs.org/en/CERD/C/JAM/CO/16-20" TargetMode="External"/><Relationship Id="rId4" Type="http://schemas.openxmlformats.org/officeDocument/2006/relationships/hyperlink" Target="http://undocs.org/en/CERD/C/JAM/CO/16-20" TargetMode="External"/><Relationship Id="rId9" Type="http://schemas.openxmlformats.org/officeDocument/2006/relationships/hyperlink" Target="http://undocs.org/en/CERD/C/JAM/21-24" TargetMode="External"/><Relationship Id="rId14" Type="http://schemas.openxmlformats.org/officeDocument/2006/relationships/hyperlink" Target="http://undocs.org/en/CERD/C/JAM/CO/16-20" TargetMode="External"/><Relationship Id="rId22" Type="http://schemas.openxmlformats.org/officeDocument/2006/relationships/hyperlink" Target="http://undocs.org/en/CERD/C/JAM/CO/16-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1588</Words>
  <Characters>9082</Characters>
  <Application>Microsoft Office Word</Application>
  <DocSecurity>0</DocSecurity>
  <Lines>143</Lines>
  <Paragraphs>34</Paragraphs>
  <ScaleCrop>false</ScaleCrop>
  <HeadingPairs>
    <vt:vector size="2" baseType="variant">
      <vt:variant>
        <vt:lpstr>Titre</vt:lpstr>
      </vt:variant>
      <vt:variant>
        <vt:i4>1</vt:i4>
      </vt:variant>
    </vt:vector>
  </HeadingPairs>
  <TitlesOfParts>
    <vt:vector size="1" baseType="lpstr">
      <vt:lpstr>CERD/C/JAM/Q/21-24</vt:lpstr>
    </vt:vector>
  </TitlesOfParts>
  <Company>DCM</Company>
  <LinksUpToDate>false</LinksUpToDate>
  <CharactersWithSpaces>10646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CERD/C/JAM/Q/21-24</dc:title>
  <dc:subject/>
  <dc:creator>Christine CHAUTAGNAT</dc:creator>
  <cp:keywords/>
  <cp:lastModifiedBy>Christine Chautagnat</cp:lastModifiedBy>
  <cp:revision>3</cp:revision>
  <cp:lastPrinted>2022-10-24T11:14:00Z</cp:lastPrinted>
  <dcterms:created xsi:type="dcterms:W3CDTF">2022-10-24T11:14:00Z</dcterms:created>
  <dcterms:modified xsi:type="dcterms:W3CDTF">2022-10-24T11:15:00Z</dcterms:modified>
</cp:coreProperties>
</file>