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2EB6D451" w14:textId="77777777" w:rsidTr="003B4276">
        <w:trPr>
          <w:trHeight w:hRule="exact" w:val="851"/>
        </w:trPr>
        <w:tc>
          <w:tcPr>
            <w:tcW w:w="1280" w:type="dxa"/>
            <w:tcBorders>
              <w:bottom w:val="single" w:sz="4" w:space="0" w:color="auto"/>
            </w:tcBorders>
          </w:tcPr>
          <w:p w14:paraId="23A8A420" w14:textId="77777777" w:rsidR="00A0008A" w:rsidRPr="00F124C6" w:rsidRDefault="00A0008A" w:rsidP="003B4276">
            <w:pPr>
              <w:pStyle w:val="H23GC"/>
            </w:pPr>
          </w:p>
        </w:tc>
        <w:tc>
          <w:tcPr>
            <w:tcW w:w="2273" w:type="dxa"/>
            <w:tcBorders>
              <w:bottom w:val="single" w:sz="4" w:space="0" w:color="auto"/>
            </w:tcBorders>
            <w:vAlign w:val="bottom"/>
          </w:tcPr>
          <w:p w14:paraId="17AD2BC1"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9745391" w14:textId="3FD3C865" w:rsidR="00A0008A" w:rsidRPr="00CC6FCD" w:rsidRDefault="00CC6FCD" w:rsidP="003B4276">
            <w:pPr>
              <w:spacing w:line="240" w:lineRule="atLeast"/>
              <w:jc w:val="right"/>
              <w:rPr>
                <w:sz w:val="20"/>
                <w:szCs w:val="21"/>
              </w:rPr>
            </w:pPr>
            <w:proofErr w:type="spellStart"/>
            <w:r w:rsidRPr="0073652D">
              <w:rPr>
                <w:sz w:val="40"/>
                <w:szCs w:val="21"/>
              </w:rPr>
              <w:t>CED</w:t>
            </w:r>
            <w:proofErr w:type="spellEnd"/>
            <w:r w:rsidRPr="0073652D">
              <w:rPr>
                <w:sz w:val="20"/>
                <w:szCs w:val="21"/>
              </w:rPr>
              <w:t>/C/22/2</w:t>
            </w:r>
          </w:p>
        </w:tc>
      </w:tr>
      <w:tr w:rsidR="00A0008A" w:rsidRPr="00F124C6" w14:paraId="0D5CDCAD" w14:textId="77777777" w:rsidTr="003B4276">
        <w:trPr>
          <w:trHeight w:hRule="exact" w:val="2835"/>
        </w:trPr>
        <w:tc>
          <w:tcPr>
            <w:tcW w:w="1280" w:type="dxa"/>
            <w:tcBorders>
              <w:top w:val="single" w:sz="4" w:space="0" w:color="auto"/>
              <w:bottom w:val="single" w:sz="12" w:space="0" w:color="auto"/>
            </w:tcBorders>
          </w:tcPr>
          <w:p w14:paraId="36FBFDD2" w14:textId="77777777" w:rsidR="00A0008A" w:rsidRPr="00F124C6" w:rsidRDefault="00A0008A" w:rsidP="003B4276">
            <w:pPr>
              <w:spacing w:line="120" w:lineRule="atLeast"/>
              <w:rPr>
                <w:sz w:val="10"/>
                <w:szCs w:val="10"/>
              </w:rPr>
            </w:pPr>
          </w:p>
          <w:p w14:paraId="7C452552"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63AF03E7" wp14:editId="4C35902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B5B84C"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6D6BF8AC"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622FE01C" w14:textId="1FDBAEF2" w:rsidR="00A0008A" w:rsidRPr="00F124C6" w:rsidRDefault="00CC6FCD" w:rsidP="003B4276">
            <w:pPr>
              <w:spacing w:line="240" w:lineRule="atLeast"/>
              <w:rPr>
                <w:sz w:val="20"/>
              </w:rPr>
            </w:pPr>
            <w:r>
              <w:rPr>
                <w:sz w:val="20"/>
              </w:rPr>
              <w:t xml:space="preserve">3 </w:t>
            </w:r>
            <w:r w:rsidRPr="00CC6FCD">
              <w:rPr>
                <w:sz w:val="20"/>
              </w:rPr>
              <w:t>June</w:t>
            </w:r>
            <w:r w:rsidR="00466071">
              <w:rPr>
                <w:sz w:val="20"/>
              </w:rPr>
              <w:t xml:space="preserve"> 20</w:t>
            </w:r>
            <w:r w:rsidR="00622B76">
              <w:rPr>
                <w:sz w:val="20"/>
              </w:rPr>
              <w:t>2</w:t>
            </w:r>
            <w:r>
              <w:rPr>
                <w:sz w:val="20"/>
              </w:rPr>
              <w:t>2</w:t>
            </w:r>
          </w:p>
          <w:p w14:paraId="61B5754D" w14:textId="77777777" w:rsidR="00A0008A" w:rsidRPr="00F124C6" w:rsidRDefault="00A0008A" w:rsidP="003B4276">
            <w:pPr>
              <w:spacing w:line="240" w:lineRule="atLeast"/>
              <w:rPr>
                <w:sz w:val="20"/>
              </w:rPr>
            </w:pPr>
            <w:r w:rsidRPr="00F124C6">
              <w:rPr>
                <w:sz w:val="20"/>
              </w:rPr>
              <w:t xml:space="preserve">Chinese </w:t>
            </w:r>
          </w:p>
          <w:p w14:paraId="0961F0BB" w14:textId="77777777" w:rsidR="00A0008A" w:rsidRPr="00F124C6" w:rsidRDefault="00A0008A" w:rsidP="003B4276">
            <w:pPr>
              <w:spacing w:line="240" w:lineRule="atLeast"/>
            </w:pPr>
            <w:r w:rsidRPr="00F124C6">
              <w:rPr>
                <w:sz w:val="20"/>
              </w:rPr>
              <w:t>Original: English</w:t>
            </w:r>
          </w:p>
        </w:tc>
      </w:tr>
    </w:tbl>
    <w:p w14:paraId="025A9009" w14:textId="77777777" w:rsidR="00CC6FCD" w:rsidRPr="00EF12DB" w:rsidRDefault="00CC6FCD" w:rsidP="00A0008A">
      <w:pPr>
        <w:spacing w:before="120"/>
        <w:rPr>
          <w:rFonts w:eastAsia="黑体"/>
          <w:spacing w:val="10"/>
          <w:sz w:val="24"/>
          <w:szCs w:val="24"/>
        </w:rPr>
      </w:pPr>
      <w:r w:rsidRPr="00EF12DB">
        <w:rPr>
          <w:rFonts w:eastAsia="黑体" w:hint="eastAsia"/>
          <w:spacing w:val="10"/>
          <w:sz w:val="24"/>
          <w:szCs w:val="24"/>
        </w:rPr>
        <w:t>强迫失踪问题委员会</w:t>
      </w:r>
    </w:p>
    <w:p w14:paraId="6DC33F77" w14:textId="77777777" w:rsidR="009224C2" w:rsidRPr="007B279A" w:rsidRDefault="009224C2" w:rsidP="003206A2">
      <w:pPr>
        <w:pStyle w:val="HChGC"/>
      </w:pPr>
      <w:r w:rsidRPr="007B279A">
        <w:rPr>
          <w:lang w:val="zh-CN"/>
        </w:rPr>
        <w:tab/>
      </w:r>
      <w:r w:rsidRPr="007B279A">
        <w:rPr>
          <w:lang w:val="zh-CN"/>
        </w:rPr>
        <w:tab/>
      </w:r>
      <w:r w:rsidRPr="007B279A">
        <w:rPr>
          <w:lang w:val="zh-CN"/>
        </w:rPr>
        <w:t>关于根据《公约》第三十条提</w:t>
      </w:r>
      <w:r w:rsidRPr="007B279A">
        <w:rPr>
          <w:rFonts w:ascii="宋体" w:hAnsi="宋体" w:cs="宋体" w:hint="eastAsia"/>
          <w:lang w:val="zh-CN"/>
        </w:rPr>
        <w:t>交</w:t>
      </w:r>
      <w:r w:rsidRPr="007B279A">
        <w:rPr>
          <w:lang w:val="zh-CN"/>
        </w:rPr>
        <w:t>的紧急行动请求的报告</w:t>
      </w:r>
      <w:r w:rsidRPr="003206A2">
        <w:footnoteReference w:customMarkFollows="1" w:id="2"/>
        <w:t>*</w:t>
      </w:r>
    </w:p>
    <w:p w14:paraId="76669EA8" w14:textId="4FEB5F2B" w:rsidR="009224C2" w:rsidRPr="007B279A" w:rsidRDefault="003206A2" w:rsidP="003206A2">
      <w:pPr>
        <w:pStyle w:val="H1GC"/>
      </w:pPr>
      <w:r>
        <w:rPr>
          <w:lang w:val="zh-CN"/>
        </w:rPr>
        <w:tab/>
      </w:r>
      <w:r w:rsidR="009224C2" w:rsidRPr="007B279A">
        <w:rPr>
          <w:lang w:val="zh-CN"/>
        </w:rPr>
        <w:t>A.</w:t>
      </w:r>
      <w:r w:rsidR="009224C2" w:rsidRPr="007B279A">
        <w:rPr>
          <w:lang w:val="zh-CN"/>
        </w:rPr>
        <w:tab/>
      </w:r>
      <w:r w:rsidR="009224C2" w:rsidRPr="007B279A">
        <w:rPr>
          <w:lang w:val="zh-CN"/>
        </w:rPr>
        <w:t>导言</w:t>
      </w:r>
    </w:p>
    <w:p w14:paraId="59E1788F" w14:textId="77777777" w:rsidR="009224C2" w:rsidRPr="007B279A" w:rsidRDefault="009224C2" w:rsidP="009224C2">
      <w:pPr>
        <w:pStyle w:val="SingleTxtGC"/>
        <w:tabs>
          <w:tab w:val="clear" w:pos="431"/>
        </w:tabs>
      </w:pPr>
      <w:r w:rsidRPr="007B279A">
        <w:rPr>
          <w:lang w:val="zh-CN"/>
        </w:rPr>
        <w:t>1.</w:t>
      </w:r>
      <w:r w:rsidRPr="007B279A">
        <w:rPr>
          <w:lang w:val="zh-CN"/>
        </w:rPr>
        <w:tab/>
      </w:r>
      <w:r w:rsidRPr="007B279A">
        <w:rPr>
          <w:lang w:val="zh-CN"/>
        </w:rPr>
        <w:t>依照委员会《议事规则》第</w:t>
      </w:r>
      <w:r w:rsidRPr="007B279A">
        <w:rPr>
          <w:lang w:val="zh-CN"/>
        </w:rPr>
        <w:t>57</w:t>
      </w:r>
      <w:r w:rsidRPr="007B279A">
        <w:rPr>
          <w:lang w:val="zh-CN"/>
        </w:rPr>
        <w:t>和第</w:t>
      </w:r>
      <w:r w:rsidRPr="007B279A">
        <w:rPr>
          <w:lang w:val="zh-CN"/>
        </w:rPr>
        <w:t>58</w:t>
      </w:r>
      <w:r w:rsidRPr="007B279A">
        <w:rPr>
          <w:lang w:val="zh-CN"/>
        </w:rPr>
        <w:t>条，根据《公约》第三十条提交委员会审议的所有紧急行动请求均应提请委员会注意。如有委员会委员索要，可以原文将任何此类请求全文提供给该委员。本报告总结了委员会第二十一届会议以来已就根据《公约》第三十条提交的紧急行动请求着手处理的主要问题以及</w:t>
      </w:r>
      <w:proofErr w:type="gramStart"/>
      <w:r w:rsidRPr="007B279A">
        <w:rPr>
          <w:lang w:val="zh-CN"/>
        </w:rPr>
        <w:t>作出</w:t>
      </w:r>
      <w:proofErr w:type="gramEnd"/>
      <w:r w:rsidRPr="007B279A">
        <w:rPr>
          <w:lang w:val="zh-CN"/>
        </w:rPr>
        <w:t>的决定。</w:t>
      </w:r>
    </w:p>
    <w:p w14:paraId="39DAE496" w14:textId="36DF77C3" w:rsidR="009224C2" w:rsidRPr="007B279A" w:rsidRDefault="003206A2" w:rsidP="003206A2">
      <w:pPr>
        <w:pStyle w:val="H1GC"/>
      </w:pPr>
      <w:r>
        <w:rPr>
          <w:lang w:val="zh-CN"/>
        </w:rPr>
        <w:tab/>
      </w:r>
      <w:r w:rsidR="009224C2" w:rsidRPr="007B279A">
        <w:rPr>
          <w:lang w:val="zh-CN"/>
        </w:rPr>
        <w:t>B.</w:t>
      </w:r>
      <w:r w:rsidR="009224C2" w:rsidRPr="007B279A">
        <w:rPr>
          <w:lang w:val="zh-CN"/>
        </w:rPr>
        <w:tab/>
      </w:r>
      <w:r w:rsidR="009224C2" w:rsidRPr="007B279A">
        <w:rPr>
          <w:lang w:val="zh-CN"/>
        </w:rPr>
        <w:t>委员会第二十一届会议以来收到的紧急行动请求</w:t>
      </w:r>
    </w:p>
    <w:p w14:paraId="1D8011C8" w14:textId="305504E1" w:rsidR="009224C2" w:rsidRPr="007B279A" w:rsidRDefault="009224C2" w:rsidP="009224C2">
      <w:pPr>
        <w:pStyle w:val="SingleTxtGC"/>
        <w:tabs>
          <w:tab w:val="clear" w:pos="431"/>
        </w:tabs>
      </w:pPr>
      <w:r w:rsidRPr="007B279A">
        <w:rPr>
          <w:lang w:val="zh-CN"/>
        </w:rPr>
        <w:t>2.</w:t>
      </w:r>
      <w:r w:rsidRPr="007B279A">
        <w:rPr>
          <w:lang w:val="zh-CN"/>
        </w:rPr>
        <w:tab/>
      </w:r>
      <w:r w:rsidRPr="007B279A">
        <w:rPr>
          <w:lang w:val="zh-CN"/>
        </w:rPr>
        <w:t>委员会在第二十一届会议上通过的关于紧急行动请求的报告</w:t>
      </w:r>
      <w:r w:rsidRPr="001C4C32">
        <w:rPr>
          <w:rStyle w:val="a8"/>
          <w:rFonts w:eastAsia="宋体"/>
        </w:rPr>
        <w:footnoteReference w:id="3"/>
      </w:r>
      <w:r w:rsidR="001031D1">
        <w:rPr>
          <w:rFonts w:hint="eastAsia"/>
          <w:lang w:val="zh-CN"/>
        </w:rPr>
        <w:t xml:space="preserve"> </w:t>
      </w:r>
      <w:r w:rsidRPr="007B279A">
        <w:rPr>
          <w:lang w:val="zh-CN"/>
        </w:rPr>
        <w:t>中，介绍了就截至</w:t>
      </w:r>
      <w:r w:rsidRPr="007B279A">
        <w:rPr>
          <w:lang w:val="zh-CN"/>
        </w:rPr>
        <w:t>2021</w:t>
      </w:r>
      <w:r w:rsidRPr="007B279A">
        <w:rPr>
          <w:lang w:val="zh-CN"/>
        </w:rPr>
        <w:t>年</w:t>
      </w:r>
      <w:r w:rsidRPr="007B279A">
        <w:rPr>
          <w:lang w:val="zh-CN"/>
        </w:rPr>
        <w:t>9</w:t>
      </w:r>
      <w:r w:rsidRPr="007B279A">
        <w:rPr>
          <w:lang w:val="zh-CN"/>
        </w:rPr>
        <w:t>月</w:t>
      </w:r>
      <w:r w:rsidRPr="007B279A">
        <w:rPr>
          <w:lang w:val="zh-CN"/>
        </w:rPr>
        <w:t>15</w:t>
      </w:r>
      <w:r w:rsidRPr="007B279A">
        <w:rPr>
          <w:lang w:val="zh-CN"/>
        </w:rPr>
        <w:t>日登记的</w:t>
      </w:r>
      <w:r w:rsidRPr="007B279A">
        <w:rPr>
          <w:lang w:val="zh-CN"/>
        </w:rPr>
        <w:t>1,410</w:t>
      </w:r>
      <w:r w:rsidRPr="007B279A">
        <w:rPr>
          <w:lang w:val="zh-CN"/>
        </w:rPr>
        <w:t>项紧急行动请求所作的决定和看到的趋势。从该日起至</w:t>
      </w:r>
      <w:r w:rsidRPr="007B279A">
        <w:rPr>
          <w:lang w:val="zh-CN"/>
        </w:rPr>
        <w:t>2022</w:t>
      </w:r>
      <w:r w:rsidRPr="007B279A">
        <w:rPr>
          <w:lang w:val="zh-CN"/>
        </w:rPr>
        <w:t>年</w:t>
      </w:r>
      <w:r w:rsidRPr="007B279A">
        <w:rPr>
          <w:lang w:val="zh-CN"/>
        </w:rPr>
        <w:t>4</w:t>
      </w:r>
      <w:r w:rsidRPr="007B279A">
        <w:rPr>
          <w:lang w:val="zh-CN"/>
        </w:rPr>
        <w:t>月</w:t>
      </w:r>
      <w:r w:rsidRPr="007B279A">
        <w:rPr>
          <w:lang w:val="zh-CN"/>
        </w:rPr>
        <w:t>8</w:t>
      </w:r>
      <w:r w:rsidRPr="007B279A">
        <w:rPr>
          <w:lang w:val="zh-CN"/>
        </w:rPr>
        <w:t>日，委员会收到了</w:t>
      </w:r>
      <w:r w:rsidRPr="007B279A">
        <w:rPr>
          <w:lang w:val="zh-CN"/>
        </w:rPr>
        <w:t>85</w:t>
      </w:r>
      <w:r w:rsidRPr="007B279A">
        <w:rPr>
          <w:lang w:val="zh-CN"/>
        </w:rPr>
        <w:t>项新的紧急行动请求，其中</w:t>
      </w:r>
      <w:r w:rsidRPr="007B279A">
        <w:rPr>
          <w:lang w:val="zh-CN"/>
        </w:rPr>
        <w:t>81</w:t>
      </w:r>
      <w:r w:rsidRPr="007B279A">
        <w:rPr>
          <w:lang w:val="zh-CN"/>
        </w:rPr>
        <w:t>项已登记。两项请求未予登记，因为每起案件中的强迫失踪都始于《公约》对有关国家生效之前。按照既定做法，上述请求已转交强迫或非自愿失踪问题工作组。第三项请求中没有足够的资料来确定事实。第四项请求未予登记，因为提出紧急行动请求后立即找到了失踪者。登记的</w:t>
      </w:r>
      <w:r w:rsidRPr="007B279A">
        <w:rPr>
          <w:lang w:val="zh-CN"/>
        </w:rPr>
        <w:t>81</w:t>
      </w:r>
      <w:r w:rsidRPr="007B279A">
        <w:rPr>
          <w:lang w:val="zh-CN"/>
        </w:rPr>
        <w:t>项新请求涉及伊拉克、墨西哥、阿曼、苏丹和乌克兰的失踪案件。</w:t>
      </w:r>
    </w:p>
    <w:p w14:paraId="5536DD7A" w14:textId="77777777" w:rsidR="009224C2" w:rsidRPr="007B279A" w:rsidRDefault="009224C2" w:rsidP="009224C2">
      <w:pPr>
        <w:pStyle w:val="SingleTxtGC"/>
        <w:tabs>
          <w:tab w:val="clear" w:pos="431"/>
        </w:tabs>
      </w:pPr>
      <w:r w:rsidRPr="007B279A">
        <w:rPr>
          <w:lang w:val="zh-CN"/>
        </w:rPr>
        <w:t>3.</w:t>
      </w:r>
      <w:r w:rsidRPr="007B279A">
        <w:rPr>
          <w:lang w:val="zh-CN"/>
        </w:rPr>
        <w:tab/>
      </w:r>
      <w:r w:rsidRPr="007B279A">
        <w:rPr>
          <w:lang w:val="zh-CN"/>
        </w:rPr>
        <w:t>如下表所示，截至</w:t>
      </w:r>
      <w:r w:rsidRPr="007B279A">
        <w:rPr>
          <w:lang w:val="zh-CN"/>
        </w:rPr>
        <w:t>2022</w:t>
      </w:r>
      <w:r w:rsidRPr="007B279A">
        <w:rPr>
          <w:lang w:val="zh-CN"/>
        </w:rPr>
        <w:t>年</w:t>
      </w:r>
      <w:r w:rsidRPr="007B279A">
        <w:rPr>
          <w:lang w:val="zh-CN"/>
        </w:rPr>
        <w:t>4</w:t>
      </w:r>
      <w:r w:rsidRPr="007B279A">
        <w:rPr>
          <w:lang w:val="zh-CN"/>
        </w:rPr>
        <w:t>月</w:t>
      </w:r>
      <w:r w:rsidRPr="007B279A">
        <w:rPr>
          <w:lang w:val="zh-CN"/>
        </w:rPr>
        <w:t>8</w:t>
      </w:r>
      <w:r w:rsidRPr="007B279A">
        <w:rPr>
          <w:lang w:val="zh-CN"/>
        </w:rPr>
        <w:t>日，委员会共已登记</w:t>
      </w:r>
      <w:r w:rsidRPr="007B279A">
        <w:rPr>
          <w:lang w:val="zh-CN"/>
        </w:rPr>
        <w:t>1,491</w:t>
      </w:r>
      <w:r w:rsidRPr="007B279A">
        <w:rPr>
          <w:lang w:val="zh-CN"/>
        </w:rPr>
        <w:t>项紧急行动请求。</w:t>
      </w:r>
    </w:p>
    <w:p w14:paraId="34DB7786" w14:textId="4A6490DB" w:rsidR="003206A2" w:rsidRDefault="009224C2" w:rsidP="009224C2">
      <w:pPr>
        <w:pStyle w:val="SingleTxtGC"/>
        <w:tabs>
          <w:tab w:val="clear" w:pos="431"/>
        </w:tabs>
        <w:rPr>
          <w:lang w:val="zh-CN"/>
        </w:rPr>
      </w:pPr>
      <w:r w:rsidRPr="007B279A">
        <w:rPr>
          <w:lang w:val="zh-CN"/>
        </w:rPr>
        <w:t>4.</w:t>
      </w:r>
      <w:r w:rsidRPr="007B279A">
        <w:rPr>
          <w:lang w:val="zh-CN"/>
        </w:rPr>
        <w:tab/>
        <w:t>2020</w:t>
      </w:r>
      <w:r w:rsidRPr="007B279A">
        <w:rPr>
          <w:lang w:val="zh-CN"/>
        </w:rPr>
        <w:t>年，委员会登记了</w:t>
      </w:r>
      <w:r w:rsidRPr="007B279A">
        <w:rPr>
          <w:lang w:val="zh-CN"/>
        </w:rPr>
        <w:t>192</w:t>
      </w:r>
      <w:r w:rsidRPr="007B279A">
        <w:rPr>
          <w:lang w:val="zh-CN"/>
        </w:rPr>
        <w:t>项新的紧急行动请求，并发出了</w:t>
      </w:r>
      <w:r w:rsidRPr="007B279A">
        <w:rPr>
          <w:lang w:val="zh-CN"/>
        </w:rPr>
        <w:t>102</w:t>
      </w:r>
      <w:r w:rsidRPr="007B279A">
        <w:rPr>
          <w:lang w:val="zh-CN"/>
        </w:rPr>
        <w:t>封就强迫失踪的搜寻和调查工作向缔约国提供具体建议的后续照会。</w:t>
      </w:r>
      <w:r w:rsidRPr="007B279A">
        <w:rPr>
          <w:lang w:val="zh-CN"/>
        </w:rPr>
        <w:t>2021</w:t>
      </w:r>
      <w:r w:rsidRPr="007B279A">
        <w:rPr>
          <w:lang w:val="zh-CN"/>
        </w:rPr>
        <w:t>年，委员会登记了</w:t>
      </w:r>
      <w:r w:rsidRPr="007B279A">
        <w:rPr>
          <w:lang w:val="zh-CN"/>
        </w:rPr>
        <w:t>459</w:t>
      </w:r>
      <w:r w:rsidRPr="007B279A">
        <w:rPr>
          <w:lang w:val="zh-CN"/>
        </w:rPr>
        <w:t>项新的紧急行动请求，并发出了</w:t>
      </w:r>
      <w:r w:rsidRPr="007B279A">
        <w:rPr>
          <w:lang w:val="zh-CN"/>
        </w:rPr>
        <w:t>90</w:t>
      </w:r>
      <w:r w:rsidRPr="007B279A">
        <w:rPr>
          <w:lang w:val="zh-CN"/>
        </w:rPr>
        <w:t>封后续照会。委员会强调，</w:t>
      </w:r>
      <w:r w:rsidRPr="007B279A">
        <w:rPr>
          <w:lang w:val="zh-CN"/>
        </w:rPr>
        <w:t>2021</w:t>
      </w:r>
      <w:r w:rsidRPr="007B279A">
        <w:rPr>
          <w:lang w:val="zh-CN"/>
        </w:rPr>
        <w:t>年登记的新的紧急行动请求大幅增加，总数为</w:t>
      </w:r>
      <w:r w:rsidRPr="007B279A">
        <w:rPr>
          <w:rFonts w:hint="eastAsia"/>
          <w:lang w:val="zh-CN"/>
        </w:rPr>
        <w:t>上</w:t>
      </w:r>
      <w:r w:rsidRPr="007B279A">
        <w:rPr>
          <w:lang w:val="zh-CN"/>
        </w:rPr>
        <w:t>一年的</w:t>
      </w:r>
      <w:r w:rsidRPr="007B279A">
        <w:rPr>
          <w:lang w:val="zh-CN"/>
        </w:rPr>
        <w:t>240%</w:t>
      </w:r>
      <w:r w:rsidRPr="007B279A">
        <w:rPr>
          <w:lang w:val="zh-CN"/>
        </w:rPr>
        <w:t>。</w:t>
      </w:r>
    </w:p>
    <w:p w14:paraId="0F15F3FC" w14:textId="77777777" w:rsidR="003206A2" w:rsidRDefault="003206A2">
      <w:pPr>
        <w:tabs>
          <w:tab w:val="clear" w:pos="431"/>
        </w:tabs>
        <w:overflowPunct/>
        <w:adjustRightInd/>
        <w:snapToGrid/>
        <w:spacing w:line="240" w:lineRule="auto"/>
        <w:jc w:val="left"/>
        <w:rPr>
          <w:lang w:val="zh-CN"/>
        </w:rPr>
      </w:pPr>
      <w:r>
        <w:rPr>
          <w:lang w:val="zh-CN"/>
        </w:rPr>
        <w:br w:type="page"/>
      </w:r>
    </w:p>
    <w:p w14:paraId="6285203A" w14:textId="4B00926A" w:rsidR="009224C2" w:rsidRPr="001C4C32" w:rsidRDefault="009224C2" w:rsidP="001C4C32">
      <w:pPr>
        <w:pStyle w:val="SingleTxtGC"/>
        <w:tabs>
          <w:tab w:val="clear" w:pos="431"/>
        </w:tabs>
        <w:ind w:left="0"/>
        <w:rPr>
          <w:rFonts w:ascii="Time New Roman" w:eastAsia="黑体" w:hAnsi="Time New Roman" w:hint="eastAsia"/>
          <w:lang w:val="zh-CN"/>
        </w:rPr>
      </w:pPr>
      <w:r w:rsidRPr="001C4C32">
        <w:rPr>
          <w:rFonts w:ascii="Time New Roman" w:eastAsia="黑体" w:hAnsi="Time New Roman"/>
          <w:lang w:val="zh-CN"/>
        </w:rPr>
        <w:lastRenderedPageBreak/>
        <w:t>截至</w:t>
      </w:r>
      <w:r w:rsidRPr="001C4C32">
        <w:rPr>
          <w:rFonts w:ascii="Time New Roman" w:eastAsia="黑体" w:hAnsi="Time New Roman"/>
          <w:lang w:val="zh-CN"/>
        </w:rPr>
        <w:t>2022</w:t>
      </w:r>
      <w:r w:rsidRPr="001C4C32">
        <w:rPr>
          <w:rFonts w:ascii="Time New Roman" w:eastAsia="黑体" w:hAnsi="Time New Roman"/>
          <w:lang w:val="zh-CN"/>
        </w:rPr>
        <w:t>年</w:t>
      </w:r>
      <w:r w:rsidRPr="001C4C32">
        <w:rPr>
          <w:rFonts w:ascii="Time New Roman" w:eastAsia="黑体" w:hAnsi="Time New Roman"/>
          <w:lang w:val="zh-CN"/>
        </w:rPr>
        <w:t>4</w:t>
      </w:r>
      <w:r w:rsidRPr="001C4C32">
        <w:rPr>
          <w:rFonts w:ascii="Time New Roman" w:eastAsia="黑体" w:hAnsi="Time New Roman"/>
          <w:lang w:val="zh-CN"/>
        </w:rPr>
        <w:t>月</w:t>
      </w:r>
      <w:r w:rsidRPr="001C4C32">
        <w:rPr>
          <w:rFonts w:ascii="Time New Roman" w:eastAsia="黑体" w:hAnsi="Time New Roman"/>
          <w:lang w:val="zh-CN"/>
        </w:rPr>
        <w:t>8</w:t>
      </w:r>
      <w:r w:rsidRPr="001C4C32">
        <w:rPr>
          <w:rFonts w:ascii="Time New Roman" w:eastAsia="黑体" w:hAnsi="Time New Roman"/>
          <w:lang w:val="zh-CN"/>
        </w:rPr>
        <w:t>日登记的紧急行动请求，按年份和缔约国分列</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4"/>
        <w:gridCol w:w="295"/>
        <w:gridCol w:w="295"/>
        <w:gridCol w:w="294"/>
        <w:gridCol w:w="295"/>
        <w:gridCol w:w="294"/>
        <w:gridCol w:w="295"/>
        <w:gridCol w:w="428"/>
        <w:gridCol w:w="473"/>
        <w:gridCol w:w="405"/>
        <w:gridCol w:w="475"/>
        <w:gridCol w:w="295"/>
        <w:gridCol w:w="295"/>
        <w:gridCol w:w="336"/>
        <w:gridCol w:w="295"/>
        <w:gridCol w:w="456"/>
        <w:gridCol w:w="295"/>
        <w:gridCol w:w="294"/>
        <w:gridCol w:w="294"/>
        <w:gridCol w:w="294"/>
        <w:gridCol w:w="400"/>
        <w:gridCol w:w="295"/>
        <w:gridCol w:w="294"/>
        <w:gridCol w:w="294"/>
        <w:gridCol w:w="295"/>
        <w:gridCol w:w="294"/>
        <w:gridCol w:w="295"/>
        <w:gridCol w:w="535"/>
      </w:tblGrid>
      <w:tr w:rsidR="001C4C32" w:rsidRPr="001D67E1" w14:paraId="5F81872E" w14:textId="77777777" w:rsidTr="00351969">
        <w:trPr>
          <w:cantSplit/>
          <w:trHeight w:val="1679"/>
          <w:tblHeader/>
        </w:trPr>
        <w:tc>
          <w:tcPr>
            <w:tcW w:w="567" w:type="dxa"/>
            <w:tcBorders>
              <w:top w:val="single" w:sz="4" w:space="0" w:color="auto"/>
              <w:bottom w:val="single" w:sz="12" w:space="0" w:color="auto"/>
            </w:tcBorders>
            <w:shd w:val="clear" w:color="auto" w:fill="auto"/>
            <w:vAlign w:val="bottom"/>
          </w:tcPr>
          <w:p w14:paraId="3AA0EB25"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年份</w:t>
            </w:r>
          </w:p>
        </w:tc>
        <w:tc>
          <w:tcPr>
            <w:tcW w:w="312" w:type="dxa"/>
            <w:tcBorders>
              <w:top w:val="single" w:sz="4" w:space="0" w:color="auto"/>
              <w:bottom w:val="single" w:sz="12" w:space="0" w:color="auto"/>
            </w:tcBorders>
            <w:shd w:val="clear" w:color="auto" w:fill="auto"/>
            <w:textDirection w:val="btLr"/>
            <w:vAlign w:val="bottom"/>
          </w:tcPr>
          <w:p w14:paraId="4A69B67E"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阿根廷</w:t>
            </w:r>
          </w:p>
        </w:tc>
        <w:tc>
          <w:tcPr>
            <w:tcW w:w="312" w:type="dxa"/>
            <w:tcBorders>
              <w:top w:val="single" w:sz="4" w:space="0" w:color="auto"/>
              <w:bottom w:val="single" w:sz="12" w:space="0" w:color="auto"/>
            </w:tcBorders>
            <w:shd w:val="clear" w:color="auto" w:fill="auto"/>
            <w:textDirection w:val="btLr"/>
            <w:vAlign w:val="bottom"/>
          </w:tcPr>
          <w:p w14:paraId="548AE7A0"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亚美尼亚</w:t>
            </w:r>
          </w:p>
        </w:tc>
        <w:tc>
          <w:tcPr>
            <w:tcW w:w="312" w:type="dxa"/>
            <w:tcBorders>
              <w:top w:val="single" w:sz="4" w:space="0" w:color="auto"/>
              <w:bottom w:val="single" w:sz="12" w:space="0" w:color="auto"/>
            </w:tcBorders>
            <w:shd w:val="clear" w:color="auto" w:fill="auto"/>
            <w:textDirection w:val="btLr"/>
            <w:vAlign w:val="bottom"/>
          </w:tcPr>
          <w:p w14:paraId="6FE4B585"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多民族玻利维亚国</w:t>
            </w:r>
          </w:p>
        </w:tc>
        <w:tc>
          <w:tcPr>
            <w:tcW w:w="312" w:type="dxa"/>
            <w:tcBorders>
              <w:top w:val="single" w:sz="4" w:space="0" w:color="auto"/>
              <w:bottom w:val="single" w:sz="12" w:space="0" w:color="auto"/>
            </w:tcBorders>
            <w:shd w:val="clear" w:color="auto" w:fill="auto"/>
            <w:textDirection w:val="btLr"/>
            <w:vAlign w:val="bottom"/>
          </w:tcPr>
          <w:p w14:paraId="3414ABB3"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巴西</w:t>
            </w:r>
          </w:p>
        </w:tc>
        <w:tc>
          <w:tcPr>
            <w:tcW w:w="312" w:type="dxa"/>
            <w:tcBorders>
              <w:top w:val="single" w:sz="4" w:space="0" w:color="auto"/>
              <w:bottom w:val="single" w:sz="12" w:space="0" w:color="auto"/>
            </w:tcBorders>
            <w:shd w:val="clear" w:color="auto" w:fill="auto"/>
            <w:textDirection w:val="btLr"/>
            <w:vAlign w:val="bottom"/>
          </w:tcPr>
          <w:p w14:paraId="180BB996"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布基纳法索</w:t>
            </w:r>
          </w:p>
        </w:tc>
        <w:tc>
          <w:tcPr>
            <w:tcW w:w="312" w:type="dxa"/>
            <w:tcBorders>
              <w:top w:val="single" w:sz="4" w:space="0" w:color="auto"/>
              <w:bottom w:val="single" w:sz="12" w:space="0" w:color="auto"/>
            </w:tcBorders>
            <w:shd w:val="clear" w:color="auto" w:fill="auto"/>
            <w:textDirection w:val="btLr"/>
            <w:vAlign w:val="bottom"/>
          </w:tcPr>
          <w:p w14:paraId="14DB74E1"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柬埔寨</w:t>
            </w:r>
          </w:p>
        </w:tc>
        <w:tc>
          <w:tcPr>
            <w:tcW w:w="453" w:type="dxa"/>
            <w:tcBorders>
              <w:top w:val="single" w:sz="4" w:space="0" w:color="auto"/>
              <w:bottom w:val="single" w:sz="12" w:space="0" w:color="auto"/>
            </w:tcBorders>
            <w:shd w:val="clear" w:color="auto" w:fill="auto"/>
            <w:textDirection w:val="btLr"/>
            <w:vAlign w:val="bottom"/>
          </w:tcPr>
          <w:p w14:paraId="421F96DB"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哥伦比亚</w:t>
            </w:r>
          </w:p>
        </w:tc>
        <w:tc>
          <w:tcPr>
            <w:tcW w:w="501" w:type="dxa"/>
            <w:tcBorders>
              <w:top w:val="single" w:sz="4" w:space="0" w:color="auto"/>
              <w:bottom w:val="single" w:sz="12" w:space="0" w:color="auto"/>
            </w:tcBorders>
            <w:shd w:val="clear" w:color="auto" w:fill="auto"/>
            <w:textDirection w:val="btLr"/>
            <w:vAlign w:val="bottom"/>
          </w:tcPr>
          <w:p w14:paraId="50EB3576"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古巴</w:t>
            </w:r>
          </w:p>
        </w:tc>
        <w:tc>
          <w:tcPr>
            <w:tcW w:w="429" w:type="dxa"/>
            <w:tcBorders>
              <w:top w:val="single" w:sz="4" w:space="0" w:color="auto"/>
              <w:bottom w:val="single" w:sz="12" w:space="0" w:color="auto"/>
            </w:tcBorders>
            <w:shd w:val="clear" w:color="auto" w:fill="auto"/>
            <w:textDirection w:val="btLr"/>
            <w:vAlign w:val="bottom"/>
          </w:tcPr>
          <w:p w14:paraId="6A6ECAE7"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洪都拉斯</w:t>
            </w:r>
          </w:p>
        </w:tc>
        <w:tc>
          <w:tcPr>
            <w:tcW w:w="503" w:type="dxa"/>
            <w:tcBorders>
              <w:top w:val="single" w:sz="4" w:space="0" w:color="auto"/>
              <w:bottom w:val="single" w:sz="12" w:space="0" w:color="auto"/>
            </w:tcBorders>
            <w:shd w:val="clear" w:color="auto" w:fill="auto"/>
            <w:textDirection w:val="btLr"/>
            <w:vAlign w:val="bottom"/>
          </w:tcPr>
          <w:p w14:paraId="376AF45B"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伊拉克</w:t>
            </w:r>
          </w:p>
        </w:tc>
        <w:tc>
          <w:tcPr>
            <w:tcW w:w="312" w:type="dxa"/>
            <w:tcBorders>
              <w:top w:val="single" w:sz="4" w:space="0" w:color="auto"/>
              <w:bottom w:val="single" w:sz="12" w:space="0" w:color="auto"/>
            </w:tcBorders>
            <w:shd w:val="clear" w:color="auto" w:fill="auto"/>
            <w:textDirection w:val="btLr"/>
            <w:vAlign w:val="bottom"/>
          </w:tcPr>
          <w:p w14:paraId="1D2D2B3D"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哈萨克斯坦</w:t>
            </w:r>
          </w:p>
        </w:tc>
        <w:tc>
          <w:tcPr>
            <w:tcW w:w="312" w:type="dxa"/>
            <w:tcBorders>
              <w:top w:val="single" w:sz="4" w:space="0" w:color="auto"/>
              <w:bottom w:val="single" w:sz="12" w:space="0" w:color="auto"/>
            </w:tcBorders>
            <w:shd w:val="clear" w:color="auto" w:fill="auto"/>
            <w:textDirection w:val="btLr"/>
            <w:vAlign w:val="bottom"/>
          </w:tcPr>
          <w:p w14:paraId="68E09761"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立陶宛</w:t>
            </w:r>
          </w:p>
        </w:tc>
        <w:tc>
          <w:tcPr>
            <w:tcW w:w="357" w:type="dxa"/>
            <w:tcBorders>
              <w:top w:val="single" w:sz="4" w:space="0" w:color="auto"/>
              <w:bottom w:val="single" w:sz="12" w:space="0" w:color="auto"/>
            </w:tcBorders>
            <w:shd w:val="clear" w:color="auto" w:fill="auto"/>
            <w:textDirection w:val="btLr"/>
            <w:vAlign w:val="bottom"/>
          </w:tcPr>
          <w:p w14:paraId="0B1C4460"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马里</w:t>
            </w:r>
          </w:p>
        </w:tc>
        <w:tc>
          <w:tcPr>
            <w:tcW w:w="312" w:type="dxa"/>
            <w:tcBorders>
              <w:top w:val="single" w:sz="4" w:space="0" w:color="auto"/>
              <w:bottom w:val="single" w:sz="12" w:space="0" w:color="auto"/>
            </w:tcBorders>
            <w:shd w:val="clear" w:color="auto" w:fill="auto"/>
            <w:textDirection w:val="btLr"/>
            <w:vAlign w:val="bottom"/>
          </w:tcPr>
          <w:p w14:paraId="5677CC13"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毛里塔尼亚</w:t>
            </w:r>
          </w:p>
        </w:tc>
        <w:tc>
          <w:tcPr>
            <w:tcW w:w="483" w:type="dxa"/>
            <w:tcBorders>
              <w:top w:val="single" w:sz="4" w:space="0" w:color="auto"/>
              <w:bottom w:val="single" w:sz="12" w:space="0" w:color="auto"/>
            </w:tcBorders>
            <w:shd w:val="clear" w:color="auto" w:fill="auto"/>
            <w:textDirection w:val="btLr"/>
            <w:vAlign w:val="bottom"/>
          </w:tcPr>
          <w:p w14:paraId="4CDCCD64"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墨西哥</w:t>
            </w:r>
          </w:p>
        </w:tc>
        <w:tc>
          <w:tcPr>
            <w:tcW w:w="312" w:type="dxa"/>
            <w:tcBorders>
              <w:top w:val="single" w:sz="4" w:space="0" w:color="auto"/>
              <w:bottom w:val="single" w:sz="12" w:space="0" w:color="auto"/>
            </w:tcBorders>
            <w:shd w:val="clear" w:color="auto" w:fill="auto"/>
            <w:textDirection w:val="btLr"/>
            <w:vAlign w:val="bottom"/>
          </w:tcPr>
          <w:p w14:paraId="4DC06306"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摩洛哥</w:t>
            </w:r>
          </w:p>
        </w:tc>
        <w:tc>
          <w:tcPr>
            <w:tcW w:w="312" w:type="dxa"/>
            <w:tcBorders>
              <w:top w:val="single" w:sz="4" w:space="0" w:color="auto"/>
              <w:bottom w:val="single" w:sz="12" w:space="0" w:color="auto"/>
            </w:tcBorders>
            <w:shd w:val="clear" w:color="auto" w:fill="auto"/>
            <w:textDirection w:val="btLr"/>
            <w:vAlign w:val="bottom"/>
          </w:tcPr>
          <w:p w14:paraId="68A3B405"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尼日尔</w:t>
            </w:r>
          </w:p>
        </w:tc>
        <w:tc>
          <w:tcPr>
            <w:tcW w:w="312" w:type="dxa"/>
            <w:tcBorders>
              <w:top w:val="single" w:sz="4" w:space="0" w:color="auto"/>
              <w:bottom w:val="single" w:sz="12" w:space="0" w:color="auto"/>
            </w:tcBorders>
            <w:shd w:val="clear" w:color="auto" w:fill="auto"/>
            <w:textDirection w:val="btLr"/>
            <w:vAlign w:val="bottom"/>
          </w:tcPr>
          <w:p w14:paraId="6B3E11A9"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阿曼</w:t>
            </w:r>
          </w:p>
        </w:tc>
        <w:tc>
          <w:tcPr>
            <w:tcW w:w="312" w:type="dxa"/>
            <w:tcBorders>
              <w:top w:val="single" w:sz="4" w:space="0" w:color="auto"/>
              <w:bottom w:val="single" w:sz="12" w:space="0" w:color="auto"/>
            </w:tcBorders>
            <w:shd w:val="clear" w:color="auto" w:fill="auto"/>
            <w:textDirection w:val="btLr"/>
            <w:vAlign w:val="bottom"/>
          </w:tcPr>
          <w:p w14:paraId="4738652C"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巴拉圭</w:t>
            </w:r>
          </w:p>
        </w:tc>
        <w:tc>
          <w:tcPr>
            <w:tcW w:w="425" w:type="dxa"/>
            <w:tcBorders>
              <w:top w:val="single" w:sz="4" w:space="0" w:color="auto"/>
              <w:bottom w:val="single" w:sz="12" w:space="0" w:color="auto"/>
            </w:tcBorders>
            <w:shd w:val="clear" w:color="auto" w:fill="auto"/>
            <w:textDirection w:val="btLr"/>
            <w:vAlign w:val="bottom"/>
          </w:tcPr>
          <w:p w14:paraId="598E2EA9"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秘鲁</w:t>
            </w:r>
          </w:p>
        </w:tc>
        <w:tc>
          <w:tcPr>
            <w:tcW w:w="312" w:type="dxa"/>
            <w:tcBorders>
              <w:top w:val="single" w:sz="4" w:space="0" w:color="auto"/>
              <w:bottom w:val="single" w:sz="12" w:space="0" w:color="auto"/>
            </w:tcBorders>
            <w:shd w:val="clear" w:color="auto" w:fill="auto"/>
            <w:textDirection w:val="btLr"/>
            <w:vAlign w:val="bottom"/>
          </w:tcPr>
          <w:p w14:paraId="3EA0F5E4"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斯里兰卡</w:t>
            </w:r>
          </w:p>
        </w:tc>
        <w:tc>
          <w:tcPr>
            <w:tcW w:w="312" w:type="dxa"/>
            <w:tcBorders>
              <w:top w:val="single" w:sz="4" w:space="0" w:color="auto"/>
              <w:bottom w:val="single" w:sz="12" w:space="0" w:color="auto"/>
            </w:tcBorders>
            <w:shd w:val="clear" w:color="auto" w:fill="auto"/>
            <w:textDirection w:val="btLr"/>
            <w:vAlign w:val="bottom"/>
          </w:tcPr>
          <w:p w14:paraId="40060644"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斯洛伐克</w:t>
            </w:r>
          </w:p>
        </w:tc>
        <w:tc>
          <w:tcPr>
            <w:tcW w:w="312" w:type="dxa"/>
            <w:tcBorders>
              <w:top w:val="single" w:sz="4" w:space="0" w:color="auto"/>
              <w:bottom w:val="single" w:sz="12" w:space="0" w:color="auto"/>
            </w:tcBorders>
            <w:shd w:val="clear" w:color="auto" w:fill="auto"/>
            <w:textDirection w:val="btLr"/>
            <w:vAlign w:val="bottom"/>
          </w:tcPr>
          <w:p w14:paraId="422B41C2"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苏丹</w:t>
            </w:r>
          </w:p>
        </w:tc>
        <w:tc>
          <w:tcPr>
            <w:tcW w:w="312" w:type="dxa"/>
            <w:tcBorders>
              <w:top w:val="single" w:sz="4" w:space="0" w:color="auto"/>
              <w:bottom w:val="single" w:sz="12" w:space="0" w:color="auto"/>
            </w:tcBorders>
            <w:shd w:val="clear" w:color="auto" w:fill="auto"/>
            <w:textDirection w:val="btLr"/>
            <w:vAlign w:val="bottom"/>
          </w:tcPr>
          <w:p w14:paraId="10868E44"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多哥</w:t>
            </w:r>
          </w:p>
        </w:tc>
        <w:tc>
          <w:tcPr>
            <w:tcW w:w="312" w:type="dxa"/>
            <w:tcBorders>
              <w:top w:val="single" w:sz="4" w:space="0" w:color="auto"/>
              <w:bottom w:val="single" w:sz="12" w:space="0" w:color="auto"/>
            </w:tcBorders>
            <w:shd w:val="clear" w:color="auto" w:fill="auto"/>
            <w:textDirection w:val="btLr"/>
            <w:vAlign w:val="bottom"/>
          </w:tcPr>
          <w:p w14:paraId="150C7191"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突尼斯</w:t>
            </w:r>
          </w:p>
        </w:tc>
        <w:tc>
          <w:tcPr>
            <w:tcW w:w="312" w:type="dxa"/>
            <w:tcBorders>
              <w:top w:val="single" w:sz="4" w:space="0" w:color="auto"/>
              <w:bottom w:val="single" w:sz="12" w:space="0" w:color="auto"/>
            </w:tcBorders>
            <w:shd w:val="clear" w:color="auto" w:fill="auto"/>
            <w:textDirection w:val="btLr"/>
            <w:vAlign w:val="bottom"/>
          </w:tcPr>
          <w:p w14:paraId="196D7742" w14:textId="77777777" w:rsidR="001C4C32" w:rsidRPr="001D67E1" w:rsidRDefault="001C4C32" w:rsidP="002A2873">
            <w:pPr>
              <w:spacing w:before="80" w:after="80" w:line="200" w:lineRule="exact"/>
              <w:ind w:right="113"/>
              <w:rPr>
                <w:rFonts w:ascii="楷体" w:eastAsia="楷体" w:hAnsi="楷体"/>
                <w:sz w:val="18"/>
                <w:szCs w:val="18"/>
              </w:rPr>
            </w:pPr>
            <w:r w:rsidRPr="001D67E1">
              <w:rPr>
                <w:rFonts w:ascii="楷体" w:eastAsia="楷体" w:hAnsi="楷体"/>
                <w:sz w:val="18"/>
                <w:szCs w:val="18"/>
                <w:lang w:val="zh-CN"/>
              </w:rPr>
              <w:t>乌克兰</w:t>
            </w:r>
          </w:p>
        </w:tc>
        <w:tc>
          <w:tcPr>
            <w:tcW w:w="567" w:type="dxa"/>
            <w:tcBorders>
              <w:top w:val="single" w:sz="4" w:space="0" w:color="auto"/>
              <w:bottom w:val="single" w:sz="12" w:space="0" w:color="auto"/>
            </w:tcBorders>
            <w:shd w:val="clear" w:color="auto" w:fill="auto"/>
            <w:tcMar>
              <w:right w:w="28" w:type="dxa"/>
            </w:tcMar>
            <w:vAlign w:val="bottom"/>
          </w:tcPr>
          <w:p w14:paraId="1784DF91" w14:textId="77777777" w:rsidR="001C4C32" w:rsidRPr="001D67E1" w:rsidRDefault="001C4C32" w:rsidP="002A2873">
            <w:pPr>
              <w:spacing w:before="80" w:after="80" w:line="200" w:lineRule="exact"/>
              <w:ind w:right="113"/>
              <w:jc w:val="right"/>
              <w:rPr>
                <w:rFonts w:ascii="楷体" w:eastAsia="楷体" w:hAnsi="楷体"/>
                <w:sz w:val="18"/>
                <w:szCs w:val="18"/>
              </w:rPr>
            </w:pPr>
            <w:r w:rsidRPr="001D67E1">
              <w:rPr>
                <w:rFonts w:ascii="楷体" w:eastAsia="楷体" w:hAnsi="楷体"/>
                <w:sz w:val="18"/>
                <w:szCs w:val="18"/>
                <w:lang w:val="zh-CN"/>
              </w:rPr>
              <w:t>共计</w:t>
            </w:r>
          </w:p>
        </w:tc>
      </w:tr>
      <w:tr w:rsidR="001C4C32" w:rsidRPr="001D67E1" w14:paraId="03E84954" w14:textId="77777777" w:rsidTr="002A2873">
        <w:tc>
          <w:tcPr>
            <w:tcW w:w="567" w:type="dxa"/>
            <w:tcBorders>
              <w:top w:val="single" w:sz="12" w:space="0" w:color="auto"/>
            </w:tcBorders>
            <w:shd w:val="clear" w:color="auto" w:fill="auto"/>
          </w:tcPr>
          <w:p w14:paraId="072BD0D2" w14:textId="77777777" w:rsidR="001C4C32" w:rsidRPr="001D67E1" w:rsidRDefault="001C4C32" w:rsidP="002A2873">
            <w:pPr>
              <w:spacing w:before="40" w:after="40" w:line="220" w:lineRule="exact"/>
              <w:ind w:right="113"/>
              <w:rPr>
                <w:sz w:val="18"/>
                <w:szCs w:val="18"/>
              </w:rPr>
            </w:pPr>
            <w:r w:rsidRPr="001D67E1">
              <w:rPr>
                <w:sz w:val="18"/>
                <w:szCs w:val="18"/>
                <w:lang w:val="zh-CN"/>
              </w:rPr>
              <w:t>2012</w:t>
            </w:r>
          </w:p>
        </w:tc>
        <w:tc>
          <w:tcPr>
            <w:tcW w:w="312" w:type="dxa"/>
            <w:tcBorders>
              <w:top w:val="single" w:sz="12" w:space="0" w:color="auto"/>
            </w:tcBorders>
            <w:shd w:val="clear" w:color="auto" w:fill="auto"/>
            <w:tcMar>
              <w:right w:w="28" w:type="dxa"/>
            </w:tcMar>
            <w:vAlign w:val="bottom"/>
          </w:tcPr>
          <w:p w14:paraId="36F6CB5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tcMar>
              <w:right w:w="28" w:type="dxa"/>
            </w:tcMar>
            <w:vAlign w:val="bottom"/>
          </w:tcPr>
          <w:p w14:paraId="34E404F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vAlign w:val="bottom"/>
          </w:tcPr>
          <w:p w14:paraId="2A9FB706"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tcMar>
              <w:right w:w="28" w:type="dxa"/>
            </w:tcMar>
            <w:vAlign w:val="bottom"/>
          </w:tcPr>
          <w:p w14:paraId="4C3D309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vAlign w:val="bottom"/>
          </w:tcPr>
          <w:p w14:paraId="627E7276"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tcMar>
              <w:right w:w="28" w:type="dxa"/>
            </w:tcMar>
            <w:vAlign w:val="bottom"/>
          </w:tcPr>
          <w:p w14:paraId="27FA1600"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53" w:type="dxa"/>
            <w:tcBorders>
              <w:top w:val="single" w:sz="12" w:space="0" w:color="auto"/>
            </w:tcBorders>
            <w:shd w:val="clear" w:color="auto" w:fill="auto"/>
            <w:tcMar>
              <w:right w:w="28" w:type="dxa"/>
            </w:tcMar>
            <w:vAlign w:val="bottom"/>
          </w:tcPr>
          <w:p w14:paraId="402ABE83"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01" w:type="dxa"/>
            <w:tcBorders>
              <w:top w:val="single" w:sz="12" w:space="0" w:color="auto"/>
            </w:tcBorders>
            <w:shd w:val="clear" w:color="auto" w:fill="auto"/>
            <w:tcMar>
              <w:right w:w="28" w:type="dxa"/>
            </w:tcMar>
            <w:vAlign w:val="bottom"/>
          </w:tcPr>
          <w:p w14:paraId="42DB907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9" w:type="dxa"/>
            <w:tcBorders>
              <w:top w:val="single" w:sz="12" w:space="0" w:color="auto"/>
            </w:tcBorders>
            <w:shd w:val="clear" w:color="auto" w:fill="auto"/>
            <w:tcMar>
              <w:right w:w="28" w:type="dxa"/>
            </w:tcMar>
            <w:vAlign w:val="bottom"/>
          </w:tcPr>
          <w:p w14:paraId="7C42F0A3"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03" w:type="dxa"/>
            <w:tcBorders>
              <w:top w:val="single" w:sz="12" w:space="0" w:color="auto"/>
            </w:tcBorders>
            <w:shd w:val="clear" w:color="auto" w:fill="auto"/>
            <w:tcMar>
              <w:right w:w="28" w:type="dxa"/>
            </w:tcMar>
            <w:vAlign w:val="bottom"/>
          </w:tcPr>
          <w:p w14:paraId="2F16864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tcMar>
              <w:right w:w="28" w:type="dxa"/>
            </w:tcMar>
            <w:vAlign w:val="bottom"/>
          </w:tcPr>
          <w:p w14:paraId="0E29ABA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tcMar>
              <w:right w:w="28" w:type="dxa"/>
            </w:tcMar>
            <w:vAlign w:val="bottom"/>
          </w:tcPr>
          <w:p w14:paraId="6FAB1469"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57" w:type="dxa"/>
            <w:tcBorders>
              <w:top w:val="single" w:sz="12" w:space="0" w:color="auto"/>
            </w:tcBorders>
            <w:shd w:val="clear" w:color="auto" w:fill="auto"/>
            <w:vAlign w:val="bottom"/>
          </w:tcPr>
          <w:p w14:paraId="113AEBD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tcMar>
              <w:right w:w="28" w:type="dxa"/>
            </w:tcMar>
            <w:vAlign w:val="bottom"/>
          </w:tcPr>
          <w:p w14:paraId="1C758B8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83" w:type="dxa"/>
            <w:tcBorders>
              <w:top w:val="single" w:sz="12" w:space="0" w:color="auto"/>
            </w:tcBorders>
            <w:shd w:val="clear" w:color="auto" w:fill="auto"/>
            <w:tcMar>
              <w:right w:w="28" w:type="dxa"/>
            </w:tcMar>
            <w:vAlign w:val="bottom"/>
          </w:tcPr>
          <w:p w14:paraId="64761194"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5</w:t>
            </w:r>
          </w:p>
        </w:tc>
        <w:tc>
          <w:tcPr>
            <w:tcW w:w="312" w:type="dxa"/>
            <w:tcBorders>
              <w:top w:val="single" w:sz="12" w:space="0" w:color="auto"/>
            </w:tcBorders>
            <w:shd w:val="clear" w:color="auto" w:fill="auto"/>
            <w:tcMar>
              <w:right w:w="28" w:type="dxa"/>
            </w:tcMar>
            <w:vAlign w:val="bottom"/>
          </w:tcPr>
          <w:p w14:paraId="208D57A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vAlign w:val="bottom"/>
          </w:tcPr>
          <w:p w14:paraId="6969337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vAlign w:val="bottom"/>
          </w:tcPr>
          <w:p w14:paraId="03E7DE6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vAlign w:val="bottom"/>
          </w:tcPr>
          <w:p w14:paraId="714BF985"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5" w:type="dxa"/>
            <w:tcBorders>
              <w:top w:val="single" w:sz="12" w:space="0" w:color="auto"/>
            </w:tcBorders>
            <w:shd w:val="clear" w:color="auto" w:fill="auto"/>
            <w:vAlign w:val="bottom"/>
          </w:tcPr>
          <w:p w14:paraId="0AB056EF"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tcMar>
              <w:right w:w="28" w:type="dxa"/>
            </w:tcMar>
            <w:vAlign w:val="bottom"/>
          </w:tcPr>
          <w:p w14:paraId="2A03CCC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vAlign w:val="bottom"/>
          </w:tcPr>
          <w:p w14:paraId="6ED44389"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vAlign w:val="bottom"/>
          </w:tcPr>
          <w:p w14:paraId="602FDD06"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tcMar>
              <w:right w:w="28" w:type="dxa"/>
            </w:tcMar>
            <w:vAlign w:val="bottom"/>
          </w:tcPr>
          <w:p w14:paraId="273F0B91"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vAlign w:val="bottom"/>
          </w:tcPr>
          <w:p w14:paraId="38AB921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top w:val="single" w:sz="12" w:space="0" w:color="auto"/>
            </w:tcBorders>
            <w:shd w:val="clear" w:color="auto" w:fill="auto"/>
            <w:tcMar>
              <w:right w:w="28" w:type="dxa"/>
            </w:tcMar>
            <w:vAlign w:val="bottom"/>
          </w:tcPr>
          <w:p w14:paraId="29106315"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67" w:type="dxa"/>
            <w:tcBorders>
              <w:top w:val="single" w:sz="12" w:space="0" w:color="auto"/>
            </w:tcBorders>
            <w:shd w:val="clear" w:color="auto" w:fill="auto"/>
            <w:tcMar>
              <w:right w:w="28" w:type="dxa"/>
            </w:tcMar>
            <w:vAlign w:val="bottom"/>
          </w:tcPr>
          <w:p w14:paraId="74B5F797"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5</w:t>
            </w:r>
          </w:p>
        </w:tc>
      </w:tr>
      <w:tr w:rsidR="001C4C32" w:rsidRPr="001D67E1" w14:paraId="58AA3B5D" w14:textId="77777777" w:rsidTr="002A2873">
        <w:tc>
          <w:tcPr>
            <w:tcW w:w="567" w:type="dxa"/>
            <w:shd w:val="clear" w:color="auto" w:fill="auto"/>
          </w:tcPr>
          <w:p w14:paraId="0151DD88" w14:textId="77777777" w:rsidR="001C4C32" w:rsidRPr="001D67E1" w:rsidRDefault="001C4C32" w:rsidP="002A2873">
            <w:pPr>
              <w:spacing w:before="40" w:after="40" w:line="220" w:lineRule="exact"/>
              <w:ind w:right="113"/>
              <w:rPr>
                <w:sz w:val="18"/>
                <w:szCs w:val="18"/>
              </w:rPr>
            </w:pPr>
            <w:r w:rsidRPr="001D67E1">
              <w:rPr>
                <w:sz w:val="18"/>
                <w:szCs w:val="18"/>
                <w:lang w:val="zh-CN"/>
              </w:rPr>
              <w:t>2013</w:t>
            </w:r>
          </w:p>
        </w:tc>
        <w:tc>
          <w:tcPr>
            <w:tcW w:w="312" w:type="dxa"/>
            <w:shd w:val="clear" w:color="auto" w:fill="auto"/>
            <w:tcMar>
              <w:right w:w="28" w:type="dxa"/>
            </w:tcMar>
            <w:vAlign w:val="bottom"/>
          </w:tcPr>
          <w:p w14:paraId="3CAC5ED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3BBFD71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49AB895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54C17FD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1E531B47"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754A2C09"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53" w:type="dxa"/>
            <w:shd w:val="clear" w:color="auto" w:fill="auto"/>
            <w:tcMar>
              <w:right w:w="28" w:type="dxa"/>
            </w:tcMar>
            <w:vAlign w:val="bottom"/>
          </w:tcPr>
          <w:p w14:paraId="39884CC8"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501" w:type="dxa"/>
            <w:shd w:val="clear" w:color="auto" w:fill="auto"/>
            <w:tcMar>
              <w:right w:w="28" w:type="dxa"/>
            </w:tcMar>
            <w:vAlign w:val="bottom"/>
          </w:tcPr>
          <w:p w14:paraId="3CF663B5"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9" w:type="dxa"/>
            <w:shd w:val="clear" w:color="auto" w:fill="auto"/>
            <w:tcMar>
              <w:right w:w="28" w:type="dxa"/>
            </w:tcMar>
            <w:vAlign w:val="bottom"/>
          </w:tcPr>
          <w:p w14:paraId="535BE26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03" w:type="dxa"/>
            <w:shd w:val="clear" w:color="auto" w:fill="auto"/>
            <w:tcMar>
              <w:right w:w="28" w:type="dxa"/>
            </w:tcMar>
            <w:vAlign w:val="bottom"/>
          </w:tcPr>
          <w:p w14:paraId="070A8156"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39107EE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48E0783F"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57" w:type="dxa"/>
            <w:shd w:val="clear" w:color="auto" w:fill="auto"/>
            <w:vAlign w:val="bottom"/>
          </w:tcPr>
          <w:p w14:paraId="6671E20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39F9EC6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83" w:type="dxa"/>
            <w:shd w:val="clear" w:color="auto" w:fill="auto"/>
            <w:tcMar>
              <w:right w:w="28" w:type="dxa"/>
            </w:tcMar>
            <w:vAlign w:val="bottom"/>
          </w:tcPr>
          <w:p w14:paraId="43EF29E6"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4</w:t>
            </w:r>
          </w:p>
        </w:tc>
        <w:tc>
          <w:tcPr>
            <w:tcW w:w="312" w:type="dxa"/>
            <w:shd w:val="clear" w:color="auto" w:fill="auto"/>
            <w:tcMar>
              <w:right w:w="28" w:type="dxa"/>
            </w:tcMar>
            <w:vAlign w:val="bottom"/>
          </w:tcPr>
          <w:p w14:paraId="4927276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7E1FAC3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201F190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64108B1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5" w:type="dxa"/>
            <w:shd w:val="clear" w:color="auto" w:fill="auto"/>
            <w:vAlign w:val="bottom"/>
          </w:tcPr>
          <w:p w14:paraId="69B4F839"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5EA3A11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4668996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35D28D71"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6988ED4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4503DD11"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40449CF5"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67" w:type="dxa"/>
            <w:shd w:val="clear" w:color="auto" w:fill="auto"/>
            <w:tcMar>
              <w:right w:w="28" w:type="dxa"/>
            </w:tcMar>
            <w:vAlign w:val="bottom"/>
          </w:tcPr>
          <w:p w14:paraId="23463D4B"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5</w:t>
            </w:r>
          </w:p>
        </w:tc>
      </w:tr>
      <w:tr w:rsidR="001C4C32" w:rsidRPr="001D67E1" w14:paraId="1DF72112" w14:textId="77777777" w:rsidTr="002A2873">
        <w:tc>
          <w:tcPr>
            <w:tcW w:w="567" w:type="dxa"/>
            <w:shd w:val="clear" w:color="auto" w:fill="auto"/>
          </w:tcPr>
          <w:p w14:paraId="15B445D1" w14:textId="77777777" w:rsidR="001C4C32" w:rsidRPr="001D67E1" w:rsidRDefault="001C4C32" w:rsidP="002A2873">
            <w:pPr>
              <w:spacing w:before="40" w:after="40" w:line="220" w:lineRule="exact"/>
              <w:ind w:right="113"/>
              <w:rPr>
                <w:sz w:val="18"/>
                <w:szCs w:val="18"/>
              </w:rPr>
            </w:pPr>
            <w:r w:rsidRPr="001D67E1">
              <w:rPr>
                <w:sz w:val="18"/>
                <w:szCs w:val="18"/>
                <w:lang w:val="zh-CN"/>
              </w:rPr>
              <w:t>2014</w:t>
            </w:r>
          </w:p>
        </w:tc>
        <w:tc>
          <w:tcPr>
            <w:tcW w:w="312" w:type="dxa"/>
            <w:shd w:val="clear" w:color="auto" w:fill="auto"/>
            <w:tcMar>
              <w:right w:w="28" w:type="dxa"/>
            </w:tcMar>
            <w:vAlign w:val="bottom"/>
          </w:tcPr>
          <w:p w14:paraId="3FE70D09"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1DEBEF4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7F467A69"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4DD2FA44"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312" w:type="dxa"/>
            <w:shd w:val="clear" w:color="auto" w:fill="auto"/>
            <w:vAlign w:val="bottom"/>
          </w:tcPr>
          <w:p w14:paraId="31D7E0B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41D58AED"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453" w:type="dxa"/>
            <w:shd w:val="clear" w:color="auto" w:fill="auto"/>
            <w:tcMar>
              <w:right w:w="28" w:type="dxa"/>
            </w:tcMar>
            <w:vAlign w:val="bottom"/>
          </w:tcPr>
          <w:p w14:paraId="383F7EE3"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501" w:type="dxa"/>
            <w:shd w:val="clear" w:color="auto" w:fill="auto"/>
            <w:tcMar>
              <w:right w:w="28" w:type="dxa"/>
            </w:tcMar>
            <w:vAlign w:val="bottom"/>
          </w:tcPr>
          <w:p w14:paraId="76F3ADA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9" w:type="dxa"/>
            <w:shd w:val="clear" w:color="auto" w:fill="auto"/>
            <w:tcMar>
              <w:right w:w="28" w:type="dxa"/>
            </w:tcMar>
            <w:vAlign w:val="bottom"/>
          </w:tcPr>
          <w:p w14:paraId="7D5A65D7"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03" w:type="dxa"/>
            <w:shd w:val="clear" w:color="auto" w:fill="auto"/>
            <w:tcMar>
              <w:right w:w="28" w:type="dxa"/>
            </w:tcMar>
            <w:vAlign w:val="bottom"/>
          </w:tcPr>
          <w:p w14:paraId="1001D887"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5</w:t>
            </w:r>
          </w:p>
        </w:tc>
        <w:tc>
          <w:tcPr>
            <w:tcW w:w="312" w:type="dxa"/>
            <w:shd w:val="clear" w:color="auto" w:fill="auto"/>
            <w:tcMar>
              <w:right w:w="28" w:type="dxa"/>
            </w:tcMar>
            <w:vAlign w:val="bottom"/>
          </w:tcPr>
          <w:p w14:paraId="31DC6A6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6FEB4743"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57" w:type="dxa"/>
            <w:shd w:val="clear" w:color="auto" w:fill="auto"/>
            <w:vAlign w:val="bottom"/>
          </w:tcPr>
          <w:p w14:paraId="3019BE9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66B26ED1"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83" w:type="dxa"/>
            <w:shd w:val="clear" w:color="auto" w:fill="auto"/>
            <w:tcMar>
              <w:right w:w="28" w:type="dxa"/>
            </w:tcMar>
            <w:vAlign w:val="bottom"/>
          </w:tcPr>
          <w:p w14:paraId="66522356"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43</w:t>
            </w:r>
          </w:p>
        </w:tc>
        <w:tc>
          <w:tcPr>
            <w:tcW w:w="312" w:type="dxa"/>
            <w:shd w:val="clear" w:color="auto" w:fill="auto"/>
            <w:tcMar>
              <w:right w:w="28" w:type="dxa"/>
            </w:tcMar>
            <w:vAlign w:val="bottom"/>
          </w:tcPr>
          <w:p w14:paraId="78228B2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60417377"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49F798D6"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3AAF263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5" w:type="dxa"/>
            <w:shd w:val="clear" w:color="auto" w:fill="auto"/>
            <w:vAlign w:val="bottom"/>
          </w:tcPr>
          <w:p w14:paraId="6C597846"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3F67F809"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12A34C9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1DBEC04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39E277A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4015D73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20EDB7F0"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67" w:type="dxa"/>
            <w:shd w:val="clear" w:color="auto" w:fill="auto"/>
            <w:tcMar>
              <w:right w:w="28" w:type="dxa"/>
            </w:tcMar>
            <w:vAlign w:val="bottom"/>
          </w:tcPr>
          <w:p w14:paraId="5AB6480E"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51</w:t>
            </w:r>
          </w:p>
        </w:tc>
      </w:tr>
      <w:tr w:rsidR="001C4C32" w:rsidRPr="001D67E1" w14:paraId="7A59ECE7" w14:textId="77777777" w:rsidTr="002A2873">
        <w:tc>
          <w:tcPr>
            <w:tcW w:w="567" w:type="dxa"/>
            <w:shd w:val="clear" w:color="auto" w:fill="auto"/>
          </w:tcPr>
          <w:p w14:paraId="2CBC7D2B" w14:textId="77777777" w:rsidR="001C4C32" w:rsidRPr="001D67E1" w:rsidRDefault="001C4C32" w:rsidP="002A2873">
            <w:pPr>
              <w:spacing w:before="40" w:after="40" w:line="220" w:lineRule="exact"/>
              <w:ind w:right="113"/>
              <w:rPr>
                <w:sz w:val="18"/>
                <w:szCs w:val="18"/>
              </w:rPr>
            </w:pPr>
            <w:r w:rsidRPr="001D67E1">
              <w:rPr>
                <w:sz w:val="18"/>
                <w:szCs w:val="18"/>
                <w:lang w:val="zh-CN"/>
              </w:rPr>
              <w:t>2015</w:t>
            </w:r>
          </w:p>
        </w:tc>
        <w:tc>
          <w:tcPr>
            <w:tcW w:w="312" w:type="dxa"/>
            <w:shd w:val="clear" w:color="auto" w:fill="auto"/>
            <w:tcMar>
              <w:right w:w="28" w:type="dxa"/>
            </w:tcMar>
            <w:vAlign w:val="bottom"/>
          </w:tcPr>
          <w:p w14:paraId="561A94F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54D29AD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2E8BA17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3DBD5CB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249BC60F"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0709E98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53" w:type="dxa"/>
            <w:shd w:val="clear" w:color="auto" w:fill="auto"/>
            <w:tcMar>
              <w:right w:w="28" w:type="dxa"/>
            </w:tcMar>
            <w:vAlign w:val="bottom"/>
          </w:tcPr>
          <w:p w14:paraId="225146E6"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3</w:t>
            </w:r>
          </w:p>
        </w:tc>
        <w:tc>
          <w:tcPr>
            <w:tcW w:w="501" w:type="dxa"/>
            <w:shd w:val="clear" w:color="auto" w:fill="auto"/>
            <w:tcMar>
              <w:right w:w="28" w:type="dxa"/>
            </w:tcMar>
            <w:vAlign w:val="bottom"/>
          </w:tcPr>
          <w:p w14:paraId="2319B16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9" w:type="dxa"/>
            <w:shd w:val="clear" w:color="auto" w:fill="auto"/>
            <w:tcMar>
              <w:right w:w="28" w:type="dxa"/>
            </w:tcMar>
            <w:vAlign w:val="bottom"/>
          </w:tcPr>
          <w:p w14:paraId="2BB6CF8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03" w:type="dxa"/>
            <w:shd w:val="clear" w:color="auto" w:fill="auto"/>
            <w:tcMar>
              <w:right w:w="28" w:type="dxa"/>
            </w:tcMar>
            <w:vAlign w:val="bottom"/>
          </w:tcPr>
          <w:p w14:paraId="1F450A9F"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42</w:t>
            </w:r>
          </w:p>
        </w:tc>
        <w:tc>
          <w:tcPr>
            <w:tcW w:w="312" w:type="dxa"/>
            <w:shd w:val="clear" w:color="auto" w:fill="auto"/>
            <w:tcMar>
              <w:right w:w="28" w:type="dxa"/>
            </w:tcMar>
            <w:vAlign w:val="bottom"/>
          </w:tcPr>
          <w:p w14:paraId="36B54AA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63FDE127"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57" w:type="dxa"/>
            <w:shd w:val="clear" w:color="auto" w:fill="auto"/>
            <w:vAlign w:val="bottom"/>
          </w:tcPr>
          <w:p w14:paraId="1DB3720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08296C3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83" w:type="dxa"/>
            <w:shd w:val="clear" w:color="auto" w:fill="auto"/>
            <w:tcMar>
              <w:right w:w="28" w:type="dxa"/>
            </w:tcMar>
            <w:vAlign w:val="bottom"/>
          </w:tcPr>
          <w:p w14:paraId="3829BB12"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166</w:t>
            </w:r>
          </w:p>
        </w:tc>
        <w:tc>
          <w:tcPr>
            <w:tcW w:w="312" w:type="dxa"/>
            <w:shd w:val="clear" w:color="auto" w:fill="auto"/>
            <w:tcMar>
              <w:right w:w="28" w:type="dxa"/>
            </w:tcMar>
            <w:vAlign w:val="bottom"/>
          </w:tcPr>
          <w:p w14:paraId="33FA7EC0"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2BDD641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6755A61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5BD2859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5" w:type="dxa"/>
            <w:shd w:val="clear" w:color="auto" w:fill="auto"/>
            <w:vAlign w:val="bottom"/>
          </w:tcPr>
          <w:p w14:paraId="365CEB7F"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25C32C99"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4B92ABA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54D0A0E7"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62B9995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053C1C70"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6E1B9DE5"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67" w:type="dxa"/>
            <w:shd w:val="clear" w:color="auto" w:fill="auto"/>
            <w:tcMar>
              <w:right w:w="28" w:type="dxa"/>
            </w:tcMar>
            <w:vAlign w:val="bottom"/>
          </w:tcPr>
          <w:p w14:paraId="348556A6"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211</w:t>
            </w:r>
          </w:p>
        </w:tc>
      </w:tr>
      <w:tr w:rsidR="001C4C32" w:rsidRPr="001D67E1" w14:paraId="7254006A" w14:textId="77777777" w:rsidTr="002A2873">
        <w:tc>
          <w:tcPr>
            <w:tcW w:w="567" w:type="dxa"/>
            <w:shd w:val="clear" w:color="auto" w:fill="auto"/>
          </w:tcPr>
          <w:p w14:paraId="66E24883" w14:textId="77777777" w:rsidR="001C4C32" w:rsidRPr="001D67E1" w:rsidRDefault="001C4C32" w:rsidP="002A2873">
            <w:pPr>
              <w:spacing w:before="40" w:after="40" w:line="220" w:lineRule="exact"/>
              <w:ind w:right="113"/>
              <w:rPr>
                <w:sz w:val="18"/>
                <w:szCs w:val="18"/>
              </w:rPr>
            </w:pPr>
            <w:r w:rsidRPr="001D67E1">
              <w:rPr>
                <w:sz w:val="18"/>
                <w:szCs w:val="18"/>
                <w:lang w:val="zh-CN"/>
              </w:rPr>
              <w:t>2016</w:t>
            </w:r>
          </w:p>
        </w:tc>
        <w:tc>
          <w:tcPr>
            <w:tcW w:w="312" w:type="dxa"/>
            <w:shd w:val="clear" w:color="auto" w:fill="auto"/>
            <w:tcMar>
              <w:right w:w="28" w:type="dxa"/>
            </w:tcMar>
            <w:vAlign w:val="bottom"/>
          </w:tcPr>
          <w:p w14:paraId="1204A75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5793FDE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6380968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571CA74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014ABCB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2B35A0F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53" w:type="dxa"/>
            <w:shd w:val="clear" w:color="auto" w:fill="auto"/>
            <w:tcMar>
              <w:right w:w="28" w:type="dxa"/>
            </w:tcMar>
            <w:vAlign w:val="bottom"/>
          </w:tcPr>
          <w:p w14:paraId="436D6605"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4</w:t>
            </w:r>
          </w:p>
        </w:tc>
        <w:tc>
          <w:tcPr>
            <w:tcW w:w="501" w:type="dxa"/>
            <w:shd w:val="clear" w:color="auto" w:fill="auto"/>
            <w:tcMar>
              <w:right w:w="28" w:type="dxa"/>
            </w:tcMar>
            <w:vAlign w:val="bottom"/>
          </w:tcPr>
          <w:p w14:paraId="56EFB2E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9" w:type="dxa"/>
            <w:shd w:val="clear" w:color="auto" w:fill="auto"/>
            <w:tcMar>
              <w:right w:w="28" w:type="dxa"/>
            </w:tcMar>
            <w:vAlign w:val="bottom"/>
          </w:tcPr>
          <w:p w14:paraId="44B0463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03" w:type="dxa"/>
            <w:shd w:val="clear" w:color="auto" w:fill="auto"/>
            <w:tcMar>
              <w:right w:w="28" w:type="dxa"/>
            </w:tcMar>
            <w:vAlign w:val="bottom"/>
          </w:tcPr>
          <w:p w14:paraId="39820864"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22</w:t>
            </w:r>
          </w:p>
        </w:tc>
        <w:tc>
          <w:tcPr>
            <w:tcW w:w="312" w:type="dxa"/>
            <w:shd w:val="clear" w:color="auto" w:fill="auto"/>
            <w:tcMar>
              <w:right w:w="28" w:type="dxa"/>
            </w:tcMar>
            <w:vAlign w:val="bottom"/>
          </w:tcPr>
          <w:p w14:paraId="4C88B37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33593BC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57" w:type="dxa"/>
            <w:shd w:val="clear" w:color="auto" w:fill="auto"/>
            <w:vAlign w:val="bottom"/>
          </w:tcPr>
          <w:p w14:paraId="01577546"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133ABD73"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83" w:type="dxa"/>
            <w:shd w:val="clear" w:color="auto" w:fill="auto"/>
            <w:tcMar>
              <w:right w:w="28" w:type="dxa"/>
            </w:tcMar>
            <w:vAlign w:val="bottom"/>
          </w:tcPr>
          <w:p w14:paraId="4F828F0A"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58</w:t>
            </w:r>
          </w:p>
        </w:tc>
        <w:tc>
          <w:tcPr>
            <w:tcW w:w="312" w:type="dxa"/>
            <w:shd w:val="clear" w:color="auto" w:fill="auto"/>
            <w:tcMar>
              <w:right w:w="28" w:type="dxa"/>
            </w:tcMar>
            <w:vAlign w:val="bottom"/>
          </w:tcPr>
          <w:p w14:paraId="5EB642B1"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312" w:type="dxa"/>
            <w:shd w:val="clear" w:color="auto" w:fill="auto"/>
            <w:vAlign w:val="bottom"/>
          </w:tcPr>
          <w:p w14:paraId="1129708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7DCF621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17F29473"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5" w:type="dxa"/>
            <w:shd w:val="clear" w:color="auto" w:fill="auto"/>
            <w:vAlign w:val="bottom"/>
          </w:tcPr>
          <w:p w14:paraId="5035CAE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3AB6ED6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16BEFD5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380A83F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0674A65F"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441F3A9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7D188A66"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67" w:type="dxa"/>
            <w:shd w:val="clear" w:color="auto" w:fill="auto"/>
            <w:tcMar>
              <w:right w:w="28" w:type="dxa"/>
            </w:tcMar>
            <w:vAlign w:val="bottom"/>
          </w:tcPr>
          <w:p w14:paraId="31826471"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85</w:t>
            </w:r>
          </w:p>
        </w:tc>
      </w:tr>
      <w:tr w:rsidR="001C4C32" w:rsidRPr="001D67E1" w14:paraId="4EA0E5DE" w14:textId="77777777" w:rsidTr="002A2873">
        <w:tc>
          <w:tcPr>
            <w:tcW w:w="567" w:type="dxa"/>
            <w:shd w:val="clear" w:color="auto" w:fill="auto"/>
          </w:tcPr>
          <w:p w14:paraId="1BA0D9A5" w14:textId="77777777" w:rsidR="001C4C32" w:rsidRPr="001D67E1" w:rsidRDefault="001C4C32" w:rsidP="002A2873">
            <w:pPr>
              <w:spacing w:before="40" w:after="40" w:line="220" w:lineRule="exact"/>
              <w:ind w:right="113"/>
              <w:rPr>
                <w:sz w:val="18"/>
                <w:szCs w:val="18"/>
              </w:rPr>
            </w:pPr>
            <w:r w:rsidRPr="001D67E1">
              <w:rPr>
                <w:sz w:val="18"/>
                <w:szCs w:val="18"/>
                <w:lang w:val="zh-CN"/>
              </w:rPr>
              <w:t>2017</w:t>
            </w:r>
          </w:p>
        </w:tc>
        <w:tc>
          <w:tcPr>
            <w:tcW w:w="312" w:type="dxa"/>
            <w:shd w:val="clear" w:color="auto" w:fill="auto"/>
            <w:tcMar>
              <w:right w:w="28" w:type="dxa"/>
            </w:tcMar>
            <w:vAlign w:val="bottom"/>
          </w:tcPr>
          <w:p w14:paraId="04CA6197"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2</w:t>
            </w:r>
          </w:p>
        </w:tc>
        <w:tc>
          <w:tcPr>
            <w:tcW w:w="312" w:type="dxa"/>
            <w:shd w:val="clear" w:color="auto" w:fill="auto"/>
            <w:tcMar>
              <w:right w:w="28" w:type="dxa"/>
            </w:tcMar>
            <w:vAlign w:val="bottom"/>
          </w:tcPr>
          <w:p w14:paraId="630E9EBE"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312" w:type="dxa"/>
            <w:shd w:val="clear" w:color="auto" w:fill="auto"/>
            <w:vAlign w:val="bottom"/>
          </w:tcPr>
          <w:p w14:paraId="42ECC467"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1037740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3A6B8E8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4B48BF2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53" w:type="dxa"/>
            <w:shd w:val="clear" w:color="auto" w:fill="auto"/>
            <w:tcMar>
              <w:right w:w="28" w:type="dxa"/>
            </w:tcMar>
            <w:vAlign w:val="bottom"/>
          </w:tcPr>
          <w:p w14:paraId="40D9B4F3"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3</w:t>
            </w:r>
          </w:p>
        </w:tc>
        <w:tc>
          <w:tcPr>
            <w:tcW w:w="501" w:type="dxa"/>
            <w:shd w:val="clear" w:color="auto" w:fill="auto"/>
            <w:tcMar>
              <w:right w:w="28" w:type="dxa"/>
            </w:tcMar>
            <w:vAlign w:val="bottom"/>
          </w:tcPr>
          <w:p w14:paraId="7AFFA531"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9" w:type="dxa"/>
            <w:shd w:val="clear" w:color="auto" w:fill="auto"/>
            <w:tcMar>
              <w:right w:w="28" w:type="dxa"/>
            </w:tcMar>
            <w:vAlign w:val="bottom"/>
          </w:tcPr>
          <w:p w14:paraId="3C713D9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03" w:type="dxa"/>
            <w:shd w:val="clear" w:color="auto" w:fill="auto"/>
            <w:tcMar>
              <w:right w:w="28" w:type="dxa"/>
            </w:tcMar>
            <w:vAlign w:val="bottom"/>
          </w:tcPr>
          <w:p w14:paraId="5F5590C4"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43</w:t>
            </w:r>
          </w:p>
        </w:tc>
        <w:tc>
          <w:tcPr>
            <w:tcW w:w="312" w:type="dxa"/>
            <w:shd w:val="clear" w:color="auto" w:fill="auto"/>
            <w:tcMar>
              <w:right w:w="28" w:type="dxa"/>
            </w:tcMar>
            <w:vAlign w:val="bottom"/>
          </w:tcPr>
          <w:p w14:paraId="709F9C25"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2</w:t>
            </w:r>
          </w:p>
        </w:tc>
        <w:tc>
          <w:tcPr>
            <w:tcW w:w="312" w:type="dxa"/>
            <w:shd w:val="clear" w:color="auto" w:fill="auto"/>
            <w:tcMar>
              <w:right w:w="28" w:type="dxa"/>
            </w:tcMar>
            <w:vAlign w:val="bottom"/>
          </w:tcPr>
          <w:p w14:paraId="36363BB1"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57" w:type="dxa"/>
            <w:shd w:val="clear" w:color="auto" w:fill="auto"/>
            <w:vAlign w:val="bottom"/>
          </w:tcPr>
          <w:p w14:paraId="599CBFB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6D734463"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483" w:type="dxa"/>
            <w:shd w:val="clear" w:color="auto" w:fill="auto"/>
            <w:tcMar>
              <w:right w:w="28" w:type="dxa"/>
            </w:tcMar>
            <w:vAlign w:val="bottom"/>
          </w:tcPr>
          <w:p w14:paraId="7A138EA9"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31</w:t>
            </w:r>
          </w:p>
        </w:tc>
        <w:tc>
          <w:tcPr>
            <w:tcW w:w="312" w:type="dxa"/>
            <w:shd w:val="clear" w:color="auto" w:fill="auto"/>
            <w:tcMar>
              <w:right w:w="28" w:type="dxa"/>
            </w:tcMar>
            <w:vAlign w:val="bottom"/>
          </w:tcPr>
          <w:p w14:paraId="5B54DD9B"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2</w:t>
            </w:r>
          </w:p>
        </w:tc>
        <w:tc>
          <w:tcPr>
            <w:tcW w:w="312" w:type="dxa"/>
            <w:shd w:val="clear" w:color="auto" w:fill="auto"/>
            <w:vAlign w:val="bottom"/>
          </w:tcPr>
          <w:p w14:paraId="61C67905"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161D9C5F"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09049D0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5" w:type="dxa"/>
            <w:shd w:val="clear" w:color="auto" w:fill="auto"/>
            <w:vAlign w:val="bottom"/>
          </w:tcPr>
          <w:p w14:paraId="110948C6"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2C3999FD"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312" w:type="dxa"/>
            <w:shd w:val="clear" w:color="auto" w:fill="auto"/>
            <w:vAlign w:val="bottom"/>
          </w:tcPr>
          <w:p w14:paraId="38D5526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6AC63A6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51BBD2E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2D97561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21CF8116"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67" w:type="dxa"/>
            <w:shd w:val="clear" w:color="auto" w:fill="auto"/>
            <w:tcMar>
              <w:right w:w="28" w:type="dxa"/>
            </w:tcMar>
            <w:vAlign w:val="bottom"/>
          </w:tcPr>
          <w:p w14:paraId="3097E7B5"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86</w:t>
            </w:r>
          </w:p>
        </w:tc>
      </w:tr>
      <w:tr w:rsidR="001C4C32" w:rsidRPr="001D67E1" w14:paraId="5D450835" w14:textId="77777777" w:rsidTr="002A2873">
        <w:tc>
          <w:tcPr>
            <w:tcW w:w="567" w:type="dxa"/>
            <w:shd w:val="clear" w:color="auto" w:fill="auto"/>
          </w:tcPr>
          <w:p w14:paraId="0D9F4AB2" w14:textId="77777777" w:rsidR="001C4C32" w:rsidRPr="001D67E1" w:rsidRDefault="001C4C32" w:rsidP="002A2873">
            <w:pPr>
              <w:spacing w:before="40" w:after="40" w:line="220" w:lineRule="exact"/>
              <w:ind w:right="113"/>
              <w:rPr>
                <w:sz w:val="18"/>
                <w:szCs w:val="18"/>
              </w:rPr>
            </w:pPr>
            <w:r w:rsidRPr="001D67E1">
              <w:rPr>
                <w:sz w:val="18"/>
                <w:szCs w:val="18"/>
                <w:lang w:val="zh-CN"/>
              </w:rPr>
              <w:t>2018</w:t>
            </w:r>
          </w:p>
        </w:tc>
        <w:tc>
          <w:tcPr>
            <w:tcW w:w="312" w:type="dxa"/>
            <w:shd w:val="clear" w:color="auto" w:fill="auto"/>
            <w:tcMar>
              <w:right w:w="28" w:type="dxa"/>
            </w:tcMar>
            <w:vAlign w:val="bottom"/>
          </w:tcPr>
          <w:p w14:paraId="3301485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5341C60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1D566411"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1649A723"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229D9DB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13B8519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53" w:type="dxa"/>
            <w:shd w:val="clear" w:color="auto" w:fill="auto"/>
            <w:tcMar>
              <w:right w:w="28" w:type="dxa"/>
            </w:tcMar>
            <w:vAlign w:val="bottom"/>
          </w:tcPr>
          <w:p w14:paraId="211E0A95"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9</w:t>
            </w:r>
          </w:p>
        </w:tc>
        <w:tc>
          <w:tcPr>
            <w:tcW w:w="501" w:type="dxa"/>
            <w:shd w:val="clear" w:color="auto" w:fill="auto"/>
            <w:tcMar>
              <w:right w:w="28" w:type="dxa"/>
            </w:tcMar>
            <w:vAlign w:val="bottom"/>
          </w:tcPr>
          <w:p w14:paraId="1888C6FB"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429" w:type="dxa"/>
            <w:shd w:val="clear" w:color="auto" w:fill="auto"/>
            <w:tcMar>
              <w:right w:w="28" w:type="dxa"/>
            </w:tcMar>
            <w:vAlign w:val="bottom"/>
          </w:tcPr>
          <w:p w14:paraId="52463E49"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14</w:t>
            </w:r>
          </w:p>
        </w:tc>
        <w:tc>
          <w:tcPr>
            <w:tcW w:w="503" w:type="dxa"/>
            <w:shd w:val="clear" w:color="auto" w:fill="auto"/>
            <w:tcMar>
              <w:right w:w="28" w:type="dxa"/>
            </w:tcMar>
            <w:vAlign w:val="bottom"/>
          </w:tcPr>
          <w:p w14:paraId="6BD04BB6"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50</w:t>
            </w:r>
          </w:p>
        </w:tc>
        <w:tc>
          <w:tcPr>
            <w:tcW w:w="312" w:type="dxa"/>
            <w:shd w:val="clear" w:color="auto" w:fill="auto"/>
            <w:tcMar>
              <w:right w:w="28" w:type="dxa"/>
            </w:tcMar>
            <w:vAlign w:val="bottom"/>
          </w:tcPr>
          <w:p w14:paraId="30F5731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534DEBE3"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57" w:type="dxa"/>
            <w:shd w:val="clear" w:color="auto" w:fill="auto"/>
            <w:vAlign w:val="bottom"/>
          </w:tcPr>
          <w:p w14:paraId="6F5F40D3"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3446C4E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83" w:type="dxa"/>
            <w:shd w:val="clear" w:color="auto" w:fill="auto"/>
            <w:tcMar>
              <w:right w:w="28" w:type="dxa"/>
            </w:tcMar>
            <w:vAlign w:val="bottom"/>
          </w:tcPr>
          <w:p w14:paraId="19FDB60E"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42</w:t>
            </w:r>
          </w:p>
        </w:tc>
        <w:tc>
          <w:tcPr>
            <w:tcW w:w="312" w:type="dxa"/>
            <w:shd w:val="clear" w:color="auto" w:fill="auto"/>
            <w:tcMar>
              <w:right w:w="28" w:type="dxa"/>
            </w:tcMar>
            <w:vAlign w:val="bottom"/>
          </w:tcPr>
          <w:p w14:paraId="353DF786"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254DB19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30A39706"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0EE5837F"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5" w:type="dxa"/>
            <w:shd w:val="clear" w:color="auto" w:fill="auto"/>
            <w:vAlign w:val="bottom"/>
          </w:tcPr>
          <w:p w14:paraId="15F24919"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0AEB1323"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7749CB07"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64FEB6E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1ABC1417"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2</w:t>
            </w:r>
          </w:p>
        </w:tc>
        <w:tc>
          <w:tcPr>
            <w:tcW w:w="312" w:type="dxa"/>
            <w:shd w:val="clear" w:color="auto" w:fill="auto"/>
            <w:vAlign w:val="bottom"/>
          </w:tcPr>
          <w:p w14:paraId="3C5B6B1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1A28BFD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67" w:type="dxa"/>
            <w:shd w:val="clear" w:color="auto" w:fill="auto"/>
            <w:tcMar>
              <w:right w:w="28" w:type="dxa"/>
            </w:tcMar>
            <w:vAlign w:val="bottom"/>
          </w:tcPr>
          <w:p w14:paraId="2854EE41"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118</w:t>
            </w:r>
          </w:p>
        </w:tc>
      </w:tr>
      <w:tr w:rsidR="001C4C32" w:rsidRPr="001D67E1" w14:paraId="1061B079" w14:textId="77777777" w:rsidTr="002A2873">
        <w:tc>
          <w:tcPr>
            <w:tcW w:w="567" w:type="dxa"/>
            <w:shd w:val="clear" w:color="auto" w:fill="auto"/>
          </w:tcPr>
          <w:p w14:paraId="3C58B5DE" w14:textId="77777777" w:rsidR="001C4C32" w:rsidRPr="001D67E1" w:rsidRDefault="001C4C32" w:rsidP="002A2873">
            <w:pPr>
              <w:spacing w:before="40" w:after="40" w:line="220" w:lineRule="exact"/>
              <w:ind w:right="113"/>
              <w:rPr>
                <w:sz w:val="18"/>
                <w:szCs w:val="18"/>
              </w:rPr>
            </w:pPr>
            <w:r w:rsidRPr="001D67E1">
              <w:rPr>
                <w:sz w:val="18"/>
                <w:szCs w:val="18"/>
                <w:lang w:val="zh-CN"/>
              </w:rPr>
              <w:t>2019</w:t>
            </w:r>
          </w:p>
        </w:tc>
        <w:tc>
          <w:tcPr>
            <w:tcW w:w="312" w:type="dxa"/>
            <w:shd w:val="clear" w:color="auto" w:fill="auto"/>
            <w:tcMar>
              <w:right w:w="28" w:type="dxa"/>
            </w:tcMar>
            <w:vAlign w:val="bottom"/>
          </w:tcPr>
          <w:p w14:paraId="3245CC9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3AC730A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06A31293"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312" w:type="dxa"/>
            <w:shd w:val="clear" w:color="auto" w:fill="auto"/>
            <w:tcMar>
              <w:right w:w="28" w:type="dxa"/>
            </w:tcMar>
            <w:vAlign w:val="bottom"/>
          </w:tcPr>
          <w:p w14:paraId="390C4DF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28170DC3"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1777CB4F"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2</w:t>
            </w:r>
          </w:p>
        </w:tc>
        <w:tc>
          <w:tcPr>
            <w:tcW w:w="453" w:type="dxa"/>
            <w:shd w:val="clear" w:color="auto" w:fill="auto"/>
            <w:tcMar>
              <w:right w:w="28" w:type="dxa"/>
            </w:tcMar>
            <w:vAlign w:val="bottom"/>
          </w:tcPr>
          <w:p w14:paraId="69BF4487"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3</w:t>
            </w:r>
          </w:p>
        </w:tc>
        <w:tc>
          <w:tcPr>
            <w:tcW w:w="501" w:type="dxa"/>
            <w:shd w:val="clear" w:color="auto" w:fill="auto"/>
            <w:tcMar>
              <w:right w:w="28" w:type="dxa"/>
            </w:tcMar>
            <w:vAlign w:val="bottom"/>
          </w:tcPr>
          <w:p w14:paraId="69B4DD09"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3</w:t>
            </w:r>
          </w:p>
        </w:tc>
        <w:tc>
          <w:tcPr>
            <w:tcW w:w="429" w:type="dxa"/>
            <w:shd w:val="clear" w:color="auto" w:fill="auto"/>
            <w:tcMar>
              <w:right w:w="28" w:type="dxa"/>
            </w:tcMar>
            <w:vAlign w:val="bottom"/>
          </w:tcPr>
          <w:p w14:paraId="5A9094F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03" w:type="dxa"/>
            <w:shd w:val="clear" w:color="auto" w:fill="auto"/>
            <w:tcMar>
              <w:right w:w="28" w:type="dxa"/>
            </w:tcMar>
            <w:vAlign w:val="bottom"/>
          </w:tcPr>
          <w:p w14:paraId="77B064E8"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226</w:t>
            </w:r>
          </w:p>
        </w:tc>
        <w:tc>
          <w:tcPr>
            <w:tcW w:w="312" w:type="dxa"/>
            <w:shd w:val="clear" w:color="auto" w:fill="auto"/>
            <w:tcMar>
              <w:right w:w="28" w:type="dxa"/>
            </w:tcMar>
            <w:vAlign w:val="bottom"/>
          </w:tcPr>
          <w:p w14:paraId="451BFE8F"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5E018B8A"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2</w:t>
            </w:r>
          </w:p>
        </w:tc>
        <w:tc>
          <w:tcPr>
            <w:tcW w:w="357" w:type="dxa"/>
            <w:shd w:val="clear" w:color="auto" w:fill="auto"/>
            <w:vAlign w:val="bottom"/>
          </w:tcPr>
          <w:p w14:paraId="7C5313E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1A3099C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83" w:type="dxa"/>
            <w:shd w:val="clear" w:color="auto" w:fill="auto"/>
            <w:tcMar>
              <w:right w:w="28" w:type="dxa"/>
            </w:tcMar>
            <w:vAlign w:val="bottom"/>
          </w:tcPr>
          <w:p w14:paraId="55876A89"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10</w:t>
            </w:r>
          </w:p>
        </w:tc>
        <w:tc>
          <w:tcPr>
            <w:tcW w:w="312" w:type="dxa"/>
            <w:shd w:val="clear" w:color="auto" w:fill="auto"/>
            <w:tcMar>
              <w:right w:w="28" w:type="dxa"/>
            </w:tcMar>
            <w:vAlign w:val="bottom"/>
          </w:tcPr>
          <w:p w14:paraId="470EF96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248323B6"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55FDCC8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049CB8A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5" w:type="dxa"/>
            <w:shd w:val="clear" w:color="auto" w:fill="auto"/>
            <w:vAlign w:val="bottom"/>
          </w:tcPr>
          <w:p w14:paraId="0B64B570"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31914A3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2DD86F6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63378DD3"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6548C0B3"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33158631"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312" w:type="dxa"/>
            <w:shd w:val="clear" w:color="auto" w:fill="auto"/>
            <w:tcMar>
              <w:right w:w="28" w:type="dxa"/>
            </w:tcMar>
            <w:vAlign w:val="bottom"/>
          </w:tcPr>
          <w:p w14:paraId="5BC9E69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67" w:type="dxa"/>
            <w:shd w:val="clear" w:color="auto" w:fill="auto"/>
            <w:tcMar>
              <w:right w:w="28" w:type="dxa"/>
            </w:tcMar>
            <w:vAlign w:val="bottom"/>
          </w:tcPr>
          <w:p w14:paraId="6BA0BC38"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248</w:t>
            </w:r>
          </w:p>
        </w:tc>
      </w:tr>
      <w:tr w:rsidR="001C4C32" w:rsidRPr="001D67E1" w14:paraId="605A6E76" w14:textId="77777777" w:rsidTr="002A2873">
        <w:tc>
          <w:tcPr>
            <w:tcW w:w="567" w:type="dxa"/>
            <w:shd w:val="clear" w:color="auto" w:fill="auto"/>
          </w:tcPr>
          <w:p w14:paraId="0EBBDCD0" w14:textId="77777777" w:rsidR="001C4C32" w:rsidRPr="001D67E1" w:rsidRDefault="001C4C32" w:rsidP="002A2873">
            <w:pPr>
              <w:spacing w:before="40" w:after="40" w:line="220" w:lineRule="exact"/>
              <w:ind w:right="113"/>
              <w:rPr>
                <w:sz w:val="18"/>
                <w:szCs w:val="18"/>
              </w:rPr>
            </w:pPr>
            <w:r w:rsidRPr="001D67E1">
              <w:rPr>
                <w:sz w:val="18"/>
                <w:szCs w:val="18"/>
                <w:lang w:val="zh-CN"/>
              </w:rPr>
              <w:t>2020</w:t>
            </w:r>
          </w:p>
        </w:tc>
        <w:tc>
          <w:tcPr>
            <w:tcW w:w="312" w:type="dxa"/>
            <w:shd w:val="clear" w:color="auto" w:fill="auto"/>
            <w:tcMar>
              <w:right w:w="28" w:type="dxa"/>
            </w:tcMar>
            <w:vAlign w:val="bottom"/>
          </w:tcPr>
          <w:p w14:paraId="5812DCA5"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312" w:type="dxa"/>
            <w:shd w:val="clear" w:color="auto" w:fill="auto"/>
            <w:tcMar>
              <w:right w:w="28" w:type="dxa"/>
            </w:tcMar>
            <w:vAlign w:val="bottom"/>
          </w:tcPr>
          <w:p w14:paraId="66A791E9"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45958E0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1576A273"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0342CB94"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312" w:type="dxa"/>
            <w:shd w:val="clear" w:color="auto" w:fill="auto"/>
            <w:tcMar>
              <w:right w:w="28" w:type="dxa"/>
            </w:tcMar>
            <w:vAlign w:val="bottom"/>
          </w:tcPr>
          <w:p w14:paraId="3488B047"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453" w:type="dxa"/>
            <w:shd w:val="clear" w:color="auto" w:fill="auto"/>
            <w:tcMar>
              <w:right w:w="28" w:type="dxa"/>
            </w:tcMar>
            <w:vAlign w:val="bottom"/>
          </w:tcPr>
          <w:p w14:paraId="7ADF6085"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2</w:t>
            </w:r>
          </w:p>
        </w:tc>
        <w:tc>
          <w:tcPr>
            <w:tcW w:w="501" w:type="dxa"/>
            <w:shd w:val="clear" w:color="auto" w:fill="auto"/>
            <w:tcMar>
              <w:right w:w="28" w:type="dxa"/>
            </w:tcMar>
            <w:vAlign w:val="bottom"/>
          </w:tcPr>
          <w:p w14:paraId="6686BF2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9" w:type="dxa"/>
            <w:shd w:val="clear" w:color="auto" w:fill="auto"/>
            <w:tcMar>
              <w:right w:w="28" w:type="dxa"/>
            </w:tcMar>
            <w:vAlign w:val="bottom"/>
          </w:tcPr>
          <w:p w14:paraId="5A6050A6"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9</w:t>
            </w:r>
          </w:p>
        </w:tc>
        <w:tc>
          <w:tcPr>
            <w:tcW w:w="503" w:type="dxa"/>
            <w:shd w:val="clear" w:color="auto" w:fill="auto"/>
            <w:tcMar>
              <w:right w:w="28" w:type="dxa"/>
            </w:tcMar>
            <w:vAlign w:val="bottom"/>
          </w:tcPr>
          <w:p w14:paraId="3C02D875"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103</w:t>
            </w:r>
          </w:p>
        </w:tc>
        <w:tc>
          <w:tcPr>
            <w:tcW w:w="312" w:type="dxa"/>
            <w:shd w:val="clear" w:color="auto" w:fill="auto"/>
            <w:tcMar>
              <w:right w:w="28" w:type="dxa"/>
            </w:tcMar>
            <w:vAlign w:val="bottom"/>
          </w:tcPr>
          <w:p w14:paraId="5436C669"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5466960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57" w:type="dxa"/>
            <w:shd w:val="clear" w:color="auto" w:fill="auto"/>
            <w:vAlign w:val="bottom"/>
          </w:tcPr>
          <w:p w14:paraId="7E96ED0C"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312" w:type="dxa"/>
            <w:shd w:val="clear" w:color="auto" w:fill="auto"/>
            <w:tcMar>
              <w:right w:w="28" w:type="dxa"/>
            </w:tcMar>
            <w:vAlign w:val="bottom"/>
          </w:tcPr>
          <w:p w14:paraId="7F10E961"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83" w:type="dxa"/>
            <w:shd w:val="clear" w:color="auto" w:fill="auto"/>
            <w:tcMar>
              <w:right w:w="28" w:type="dxa"/>
            </w:tcMar>
            <w:vAlign w:val="bottom"/>
          </w:tcPr>
          <w:p w14:paraId="46D6308A"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57</w:t>
            </w:r>
          </w:p>
        </w:tc>
        <w:tc>
          <w:tcPr>
            <w:tcW w:w="312" w:type="dxa"/>
            <w:shd w:val="clear" w:color="auto" w:fill="auto"/>
            <w:tcMar>
              <w:right w:w="28" w:type="dxa"/>
            </w:tcMar>
            <w:vAlign w:val="bottom"/>
          </w:tcPr>
          <w:p w14:paraId="2210F32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7F4DE567"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312" w:type="dxa"/>
            <w:shd w:val="clear" w:color="auto" w:fill="auto"/>
            <w:vAlign w:val="bottom"/>
          </w:tcPr>
          <w:p w14:paraId="6A669B5F"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7D638E8F"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5" w:type="dxa"/>
            <w:shd w:val="clear" w:color="auto" w:fill="auto"/>
            <w:vAlign w:val="bottom"/>
          </w:tcPr>
          <w:p w14:paraId="6F60F83C"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14</w:t>
            </w:r>
          </w:p>
        </w:tc>
        <w:tc>
          <w:tcPr>
            <w:tcW w:w="312" w:type="dxa"/>
            <w:shd w:val="clear" w:color="auto" w:fill="auto"/>
            <w:tcMar>
              <w:right w:w="28" w:type="dxa"/>
            </w:tcMar>
            <w:vAlign w:val="bottom"/>
          </w:tcPr>
          <w:p w14:paraId="76201266"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476ED5F4"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312" w:type="dxa"/>
            <w:shd w:val="clear" w:color="auto" w:fill="auto"/>
            <w:vAlign w:val="bottom"/>
          </w:tcPr>
          <w:p w14:paraId="0212D81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27F7E9A1"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312" w:type="dxa"/>
            <w:shd w:val="clear" w:color="auto" w:fill="auto"/>
            <w:vAlign w:val="bottom"/>
          </w:tcPr>
          <w:p w14:paraId="6CCA9D1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33F9061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67" w:type="dxa"/>
            <w:shd w:val="clear" w:color="auto" w:fill="auto"/>
            <w:tcMar>
              <w:right w:w="28" w:type="dxa"/>
            </w:tcMar>
            <w:vAlign w:val="bottom"/>
          </w:tcPr>
          <w:p w14:paraId="736AB97A"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192</w:t>
            </w:r>
          </w:p>
        </w:tc>
      </w:tr>
      <w:tr w:rsidR="001C4C32" w:rsidRPr="001D67E1" w14:paraId="1EE5B418" w14:textId="77777777" w:rsidTr="002A2873">
        <w:tc>
          <w:tcPr>
            <w:tcW w:w="567" w:type="dxa"/>
            <w:shd w:val="clear" w:color="auto" w:fill="auto"/>
          </w:tcPr>
          <w:p w14:paraId="084C8980" w14:textId="77777777" w:rsidR="001C4C32" w:rsidRPr="001D67E1" w:rsidRDefault="001C4C32" w:rsidP="002A2873">
            <w:pPr>
              <w:spacing w:before="40" w:after="40" w:line="220" w:lineRule="exact"/>
              <w:ind w:right="113"/>
              <w:rPr>
                <w:sz w:val="18"/>
                <w:szCs w:val="18"/>
              </w:rPr>
            </w:pPr>
            <w:r w:rsidRPr="001D67E1">
              <w:rPr>
                <w:sz w:val="18"/>
                <w:szCs w:val="18"/>
                <w:lang w:val="zh-CN"/>
              </w:rPr>
              <w:t>2021</w:t>
            </w:r>
          </w:p>
        </w:tc>
        <w:tc>
          <w:tcPr>
            <w:tcW w:w="312" w:type="dxa"/>
            <w:shd w:val="clear" w:color="auto" w:fill="auto"/>
            <w:tcMar>
              <w:right w:w="28" w:type="dxa"/>
            </w:tcMar>
            <w:vAlign w:val="bottom"/>
          </w:tcPr>
          <w:p w14:paraId="7B43A4C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6D163A3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08C53A6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115E988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750F1AD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5F864841"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53" w:type="dxa"/>
            <w:shd w:val="clear" w:color="auto" w:fill="auto"/>
            <w:tcMar>
              <w:right w:w="28" w:type="dxa"/>
            </w:tcMar>
            <w:vAlign w:val="bottom"/>
          </w:tcPr>
          <w:p w14:paraId="3D8ED9D4"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153</w:t>
            </w:r>
          </w:p>
        </w:tc>
        <w:tc>
          <w:tcPr>
            <w:tcW w:w="501" w:type="dxa"/>
            <w:shd w:val="clear" w:color="auto" w:fill="auto"/>
            <w:tcMar>
              <w:right w:w="28" w:type="dxa"/>
            </w:tcMar>
            <w:vAlign w:val="bottom"/>
          </w:tcPr>
          <w:p w14:paraId="2C47694B"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188</w:t>
            </w:r>
          </w:p>
        </w:tc>
        <w:tc>
          <w:tcPr>
            <w:tcW w:w="429" w:type="dxa"/>
            <w:shd w:val="clear" w:color="auto" w:fill="auto"/>
            <w:tcMar>
              <w:right w:w="28" w:type="dxa"/>
            </w:tcMar>
            <w:vAlign w:val="bottom"/>
          </w:tcPr>
          <w:p w14:paraId="4A9F1C77"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2</w:t>
            </w:r>
          </w:p>
        </w:tc>
        <w:tc>
          <w:tcPr>
            <w:tcW w:w="503" w:type="dxa"/>
            <w:shd w:val="clear" w:color="auto" w:fill="auto"/>
            <w:tcMar>
              <w:right w:w="28" w:type="dxa"/>
            </w:tcMar>
            <w:vAlign w:val="bottom"/>
          </w:tcPr>
          <w:p w14:paraId="5513E03D"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41</w:t>
            </w:r>
          </w:p>
        </w:tc>
        <w:tc>
          <w:tcPr>
            <w:tcW w:w="312" w:type="dxa"/>
            <w:shd w:val="clear" w:color="auto" w:fill="auto"/>
            <w:tcMar>
              <w:right w:w="28" w:type="dxa"/>
            </w:tcMar>
            <w:vAlign w:val="bottom"/>
          </w:tcPr>
          <w:p w14:paraId="768E6A49"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50906276"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57" w:type="dxa"/>
            <w:shd w:val="clear" w:color="auto" w:fill="auto"/>
            <w:vAlign w:val="bottom"/>
          </w:tcPr>
          <w:p w14:paraId="4E1E3118"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11</w:t>
            </w:r>
          </w:p>
        </w:tc>
        <w:tc>
          <w:tcPr>
            <w:tcW w:w="312" w:type="dxa"/>
            <w:shd w:val="clear" w:color="auto" w:fill="auto"/>
            <w:tcMar>
              <w:right w:w="28" w:type="dxa"/>
            </w:tcMar>
            <w:vAlign w:val="bottom"/>
          </w:tcPr>
          <w:p w14:paraId="774E3298"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83" w:type="dxa"/>
            <w:shd w:val="clear" w:color="auto" w:fill="auto"/>
            <w:tcMar>
              <w:right w:w="28" w:type="dxa"/>
            </w:tcMar>
            <w:vAlign w:val="bottom"/>
          </w:tcPr>
          <w:p w14:paraId="0DF7D8FF"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60</w:t>
            </w:r>
          </w:p>
        </w:tc>
        <w:tc>
          <w:tcPr>
            <w:tcW w:w="312" w:type="dxa"/>
            <w:shd w:val="clear" w:color="auto" w:fill="auto"/>
            <w:tcMar>
              <w:right w:w="28" w:type="dxa"/>
            </w:tcMar>
            <w:vAlign w:val="bottom"/>
          </w:tcPr>
          <w:p w14:paraId="784C7823"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2</w:t>
            </w:r>
          </w:p>
        </w:tc>
        <w:tc>
          <w:tcPr>
            <w:tcW w:w="312" w:type="dxa"/>
            <w:shd w:val="clear" w:color="auto" w:fill="auto"/>
            <w:vAlign w:val="bottom"/>
          </w:tcPr>
          <w:p w14:paraId="28A9DE30"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17BD9A80"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312" w:type="dxa"/>
            <w:shd w:val="clear" w:color="auto" w:fill="auto"/>
            <w:vAlign w:val="bottom"/>
          </w:tcPr>
          <w:p w14:paraId="5FDCE9C7"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425" w:type="dxa"/>
            <w:shd w:val="clear" w:color="auto" w:fill="auto"/>
            <w:vAlign w:val="bottom"/>
          </w:tcPr>
          <w:p w14:paraId="390169D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0646EC5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69E5DA7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31FBC42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22A1D93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vAlign w:val="bottom"/>
          </w:tcPr>
          <w:p w14:paraId="3617489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shd w:val="clear" w:color="auto" w:fill="auto"/>
            <w:tcMar>
              <w:right w:w="28" w:type="dxa"/>
            </w:tcMar>
            <w:vAlign w:val="bottom"/>
          </w:tcPr>
          <w:p w14:paraId="3649478A"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67" w:type="dxa"/>
            <w:shd w:val="clear" w:color="auto" w:fill="auto"/>
            <w:tcMar>
              <w:right w:w="28" w:type="dxa"/>
            </w:tcMar>
            <w:vAlign w:val="bottom"/>
          </w:tcPr>
          <w:p w14:paraId="344A3BD2"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459</w:t>
            </w:r>
          </w:p>
        </w:tc>
      </w:tr>
      <w:tr w:rsidR="001C4C32" w:rsidRPr="001D67E1" w14:paraId="4380E73A" w14:textId="77777777" w:rsidTr="002A2873">
        <w:tc>
          <w:tcPr>
            <w:tcW w:w="567" w:type="dxa"/>
            <w:tcBorders>
              <w:bottom w:val="single" w:sz="4" w:space="0" w:color="auto"/>
            </w:tcBorders>
            <w:shd w:val="clear" w:color="auto" w:fill="auto"/>
          </w:tcPr>
          <w:p w14:paraId="6D3AB729" w14:textId="77777777" w:rsidR="001C4C32" w:rsidRPr="001D67E1" w:rsidRDefault="001C4C32" w:rsidP="002A2873">
            <w:pPr>
              <w:spacing w:before="40" w:after="40" w:line="220" w:lineRule="exact"/>
              <w:ind w:right="113"/>
              <w:rPr>
                <w:sz w:val="18"/>
                <w:szCs w:val="18"/>
              </w:rPr>
            </w:pPr>
            <w:proofErr w:type="spellStart"/>
            <w:r w:rsidRPr="001D67E1">
              <w:rPr>
                <w:sz w:val="18"/>
                <w:szCs w:val="18"/>
              </w:rPr>
              <w:t>2022</w:t>
            </w:r>
            <w:r w:rsidRPr="001D67E1">
              <w:rPr>
                <w:i/>
                <w:iCs/>
                <w:sz w:val="18"/>
                <w:szCs w:val="18"/>
                <w:vertAlign w:val="superscript"/>
              </w:rPr>
              <w:t>a</w:t>
            </w:r>
            <w:proofErr w:type="spellEnd"/>
          </w:p>
        </w:tc>
        <w:tc>
          <w:tcPr>
            <w:tcW w:w="312" w:type="dxa"/>
            <w:tcBorders>
              <w:bottom w:val="single" w:sz="4" w:space="0" w:color="auto"/>
            </w:tcBorders>
            <w:shd w:val="clear" w:color="auto" w:fill="auto"/>
            <w:tcMar>
              <w:right w:w="28" w:type="dxa"/>
            </w:tcMar>
            <w:vAlign w:val="bottom"/>
          </w:tcPr>
          <w:p w14:paraId="009193D0"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bottom w:val="single" w:sz="4" w:space="0" w:color="auto"/>
            </w:tcBorders>
            <w:shd w:val="clear" w:color="auto" w:fill="auto"/>
            <w:tcMar>
              <w:right w:w="28" w:type="dxa"/>
            </w:tcMar>
            <w:vAlign w:val="bottom"/>
          </w:tcPr>
          <w:p w14:paraId="6BE04609"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bottom w:val="single" w:sz="4" w:space="0" w:color="auto"/>
            </w:tcBorders>
            <w:shd w:val="clear" w:color="auto" w:fill="auto"/>
            <w:vAlign w:val="bottom"/>
          </w:tcPr>
          <w:p w14:paraId="15EBBF4F"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bottom w:val="single" w:sz="4" w:space="0" w:color="auto"/>
            </w:tcBorders>
            <w:shd w:val="clear" w:color="auto" w:fill="auto"/>
            <w:tcMar>
              <w:right w:w="28" w:type="dxa"/>
            </w:tcMar>
            <w:vAlign w:val="bottom"/>
          </w:tcPr>
          <w:p w14:paraId="1016F845"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bottom w:val="single" w:sz="4" w:space="0" w:color="auto"/>
            </w:tcBorders>
            <w:shd w:val="clear" w:color="auto" w:fill="auto"/>
            <w:vAlign w:val="bottom"/>
          </w:tcPr>
          <w:p w14:paraId="5C3F15E1"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bottom w:val="single" w:sz="4" w:space="0" w:color="auto"/>
            </w:tcBorders>
            <w:shd w:val="clear" w:color="auto" w:fill="auto"/>
            <w:tcMar>
              <w:right w:w="28" w:type="dxa"/>
            </w:tcMar>
            <w:vAlign w:val="bottom"/>
          </w:tcPr>
          <w:p w14:paraId="7B373605"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53" w:type="dxa"/>
            <w:tcBorders>
              <w:bottom w:val="single" w:sz="4" w:space="0" w:color="auto"/>
            </w:tcBorders>
            <w:shd w:val="clear" w:color="auto" w:fill="auto"/>
            <w:tcMar>
              <w:right w:w="28" w:type="dxa"/>
            </w:tcMar>
            <w:vAlign w:val="bottom"/>
          </w:tcPr>
          <w:p w14:paraId="1020637E"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01" w:type="dxa"/>
            <w:tcBorders>
              <w:bottom w:val="single" w:sz="4" w:space="0" w:color="auto"/>
            </w:tcBorders>
            <w:shd w:val="clear" w:color="auto" w:fill="auto"/>
            <w:tcMar>
              <w:right w:w="28" w:type="dxa"/>
            </w:tcMar>
            <w:vAlign w:val="bottom"/>
          </w:tcPr>
          <w:p w14:paraId="45958E0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9" w:type="dxa"/>
            <w:tcBorders>
              <w:bottom w:val="single" w:sz="4" w:space="0" w:color="auto"/>
            </w:tcBorders>
            <w:shd w:val="clear" w:color="auto" w:fill="auto"/>
            <w:tcMar>
              <w:right w:w="28" w:type="dxa"/>
            </w:tcMar>
            <w:vAlign w:val="bottom"/>
          </w:tcPr>
          <w:p w14:paraId="157741D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503" w:type="dxa"/>
            <w:tcBorders>
              <w:bottom w:val="single" w:sz="4" w:space="0" w:color="auto"/>
            </w:tcBorders>
            <w:shd w:val="clear" w:color="auto" w:fill="auto"/>
            <w:tcMar>
              <w:right w:w="28" w:type="dxa"/>
            </w:tcMar>
            <w:vAlign w:val="bottom"/>
          </w:tcPr>
          <w:p w14:paraId="1B24D881"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20</w:t>
            </w:r>
          </w:p>
        </w:tc>
        <w:tc>
          <w:tcPr>
            <w:tcW w:w="312" w:type="dxa"/>
            <w:tcBorders>
              <w:bottom w:val="single" w:sz="4" w:space="0" w:color="auto"/>
            </w:tcBorders>
            <w:shd w:val="clear" w:color="auto" w:fill="auto"/>
            <w:tcMar>
              <w:right w:w="28" w:type="dxa"/>
            </w:tcMar>
            <w:vAlign w:val="bottom"/>
          </w:tcPr>
          <w:p w14:paraId="6F927DB7"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bottom w:val="single" w:sz="4" w:space="0" w:color="auto"/>
            </w:tcBorders>
            <w:shd w:val="clear" w:color="auto" w:fill="auto"/>
            <w:tcMar>
              <w:right w:w="28" w:type="dxa"/>
            </w:tcMar>
            <w:vAlign w:val="bottom"/>
          </w:tcPr>
          <w:p w14:paraId="61EDBFC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57" w:type="dxa"/>
            <w:tcBorders>
              <w:bottom w:val="single" w:sz="4" w:space="0" w:color="auto"/>
            </w:tcBorders>
            <w:shd w:val="clear" w:color="auto" w:fill="auto"/>
            <w:vAlign w:val="bottom"/>
          </w:tcPr>
          <w:p w14:paraId="78E41215"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bottom w:val="single" w:sz="4" w:space="0" w:color="auto"/>
            </w:tcBorders>
            <w:shd w:val="clear" w:color="auto" w:fill="auto"/>
            <w:tcMar>
              <w:right w:w="28" w:type="dxa"/>
            </w:tcMar>
            <w:vAlign w:val="bottom"/>
          </w:tcPr>
          <w:p w14:paraId="60969E1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83" w:type="dxa"/>
            <w:tcBorders>
              <w:bottom w:val="single" w:sz="4" w:space="0" w:color="auto"/>
            </w:tcBorders>
            <w:shd w:val="clear" w:color="auto" w:fill="auto"/>
            <w:tcMar>
              <w:right w:w="28" w:type="dxa"/>
            </w:tcMar>
            <w:vAlign w:val="bottom"/>
          </w:tcPr>
          <w:p w14:paraId="0D3B0EDB"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8</w:t>
            </w:r>
          </w:p>
        </w:tc>
        <w:tc>
          <w:tcPr>
            <w:tcW w:w="312" w:type="dxa"/>
            <w:tcBorders>
              <w:bottom w:val="single" w:sz="4" w:space="0" w:color="auto"/>
            </w:tcBorders>
            <w:shd w:val="clear" w:color="auto" w:fill="auto"/>
            <w:tcMar>
              <w:right w:w="28" w:type="dxa"/>
            </w:tcMar>
            <w:vAlign w:val="bottom"/>
          </w:tcPr>
          <w:p w14:paraId="2DB593C5"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bottom w:val="single" w:sz="4" w:space="0" w:color="auto"/>
            </w:tcBorders>
            <w:shd w:val="clear" w:color="auto" w:fill="auto"/>
            <w:vAlign w:val="bottom"/>
          </w:tcPr>
          <w:p w14:paraId="29F2A67D"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bottom w:val="single" w:sz="4" w:space="0" w:color="auto"/>
            </w:tcBorders>
            <w:shd w:val="clear" w:color="auto" w:fill="auto"/>
            <w:vAlign w:val="bottom"/>
          </w:tcPr>
          <w:p w14:paraId="5CE9CC8B"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bottom w:val="single" w:sz="4" w:space="0" w:color="auto"/>
            </w:tcBorders>
            <w:shd w:val="clear" w:color="auto" w:fill="auto"/>
            <w:vAlign w:val="bottom"/>
          </w:tcPr>
          <w:p w14:paraId="1058E71C"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425" w:type="dxa"/>
            <w:tcBorders>
              <w:bottom w:val="single" w:sz="4" w:space="0" w:color="auto"/>
            </w:tcBorders>
            <w:shd w:val="clear" w:color="auto" w:fill="auto"/>
            <w:vAlign w:val="bottom"/>
          </w:tcPr>
          <w:p w14:paraId="3DA6E541"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bottom w:val="single" w:sz="4" w:space="0" w:color="auto"/>
            </w:tcBorders>
            <w:shd w:val="clear" w:color="auto" w:fill="auto"/>
            <w:tcMar>
              <w:right w:w="28" w:type="dxa"/>
            </w:tcMar>
            <w:vAlign w:val="bottom"/>
          </w:tcPr>
          <w:p w14:paraId="46B5BE69"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bottom w:val="single" w:sz="4" w:space="0" w:color="auto"/>
            </w:tcBorders>
            <w:shd w:val="clear" w:color="auto" w:fill="auto"/>
            <w:vAlign w:val="bottom"/>
          </w:tcPr>
          <w:p w14:paraId="4556AD24"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bottom w:val="single" w:sz="4" w:space="0" w:color="auto"/>
            </w:tcBorders>
            <w:shd w:val="clear" w:color="auto" w:fill="auto"/>
            <w:vAlign w:val="bottom"/>
          </w:tcPr>
          <w:p w14:paraId="293D269B"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1</w:t>
            </w:r>
          </w:p>
        </w:tc>
        <w:tc>
          <w:tcPr>
            <w:tcW w:w="312" w:type="dxa"/>
            <w:tcBorders>
              <w:bottom w:val="single" w:sz="4" w:space="0" w:color="auto"/>
            </w:tcBorders>
            <w:shd w:val="clear" w:color="auto" w:fill="auto"/>
            <w:tcMar>
              <w:right w:w="28" w:type="dxa"/>
            </w:tcMar>
            <w:vAlign w:val="bottom"/>
          </w:tcPr>
          <w:p w14:paraId="29FECAB2"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bottom w:val="single" w:sz="4" w:space="0" w:color="auto"/>
            </w:tcBorders>
            <w:shd w:val="clear" w:color="auto" w:fill="auto"/>
            <w:vAlign w:val="bottom"/>
          </w:tcPr>
          <w:p w14:paraId="2EB2E5F5" w14:textId="77777777" w:rsidR="001C4C32" w:rsidRPr="001D67E1" w:rsidRDefault="001C4C32" w:rsidP="002A2873">
            <w:pPr>
              <w:spacing w:before="40" w:after="40" w:line="220" w:lineRule="exact"/>
              <w:ind w:right="113"/>
              <w:jc w:val="right"/>
              <w:rPr>
                <w:sz w:val="18"/>
                <w:szCs w:val="18"/>
              </w:rPr>
            </w:pPr>
            <w:r w:rsidRPr="001D67E1">
              <w:rPr>
                <w:sz w:val="18"/>
                <w:szCs w:val="18"/>
              </w:rPr>
              <w:t>-</w:t>
            </w:r>
          </w:p>
        </w:tc>
        <w:tc>
          <w:tcPr>
            <w:tcW w:w="312" w:type="dxa"/>
            <w:tcBorders>
              <w:bottom w:val="single" w:sz="4" w:space="0" w:color="auto"/>
            </w:tcBorders>
            <w:shd w:val="clear" w:color="auto" w:fill="auto"/>
            <w:tcMar>
              <w:right w:w="28" w:type="dxa"/>
            </w:tcMar>
            <w:vAlign w:val="bottom"/>
          </w:tcPr>
          <w:p w14:paraId="202CB2EF" w14:textId="77777777" w:rsidR="001C4C32" w:rsidRPr="001D67E1" w:rsidRDefault="001C4C32" w:rsidP="002A2873">
            <w:pPr>
              <w:spacing w:before="40" w:after="40" w:line="220" w:lineRule="exact"/>
              <w:ind w:right="113"/>
              <w:jc w:val="right"/>
              <w:rPr>
                <w:sz w:val="18"/>
                <w:szCs w:val="18"/>
              </w:rPr>
            </w:pPr>
            <w:r w:rsidRPr="001D67E1">
              <w:rPr>
                <w:sz w:val="18"/>
                <w:szCs w:val="18"/>
                <w:lang w:val="zh-CN"/>
              </w:rPr>
              <w:t>2</w:t>
            </w:r>
          </w:p>
        </w:tc>
        <w:tc>
          <w:tcPr>
            <w:tcW w:w="567" w:type="dxa"/>
            <w:tcBorders>
              <w:bottom w:val="single" w:sz="4" w:space="0" w:color="auto"/>
            </w:tcBorders>
            <w:shd w:val="clear" w:color="auto" w:fill="auto"/>
            <w:tcMar>
              <w:right w:w="28" w:type="dxa"/>
            </w:tcMar>
            <w:vAlign w:val="bottom"/>
          </w:tcPr>
          <w:p w14:paraId="6DD946E0" w14:textId="77777777" w:rsidR="001C4C32" w:rsidRPr="001D67E1" w:rsidDel="003B2DBD" w:rsidRDefault="001C4C32" w:rsidP="002A2873">
            <w:pPr>
              <w:spacing w:before="40" w:after="40" w:line="220" w:lineRule="exact"/>
              <w:ind w:right="113"/>
              <w:jc w:val="right"/>
              <w:rPr>
                <w:sz w:val="18"/>
                <w:szCs w:val="18"/>
              </w:rPr>
            </w:pPr>
            <w:r w:rsidRPr="001D67E1">
              <w:rPr>
                <w:sz w:val="18"/>
                <w:szCs w:val="18"/>
                <w:lang w:val="zh-CN"/>
              </w:rPr>
              <w:t>31</w:t>
            </w:r>
          </w:p>
        </w:tc>
      </w:tr>
      <w:tr w:rsidR="001C4C32" w:rsidRPr="001D67E1" w14:paraId="72D742C6" w14:textId="77777777" w:rsidTr="002A2873">
        <w:tc>
          <w:tcPr>
            <w:tcW w:w="567" w:type="dxa"/>
            <w:tcBorders>
              <w:top w:val="single" w:sz="4" w:space="0" w:color="auto"/>
              <w:bottom w:val="single" w:sz="12" w:space="0" w:color="auto"/>
            </w:tcBorders>
            <w:shd w:val="clear" w:color="auto" w:fill="auto"/>
          </w:tcPr>
          <w:p w14:paraId="43336C9E" w14:textId="77777777" w:rsidR="001C4C32" w:rsidRPr="001D67E1" w:rsidRDefault="001C4C32" w:rsidP="002A2873">
            <w:pPr>
              <w:spacing w:before="80" w:after="80" w:line="220" w:lineRule="exact"/>
              <w:ind w:left="113"/>
              <w:rPr>
                <w:rFonts w:ascii="Time New Roman" w:eastAsia="黑体" w:hAnsi="Time New Roman" w:hint="eastAsia"/>
                <w:sz w:val="18"/>
                <w:szCs w:val="18"/>
              </w:rPr>
            </w:pPr>
            <w:r w:rsidRPr="001D67E1">
              <w:rPr>
                <w:rFonts w:ascii="Time New Roman" w:eastAsia="黑体" w:hAnsi="Time New Roman"/>
                <w:sz w:val="18"/>
                <w:szCs w:val="18"/>
                <w:lang w:val="zh-CN"/>
              </w:rPr>
              <w:t>共计</w:t>
            </w:r>
          </w:p>
        </w:tc>
        <w:tc>
          <w:tcPr>
            <w:tcW w:w="312" w:type="dxa"/>
            <w:tcBorders>
              <w:top w:val="single" w:sz="4" w:space="0" w:color="auto"/>
              <w:bottom w:val="single" w:sz="12" w:space="0" w:color="auto"/>
            </w:tcBorders>
            <w:shd w:val="clear" w:color="auto" w:fill="auto"/>
            <w:tcMar>
              <w:right w:w="28" w:type="dxa"/>
            </w:tcMar>
            <w:vAlign w:val="bottom"/>
          </w:tcPr>
          <w:p w14:paraId="26DACD5B"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3</w:t>
            </w:r>
          </w:p>
        </w:tc>
        <w:tc>
          <w:tcPr>
            <w:tcW w:w="312" w:type="dxa"/>
            <w:tcBorders>
              <w:top w:val="single" w:sz="4" w:space="0" w:color="auto"/>
              <w:bottom w:val="single" w:sz="12" w:space="0" w:color="auto"/>
            </w:tcBorders>
            <w:shd w:val="clear" w:color="auto" w:fill="auto"/>
            <w:tcMar>
              <w:right w:w="28" w:type="dxa"/>
            </w:tcMar>
            <w:vAlign w:val="bottom"/>
          </w:tcPr>
          <w:p w14:paraId="3304DB60"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w:t>
            </w:r>
          </w:p>
        </w:tc>
        <w:tc>
          <w:tcPr>
            <w:tcW w:w="312" w:type="dxa"/>
            <w:tcBorders>
              <w:top w:val="single" w:sz="4" w:space="0" w:color="auto"/>
              <w:bottom w:val="single" w:sz="12" w:space="0" w:color="auto"/>
            </w:tcBorders>
            <w:shd w:val="clear" w:color="auto" w:fill="auto"/>
            <w:vAlign w:val="bottom"/>
          </w:tcPr>
          <w:p w14:paraId="5C60B802"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w:t>
            </w:r>
          </w:p>
        </w:tc>
        <w:tc>
          <w:tcPr>
            <w:tcW w:w="312" w:type="dxa"/>
            <w:tcBorders>
              <w:top w:val="single" w:sz="4" w:space="0" w:color="auto"/>
              <w:bottom w:val="single" w:sz="12" w:space="0" w:color="auto"/>
            </w:tcBorders>
            <w:shd w:val="clear" w:color="auto" w:fill="auto"/>
            <w:tcMar>
              <w:right w:w="28" w:type="dxa"/>
            </w:tcMar>
            <w:vAlign w:val="bottom"/>
          </w:tcPr>
          <w:p w14:paraId="057FFF2B"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w:t>
            </w:r>
          </w:p>
        </w:tc>
        <w:tc>
          <w:tcPr>
            <w:tcW w:w="312" w:type="dxa"/>
            <w:tcBorders>
              <w:top w:val="single" w:sz="4" w:space="0" w:color="auto"/>
              <w:bottom w:val="single" w:sz="12" w:space="0" w:color="auto"/>
            </w:tcBorders>
            <w:shd w:val="clear" w:color="auto" w:fill="auto"/>
            <w:vAlign w:val="bottom"/>
          </w:tcPr>
          <w:p w14:paraId="1A6CD151"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w:t>
            </w:r>
          </w:p>
        </w:tc>
        <w:tc>
          <w:tcPr>
            <w:tcW w:w="312" w:type="dxa"/>
            <w:tcBorders>
              <w:top w:val="single" w:sz="4" w:space="0" w:color="auto"/>
              <w:bottom w:val="single" w:sz="12" w:space="0" w:color="auto"/>
            </w:tcBorders>
            <w:shd w:val="clear" w:color="auto" w:fill="auto"/>
            <w:tcMar>
              <w:right w:w="28" w:type="dxa"/>
            </w:tcMar>
            <w:vAlign w:val="bottom"/>
          </w:tcPr>
          <w:p w14:paraId="5BA6C8D8"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4</w:t>
            </w:r>
          </w:p>
        </w:tc>
        <w:tc>
          <w:tcPr>
            <w:tcW w:w="453" w:type="dxa"/>
            <w:tcBorders>
              <w:top w:val="single" w:sz="4" w:space="0" w:color="auto"/>
              <w:bottom w:val="single" w:sz="12" w:space="0" w:color="auto"/>
            </w:tcBorders>
            <w:shd w:val="clear" w:color="auto" w:fill="auto"/>
            <w:tcMar>
              <w:right w:w="28" w:type="dxa"/>
            </w:tcMar>
            <w:vAlign w:val="bottom"/>
          </w:tcPr>
          <w:p w14:paraId="2873FE0E"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179</w:t>
            </w:r>
          </w:p>
        </w:tc>
        <w:tc>
          <w:tcPr>
            <w:tcW w:w="501" w:type="dxa"/>
            <w:tcBorders>
              <w:top w:val="single" w:sz="4" w:space="0" w:color="auto"/>
              <w:bottom w:val="single" w:sz="12" w:space="0" w:color="auto"/>
            </w:tcBorders>
            <w:shd w:val="clear" w:color="auto" w:fill="auto"/>
            <w:tcMar>
              <w:right w:w="28" w:type="dxa"/>
            </w:tcMar>
            <w:vAlign w:val="bottom"/>
          </w:tcPr>
          <w:p w14:paraId="04E63508"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192</w:t>
            </w:r>
          </w:p>
        </w:tc>
        <w:tc>
          <w:tcPr>
            <w:tcW w:w="429" w:type="dxa"/>
            <w:tcBorders>
              <w:top w:val="single" w:sz="4" w:space="0" w:color="auto"/>
              <w:bottom w:val="single" w:sz="12" w:space="0" w:color="auto"/>
            </w:tcBorders>
            <w:shd w:val="clear" w:color="auto" w:fill="auto"/>
            <w:tcMar>
              <w:right w:w="28" w:type="dxa"/>
            </w:tcMar>
            <w:vAlign w:val="bottom"/>
          </w:tcPr>
          <w:p w14:paraId="0E8D347F"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25</w:t>
            </w:r>
          </w:p>
        </w:tc>
        <w:tc>
          <w:tcPr>
            <w:tcW w:w="503" w:type="dxa"/>
            <w:tcBorders>
              <w:top w:val="single" w:sz="4" w:space="0" w:color="auto"/>
              <w:bottom w:val="single" w:sz="12" w:space="0" w:color="auto"/>
            </w:tcBorders>
            <w:shd w:val="clear" w:color="auto" w:fill="auto"/>
            <w:tcMar>
              <w:right w:w="28" w:type="dxa"/>
            </w:tcMar>
            <w:vAlign w:val="bottom"/>
          </w:tcPr>
          <w:p w14:paraId="5A23B5A4"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552</w:t>
            </w:r>
          </w:p>
        </w:tc>
        <w:tc>
          <w:tcPr>
            <w:tcW w:w="312" w:type="dxa"/>
            <w:tcBorders>
              <w:top w:val="single" w:sz="4" w:space="0" w:color="auto"/>
              <w:bottom w:val="single" w:sz="12" w:space="0" w:color="auto"/>
            </w:tcBorders>
            <w:shd w:val="clear" w:color="auto" w:fill="auto"/>
            <w:tcMar>
              <w:right w:w="28" w:type="dxa"/>
            </w:tcMar>
            <w:vAlign w:val="bottom"/>
          </w:tcPr>
          <w:p w14:paraId="26FC35B0"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2</w:t>
            </w:r>
          </w:p>
        </w:tc>
        <w:tc>
          <w:tcPr>
            <w:tcW w:w="312" w:type="dxa"/>
            <w:tcBorders>
              <w:top w:val="single" w:sz="4" w:space="0" w:color="auto"/>
              <w:bottom w:val="single" w:sz="12" w:space="0" w:color="auto"/>
            </w:tcBorders>
            <w:shd w:val="clear" w:color="auto" w:fill="auto"/>
            <w:tcMar>
              <w:right w:w="28" w:type="dxa"/>
            </w:tcMar>
            <w:vAlign w:val="bottom"/>
          </w:tcPr>
          <w:p w14:paraId="34A46400"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2</w:t>
            </w:r>
          </w:p>
        </w:tc>
        <w:tc>
          <w:tcPr>
            <w:tcW w:w="357" w:type="dxa"/>
            <w:tcBorders>
              <w:top w:val="single" w:sz="4" w:space="0" w:color="auto"/>
              <w:bottom w:val="single" w:sz="12" w:space="0" w:color="auto"/>
            </w:tcBorders>
            <w:shd w:val="clear" w:color="auto" w:fill="auto"/>
            <w:vAlign w:val="bottom"/>
          </w:tcPr>
          <w:p w14:paraId="219D1D48"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12</w:t>
            </w:r>
          </w:p>
        </w:tc>
        <w:tc>
          <w:tcPr>
            <w:tcW w:w="312" w:type="dxa"/>
            <w:tcBorders>
              <w:top w:val="single" w:sz="4" w:space="0" w:color="auto"/>
              <w:bottom w:val="single" w:sz="12" w:space="0" w:color="auto"/>
            </w:tcBorders>
            <w:shd w:val="clear" w:color="auto" w:fill="auto"/>
            <w:tcMar>
              <w:right w:w="28" w:type="dxa"/>
            </w:tcMar>
            <w:vAlign w:val="bottom"/>
          </w:tcPr>
          <w:p w14:paraId="23791F5C"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w:t>
            </w:r>
          </w:p>
        </w:tc>
        <w:tc>
          <w:tcPr>
            <w:tcW w:w="483" w:type="dxa"/>
            <w:tcBorders>
              <w:top w:val="single" w:sz="4" w:space="0" w:color="auto"/>
              <w:bottom w:val="single" w:sz="12" w:space="0" w:color="auto"/>
            </w:tcBorders>
            <w:shd w:val="clear" w:color="auto" w:fill="auto"/>
            <w:tcMar>
              <w:right w:w="28" w:type="dxa"/>
            </w:tcMar>
            <w:vAlign w:val="bottom"/>
          </w:tcPr>
          <w:p w14:paraId="78B4DBD8"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484</w:t>
            </w:r>
          </w:p>
        </w:tc>
        <w:tc>
          <w:tcPr>
            <w:tcW w:w="312" w:type="dxa"/>
            <w:tcBorders>
              <w:top w:val="single" w:sz="4" w:space="0" w:color="auto"/>
              <w:bottom w:val="single" w:sz="12" w:space="0" w:color="auto"/>
            </w:tcBorders>
            <w:shd w:val="clear" w:color="auto" w:fill="auto"/>
            <w:tcMar>
              <w:right w:w="28" w:type="dxa"/>
            </w:tcMar>
            <w:vAlign w:val="bottom"/>
          </w:tcPr>
          <w:p w14:paraId="4D62DBFD"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5</w:t>
            </w:r>
          </w:p>
        </w:tc>
        <w:tc>
          <w:tcPr>
            <w:tcW w:w="312" w:type="dxa"/>
            <w:tcBorders>
              <w:top w:val="single" w:sz="4" w:space="0" w:color="auto"/>
              <w:bottom w:val="single" w:sz="12" w:space="0" w:color="auto"/>
            </w:tcBorders>
            <w:shd w:val="clear" w:color="auto" w:fill="auto"/>
            <w:vAlign w:val="bottom"/>
          </w:tcPr>
          <w:p w14:paraId="649E4FC0"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w:t>
            </w:r>
          </w:p>
        </w:tc>
        <w:tc>
          <w:tcPr>
            <w:tcW w:w="312" w:type="dxa"/>
            <w:tcBorders>
              <w:top w:val="single" w:sz="4" w:space="0" w:color="auto"/>
              <w:bottom w:val="single" w:sz="12" w:space="0" w:color="auto"/>
            </w:tcBorders>
            <w:shd w:val="clear" w:color="auto" w:fill="auto"/>
            <w:vAlign w:val="bottom"/>
          </w:tcPr>
          <w:p w14:paraId="28666699"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w:t>
            </w:r>
          </w:p>
        </w:tc>
        <w:tc>
          <w:tcPr>
            <w:tcW w:w="312" w:type="dxa"/>
            <w:tcBorders>
              <w:top w:val="single" w:sz="4" w:space="0" w:color="auto"/>
              <w:bottom w:val="single" w:sz="12" w:space="0" w:color="auto"/>
            </w:tcBorders>
            <w:shd w:val="clear" w:color="auto" w:fill="auto"/>
            <w:vAlign w:val="bottom"/>
          </w:tcPr>
          <w:p w14:paraId="7B7AB9FE"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w:t>
            </w:r>
          </w:p>
        </w:tc>
        <w:tc>
          <w:tcPr>
            <w:tcW w:w="425" w:type="dxa"/>
            <w:tcBorders>
              <w:top w:val="single" w:sz="4" w:space="0" w:color="auto"/>
              <w:bottom w:val="single" w:sz="12" w:space="0" w:color="auto"/>
            </w:tcBorders>
            <w:shd w:val="clear" w:color="auto" w:fill="auto"/>
            <w:vAlign w:val="bottom"/>
          </w:tcPr>
          <w:p w14:paraId="2E3E513E"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14</w:t>
            </w:r>
          </w:p>
        </w:tc>
        <w:tc>
          <w:tcPr>
            <w:tcW w:w="312" w:type="dxa"/>
            <w:tcBorders>
              <w:top w:val="single" w:sz="4" w:space="0" w:color="auto"/>
              <w:bottom w:val="single" w:sz="12" w:space="0" w:color="auto"/>
            </w:tcBorders>
            <w:shd w:val="clear" w:color="auto" w:fill="auto"/>
            <w:tcMar>
              <w:right w:w="28" w:type="dxa"/>
            </w:tcMar>
            <w:vAlign w:val="bottom"/>
          </w:tcPr>
          <w:p w14:paraId="27BF76B1"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w:t>
            </w:r>
          </w:p>
        </w:tc>
        <w:tc>
          <w:tcPr>
            <w:tcW w:w="312" w:type="dxa"/>
            <w:tcBorders>
              <w:top w:val="single" w:sz="4" w:space="0" w:color="auto"/>
              <w:bottom w:val="single" w:sz="12" w:space="0" w:color="auto"/>
            </w:tcBorders>
            <w:shd w:val="clear" w:color="auto" w:fill="auto"/>
            <w:vAlign w:val="bottom"/>
          </w:tcPr>
          <w:p w14:paraId="77391C7E"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w:t>
            </w:r>
          </w:p>
        </w:tc>
        <w:tc>
          <w:tcPr>
            <w:tcW w:w="312" w:type="dxa"/>
            <w:tcBorders>
              <w:top w:val="single" w:sz="4" w:space="0" w:color="auto"/>
              <w:bottom w:val="single" w:sz="12" w:space="0" w:color="auto"/>
            </w:tcBorders>
            <w:shd w:val="clear" w:color="auto" w:fill="auto"/>
            <w:vAlign w:val="bottom"/>
          </w:tcPr>
          <w:p w14:paraId="650716D1"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w:t>
            </w:r>
          </w:p>
        </w:tc>
        <w:tc>
          <w:tcPr>
            <w:tcW w:w="312" w:type="dxa"/>
            <w:tcBorders>
              <w:top w:val="single" w:sz="4" w:space="0" w:color="auto"/>
              <w:bottom w:val="single" w:sz="12" w:space="0" w:color="auto"/>
            </w:tcBorders>
            <w:shd w:val="clear" w:color="auto" w:fill="auto"/>
            <w:tcMar>
              <w:right w:w="28" w:type="dxa"/>
            </w:tcMar>
            <w:vAlign w:val="bottom"/>
          </w:tcPr>
          <w:p w14:paraId="5C03324E"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3</w:t>
            </w:r>
          </w:p>
        </w:tc>
        <w:tc>
          <w:tcPr>
            <w:tcW w:w="312" w:type="dxa"/>
            <w:tcBorders>
              <w:top w:val="single" w:sz="4" w:space="0" w:color="auto"/>
              <w:bottom w:val="single" w:sz="12" w:space="0" w:color="auto"/>
            </w:tcBorders>
            <w:shd w:val="clear" w:color="auto" w:fill="auto"/>
            <w:vAlign w:val="bottom"/>
          </w:tcPr>
          <w:p w14:paraId="01ADC723"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1</w:t>
            </w:r>
          </w:p>
        </w:tc>
        <w:tc>
          <w:tcPr>
            <w:tcW w:w="312" w:type="dxa"/>
            <w:tcBorders>
              <w:top w:val="single" w:sz="4" w:space="0" w:color="auto"/>
              <w:bottom w:val="single" w:sz="12" w:space="0" w:color="auto"/>
            </w:tcBorders>
            <w:shd w:val="clear" w:color="auto" w:fill="auto"/>
            <w:tcMar>
              <w:right w:w="28" w:type="dxa"/>
            </w:tcMar>
            <w:vAlign w:val="bottom"/>
          </w:tcPr>
          <w:p w14:paraId="02BD334E" w14:textId="77777777" w:rsidR="001C4C32" w:rsidRPr="001D67E1" w:rsidRDefault="001C4C32" w:rsidP="002A2873">
            <w:pPr>
              <w:spacing w:before="80" w:after="80" w:line="220" w:lineRule="exact"/>
              <w:ind w:right="113"/>
              <w:jc w:val="right"/>
              <w:rPr>
                <w:b/>
                <w:bCs/>
                <w:sz w:val="18"/>
                <w:szCs w:val="18"/>
              </w:rPr>
            </w:pPr>
            <w:r w:rsidRPr="001D67E1">
              <w:rPr>
                <w:b/>
                <w:bCs/>
                <w:sz w:val="18"/>
                <w:szCs w:val="18"/>
                <w:lang w:val="zh-CN"/>
              </w:rPr>
              <w:t>2</w:t>
            </w:r>
          </w:p>
        </w:tc>
        <w:tc>
          <w:tcPr>
            <w:tcW w:w="567" w:type="dxa"/>
            <w:tcBorders>
              <w:top w:val="single" w:sz="4" w:space="0" w:color="auto"/>
              <w:bottom w:val="single" w:sz="12" w:space="0" w:color="auto"/>
            </w:tcBorders>
            <w:shd w:val="clear" w:color="auto" w:fill="auto"/>
            <w:tcMar>
              <w:right w:w="28" w:type="dxa"/>
            </w:tcMar>
            <w:vAlign w:val="bottom"/>
          </w:tcPr>
          <w:p w14:paraId="2F65E38C" w14:textId="77777777" w:rsidR="001C4C32" w:rsidRPr="001D67E1" w:rsidRDefault="001C4C32" w:rsidP="002A2873">
            <w:pPr>
              <w:spacing w:before="80" w:after="80" w:line="220" w:lineRule="exact"/>
              <w:jc w:val="right"/>
              <w:rPr>
                <w:b/>
                <w:bCs/>
                <w:sz w:val="18"/>
                <w:szCs w:val="18"/>
              </w:rPr>
            </w:pPr>
            <w:r w:rsidRPr="001D67E1">
              <w:rPr>
                <w:b/>
                <w:bCs/>
                <w:sz w:val="18"/>
                <w:szCs w:val="18"/>
                <w:lang w:val="zh-CN"/>
              </w:rPr>
              <w:t>1 491</w:t>
            </w:r>
          </w:p>
        </w:tc>
      </w:tr>
    </w:tbl>
    <w:p w14:paraId="28323507" w14:textId="6DF00370" w:rsidR="009224C2" w:rsidRPr="007B279A" w:rsidRDefault="00351969" w:rsidP="001031D1">
      <w:pPr>
        <w:pStyle w:val="ac"/>
        <w:spacing w:before="120"/>
      </w:pPr>
      <w:r>
        <w:t xml:space="preserve">  </w:t>
      </w:r>
      <w:r w:rsidR="009224C2" w:rsidRPr="001031D1">
        <w:rPr>
          <w:vertAlign w:val="superscript"/>
          <w:lang w:val="zh-CN"/>
        </w:rPr>
        <w:t>a</w:t>
      </w:r>
      <w:r w:rsidR="009224C2" w:rsidRPr="007B279A">
        <w:rPr>
          <w:lang w:val="zh-CN"/>
        </w:rPr>
        <w:t xml:space="preserve"> </w:t>
      </w:r>
      <w:r w:rsidR="009224C2" w:rsidRPr="007B279A">
        <w:rPr>
          <w:lang w:val="zh-CN"/>
        </w:rPr>
        <w:t>截至</w:t>
      </w:r>
      <w:r w:rsidR="009224C2" w:rsidRPr="007B279A">
        <w:rPr>
          <w:lang w:val="zh-CN"/>
        </w:rPr>
        <w:t>2022</w:t>
      </w:r>
      <w:r w:rsidR="009224C2" w:rsidRPr="007B279A">
        <w:rPr>
          <w:lang w:val="zh-CN"/>
        </w:rPr>
        <w:t>年</w:t>
      </w:r>
      <w:r w:rsidR="009224C2" w:rsidRPr="007B279A">
        <w:rPr>
          <w:lang w:val="zh-CN"/>
        </w:rPr>
        <w:t>4</w:t>
      </w:r>
      <w:r w:rsidR="009224C2" w:rsidRPr="007B279A">
        <w:rPr>
          <w:lang w:val="zh-CN"/>
        </w:rPr>
        <w:t>月</w:t>
      </w:r>
      <w:r w:rsidR="009224C2" w:rsidRPr="007B279A">
        <w:rPr>
          <w:lang w:val="zh-CN"/>
        </w:rPr>
        <w:t>8</w:t>
      </w:r>
      <w:r w:rsidR="009224C2" w:rsidRPr="007B279A">
        <w:rPr>
          <w:lang w:val="zh-CN"/>
        </w:rPr>
        <w:t>日。</w:t>
      </w:r>
    </w:p>
    <w:p w14:paraId="29290CDC" w14:textId="2A39626B" w:rsidR="009224C2" w:rsidRPr="007B279A" w:rsidRDefault="001031D1" w:rsidP="001031D1">
      <w:pPr>
        <w:pStyle w:val="H1GC"/>
      </w:pPr>
      <w:r w:rsidRPr="007B279A">
        <w:rPr>
          <w:lang w:val="zh-CN"/>
        </w:rPr>
        <w:tab/>
      </w:r>
      <w:r w:rsidR="009224C2" w:rsidRPr="007B279A">
        <w:rPr>
          <w:lang w:val="zh-CN"/>
        </w:rPr>
        <w:t>C.</w:t>
      </w:r>
      <w:r w:rsidR="009224C2" w:rsidRPr="007B279A">
        <w:rPr>
          <w:lang w:val="zh-CN"/>
        </w:rPr>
        <w:tab/>
      </w:r>
      <w:r w:rsidR="009224C2" w:rsidRPr="007B279A">
        <w:rPr>
          <w:lang w:val="zh-CN"/>
        </w:rPr>
        <w:t>第二十一届会议以来的动态</w:t>
      </w:r>
      <w:r w:rsidR="009224C2" w:rsidRPr="007B279A">
        <w:rPr>
          <w:lang w:val="zh-CN"/>
        </w:rPr>
        <w:t>(</w:t>
      </w:r>
      <w:r w:rsidR="009224C2" w:rsidRPr="007B279A">
        <w:rPr>
          <w:lang w:val="zh-CN"/>
        </w:rPr>
        <w:t>截至</w:t>
      </w:r>
      <w:r w:rsidR="009224C2" w:rsidRPr="007B279A">
        <w:rPr>
          <w:lang w:val="zh-CN"/>
        </w:rPr>
        <w:t>2022</w:t>
      </w:r>
      <w:r w:rsidR="009224C2" w:rsidRPr="007B279A">
        <w:rPr>
          <w:lang w:val="zh-CN"/>
        </w:rPr>
        <w:t>年</w:t>
      </w:r>
      <w:r w:rsidR="009224C2" w:rsidRPr="007B279A">
        <w:rPr>
          <w:lang w:val="zh-CN"/>
        </w:rPr>
        <w:t>4</w:t>
      </w:r>
      <w:r w:rsidR="009224C2" w:rsidRPr="007B279A">
        <w:rPr>
          <w:lang w:val="zh-CN"/>
        </w:rPr>
        <w:t>月</w:t>
      </w:r>
      <w:r w:rsidR="009224C2" w:rsidRPr="007B279A">
        <w:rPr>
          <w:lang w:val="zh-CN"/>
        </w:rPr>
        <w:t>8</w:t>
      </w:r>
      <w:r w:rsidR="009224C2" w:rsidRPr="007B279A">
        <w:rPr>
          <w:lang w:val="zh-CN"/>
        </w:rPr>
        <w:t>日</w:t>
      </w:r>
      <w:r w:rsidR="009224C2" w:rsidRPr="007B279A">
        <w:rPr>
          <w:lang w:val="zh-CN"/>
        </w:rPr>
        <w:t>)</w:t>
      </w:r>
    </w:p>
    <w:p w14:paraId="26DF1A0E" w14:textId="77777777" w:rsidR="009224C2" w:rsidRPr="007B279A" w:rsidRDefault="009224C2" w:rsidP="009224C2">
      <w:pPr>
        <w:pStyle w:val="SingleTxtGC"/>
        <w:tabs>
          <w:tab w:val="clear" w:pos="431"/>
        </w:tabs>
      </w:pPr>
      <w:r w:rsidRPr="007B279A">
        <w:rPr>
          <w:lang w:val="zh-CN"/>
        </w:rPr>
        <w:t>5.</w:t>
      </w:r>
      <w:r w:rsidRPr="007B279A">
        <w:rPr>
          <w:lang w:val="zh-CN"/>
        </w:rPr>
        <w:tab/>
      </w:r>
      <w:r w:rsidRPr="007B279A">
        <w:rPr>
          <w:lang w:val="zh-CN"/>
        </w:rPr>
        <w:t>在整个紧急程序中，委员会通过照会、信函、会议和电话等方式，与缔约国</w:t>
      </w:r>
      <w:r w:rsidRPr="007B279A">
        <w:rPr>
          <w:lang w:val="zh-CN"/>
        </w:rPr>
        <w:t>(</w:t>
      </w:r>
      <w:r w:rsidRPr="007B279A">
        <w:rPr>
          <w:lang w:val="zh-CN"/>
        </w:rPr>
        <w:t>通过其常驻代表团</w:t>
      </w:r>
      <w:r w:rsidRPr="007B279A">
        <w:rPr>
          <w:lang w:val="zh-CN"/>
        </w:rPr>
        <w:t>)</w:t>
      </w:r>
      <w:r w:rsidRPr="007B279A">
        <w:rPr>
          <w:lang w:val="zh-CN"/>
        </w:rPr>
        <w:t>和紧急行动请求的提交人保持经常联系。委员会还在很大程度上依靠联合国人权事务高级专员办事处和联合国其他驻地机构的合作。上述机构经常在紧急行动请求提交人和委员会之间传递信息，并就落实委员会的建议采取后续行动。</w:t>
      </w:r>
    </w:p>
    <w:p w14:paraId="57F76586" w14:textId="77777777" w:rsidR="009224C2" w:rsidRPr="007B279A" w:rsidRDefault="009224C2" w:rsidP="009224C2">
      <w:pPr>
        <w:pStyle w:val="SingleTxtGC"/>
        <w:tabs>
          <w:tab w:val="clear" w:pos="431"/>
        </w:tabs>
      </w:pPr>
      <w:r w:rsidRPr="007B279A">
        <w:rPr>
          <w:lang w:val="zh-CN"/>
        </w:rPr>
        <w:t>6.</w:t>
      </w:r>
      <w:r w:rsidRPr="007B279A">
        <w:rPr>
          <w:lang w:val="zh-CN"/>
        </w:rPr>
        <w:tab/>
      </w:r>
      <w:r w:rsidRPr="007B279A">
        <w:rPr>
          <w:lang w:val="zh-CN"/>
        </w:rPr>
        <w:t>以下段落无意详尽无遗地分析紧急行动程序下收到的所有信息，但描述了</w:t>
      </w:r>
      <w:r w:rsidRPr="007B279A">
        <w:rPr>
          <w:rFonts w:hint="eastAsia"/>
          <w:lang w:val="zh-CN"/>
        </w:rPr>
        <w:t>本</w:t>
      </w:r>
      <w:r w:rsidRPr="007B279A">
        <w:rPr>
          <w:lang w:val="zh-CN"/>
        </w:rPr>
        <w:t>报告所述期内一些缔约国的一般问题和具体问题，趋势和动态。</w:t>
      </w:r>
    </w:p>
    <w:p w14:paraId="48FEA8BC" w14:textId="2ADFD379" w:rsidR="009224C2" w:rsidRPr="007B279A" w:rsidRDefault="001031D1" w:rsidP="001031D1">
      <w:pPr>
        <w:pStyle w:val="H23GC"/>
      </w:pPr>
      <w:r w:rsidRPr="007B279A">
        <w:rPr>
          <w:lang w:val="zh-CN"/>
        </w:rPr>
        <w:tab/>
      </w:r>
      <w:r w:rsidR="009224C2" w:rsidRPr="007B279A">
        <w:rPr>
          <w:lang w:val="zh-CN"/>
        </w:rPr>
        <w:t>1.</w:t>
      </w:r>
      <w:r w:rsidR="009224C2" w:rsidRPr="007B279A">
        <w:rPr>
          <w:lang w:val="zh-CN"/>
        </w:rPr>
        <w:tab/>
      </w:r>
      <w:r w:rsidR="009224C2" w:rsidRPr="007B279A">
        <w:rPr>
          <w:lang w:val="zh-CN"/>
        </w:rPr>
        <w:t>本报告</w:t>
      </w:r>
      <w:r w:rsidR="009224C2" w:rsidRPr="007B279A">
        <w:rPr>
          <w:rFonts w:ascii="宋体" w:hAnsi="宋体" w:cs="宋体" w:hint="eastAsia"/>
          <w:lang w:val="zh-CN"/>
        </w:rPr>
        <w:t>所述期</w:t>
      </w:r>
      <w:r w:rsidR="009224C2" w:rsidRPr="007B279A">
        <w:rPr>
          <w:lang w:val="zh-CN"/>
        </w:rPr>
        <w:t>内观察到的一般趋势</w:t>
      </w:r>
    </w:p>
    <w:p w14:paraId="6C9C1314" w14:textId="43E12BAB" w:rsidR="009224C2" w:rsidRPr="007B279A" w:rsidRDefault="009224C2" w:rsidP="009224C2">
      <w:pPr>
        <w:pStyle w:val="SingleTxtGC"/>
        <w:tabs>
          <w:tab w:val="clear" w:pos="431"/>
        </w:tabs>
      </w:pPr>
      <w:r w:rsidRPr="007B279A">
        <w:rPr>
          <w:lang w:val="zh-CN"/>
        </w:rPr>
        <w:t>7.</w:t>
      </w:r>
      <w:r w:rsidRPr="007B279A">
        <w:rPr>
          <w:lang w:val="zh-CN"/>
        </w:rPr>
        <w:tab/>
      </w:r>
      <w:r w:rsidRPr="007B279A">
        <w:rPr>
          <w:lang w:val="zh-CN"/>
        </w:rPr>
        <w:t>在紧急行动程序下收到的信息证实了委员会第十一届至第二十一届会议通过的报告</w:t>
      </w:r>
      <w:r w:rsidRPr="001C4C32">
        <w:rPr>
          <w:rStyle w:val="a8"/>
          <w:rFonts w:eastAsia="宋体"/>
        </w:rPr>
        <w:footnoteReference w:id="4"/>
      </w:r>
      <w:r w:rsidR="001031D1">
        <w:rPr>
          <w:rFonts w:hint="eastAsia"/>
          <w:lang w:val="zh-CN"/>
        </w:rPr>
        <w:t xml:space="preserve"> </w:t>
      </w:r>
      <w:r w:rsidRPr="007B279A">
        <w:rPr>
          <w:lang w:val="zh-CN"/>
        </w:rPr>
        <w:t>曾指明的一些趋势，包括以下段落阐述的趋势。</w:t>
      </w:r>
    </w:p>
    <w:p w14:paraId="3A94DDDA" w14:textId="2E1DAF77" w:rsidR="009224C2" w:rsidRPr="007B279A" w:rsidRDefault="001031D1" w:rsidP="001031D1">
      <w:pPr>
        <w:pStyle w:val="H23GC"/>
      </w:pPr>
      <w:r w:rsidRPr="007B279A">
        <w:rPr>
          <w:lang w:val="zh-CN"/>
        </w:rPr>
        <w:tab/>
      </w:r>
      <w:r w:rsidR="009224C2" w:rsidRPr="007B279A">
        <w:rPr>
          <w:lang w:val="zh-CN"/>
        </w:rPr>
        <w:t>(a)</w:t>
      </w:r>
      <w:r w:rsidR="009224C2" w:rsidRPr="007B279A">
        <w:rPr>
          <w:lang w:val="zh-CN"/>
        </w:rPr>
        <w:tab/>
      </w:r>
      <w:r w:rsidR="009224C2" w:rsidRPr="007B279A">
        <w:rPr>
          <w:lang w:val="zh-CN"/>
        </w:rPr>
        <w:t>缺乏与委员会的合作</w:t>
      </w:r>
    </w:p>
    <w:p w14:paraId="7C0FCA22" w14:textId="77777777" w:rsidR="009224C2" w:rsidRPr="007B279A" w:rsidRDefault="009224C2" w:rsidP="009224C2">
      <w:pPr>
        <w:pStyle w:val="SingleTxtGC"/>
        <w:tabs>
          <w:tab w:val="clear" w:pos="431"/>
        </w:tabs>
      </w:pPr>
      <w:r w:rsidRPr="007B279A">
        <w:rPr>
          <w:lang w:val="zh-CN"/>
        </w:rPr>
        <w:t>8.</w:t>
      </w:r>
      <w:r w:rsidRPr="007B279A">
        <w:rPr>
          <w:lang w:val="zh-CN"/>
        </w:rPr>
        <w:tab/>
      </w:r>
      <w:r w:rsidRPr="007B279A">
        <w:rPr>
          <w:lang w:val="zh-CN"/>
        </w:rPr>
        <w:t>每当相关缔约国或紧急行动请求提交人未能在委员会规定的截止日期前提供后续信息时，委员会将最多发出四封催复函。如果发出第三封催复函后缔约国仍未回复，委员会会发出最后一封催复函，表明委员会可能决定在下一届会议关于紧急行动请求的报告中及提交大会的下一份报告中将此情况公诸于众。截至</w:t>
      </w:r>
      <w:r w:rsidRPr="007B279A">
        <w:rPr>
          <w:lang w:val="zh-CN"/>
        </w:rPr>
        <w:t>2022</w:t>
      </w:r>
      <w:r w:rsidRPr="007B279A">
        <w:rPr>
          <w:lang w:val="zh-CN"/>
        </w:rPr>
        <w:t>年</w:t>
      </w:r>
      <w:r w:rsidRPr="007B279A">
        <w:rPr>
          <w:lang w:val="zh-CN"/>
        </w:rPr>
        <w:t>4</w:t>
      </w:r>
      <w:r w:rsidRPr="007B279A">
        <w:rPr>
          <w:lang w:val="zh-CN"/>
        </w:rPr>
        <w:t>月</w:t>
      </w:r>
      <w:r w:rsidRPr="007B279A">
        <w:rPr>
          <w:lang w:val="zh-CN"/>
        </w:rPr>
        <w:t>8</w:t>
      </w:r>
      <w:r w:rsidRPr="007B279A">
        <w:rPr>
          <w:lang w:val="zh-CN"/>
        </w:rPr>
        <w:t>日，委员会已就</w:t>
      </w:r>
      <w:r w:rsidRPr="007B279A">
        <w:rPr>
          <w:lang w:val="zh-CN"/>
        </w:rPr>
        <w:t>350</w:t>
      </w:r>
      <w:r w:rsidRPr="007B279A">
        <w:rPr>
          <w:lang w:val="zh-CN"/>
        </w:rPr>
        <w:t>项紧急行动请求发出了最后催复函，但未收到</w:t>
      </w:r>
      <w:r w:rsidRPr="007B279A">
        <w:rPr>
          <w:lang w:val="zh-CN"/>
        </w:rPr>
        <w:lastRenderedPageBreak/>
        <w:t>有关缔约国的答复：伊拉克</w:t>
      </w:r>
      <w:r w:rsidRPr="007B279A">
        <w:rPr>
          <w:lang w:val="zh-CN"/>
        </w:rPr>
        <w:t>298</w:t>
      </w:r>
      <w:r w:rsidRPr="007B279A">
        <w:rPr>
          <w:lang w:val="zh-CN"/>
        </w:rPr>
        <w:t>项、墨西哥</w:t>
      </w:r>
      <w:r w:rsidRPr="007B279A">
        <w:rPr>
          <w:lang w:val="zh-CN"/>
        </w:rPr>
        <w:t>51</w:t>
      </w:r>
      <w:r w:rsidRPr="007B279A">
        <w:rPr>
          <w:lang w:val="zh-CN"/>
        </w:rPr>
        <w:t>项、马里</w:t>
      </w:r>
      <w:r w:rsidRPr="007B279A">
        <w:rPr>
          <w:lang w:val="zh-CN"/>
        </w:rPr>
        <w:t>1</w:t>
      </w:r>
      <w:r w:rsidRPr="007B279A">
        <w:rPr>
          <w:lang w:val="zh-CN"/>
        </w:rPr>
        <w:t>项。委员会认为，缔约国未对紧急行动请求</w:t>
      </w:r>
      <w:proofErr w:type="gramStart"/>
      <w:r w:rsidRPr="007B279A">
        <w:rPr>
          <w:lang w:val="zh-CN"/>
        </w:rPr>
        <w:t>作出</w:t>
      </w:r>
      <w:proofErr w:type="gramEnd"/>
      <w:r w:rsidRPr="007B279A">
        <w:rPr>
          <w:lang w:val="zh-CN"/>
        </w:rPr>
        <w:t>答复，不符合其与委员会真诚合作的国际义务，特别是不符合《公约》第三十条第三款规定的向委员会报告为寻找和保护失踪者而采取的措施的义务。</w:t>
      </w:r>
    </w:p>
    <w:p w14:paraId="04CA87AC" w14:textId="77777777" w:rsidR="009224C2" w:rsidRPr="007B279A" w:rsidRDefault="009224C2" w:rsidP="009224C2">
      <w:pPr>
        <w:pStyle w:val="SingleTxtGC"/>
        <w:tabs>
          <w:tab w:val="clear" w:pos="431"/>
        </w:tabs>
      </w:pPr>
      <w:r w:rsidRPr="007B279A">
        <w:rPr>
          <w:lang w:val="zh-CN"/>
        </w:rPr>
        <w:t>9.</w:t>
      </w:r>
      <w:r w:rsidRPr="007B279A">
        <w:rPr>
          <w:lang w:val="zh-CN"/>
        </w:rPr>
        <w:tab/>
      </w:r>
      <w:r w:rsidRPr="007B279A">
        <w:rPr>
          <w:lang w:val="zh-CN"/>
        </w:rPr>
        <w:t>委员会尤为关切的是，伊拉克仍未能就登记的大多数涉及其领土内所发生失踪事件的紧急行动请求</w:t>
      </w:r>
      <w:proofErr w:type="gramStart"/>
      <w:r w:rsidRPr="007B279A">
        <w:rPr>
          <w:lang w:val="zh-CN"/>
        </w:rPr>
        <w:t>作出</w:t>
      </w:r>
      <w:proofErr w:type="gramEnd"/>
      <w:r w:rsidRPr="007B279A">
        <w:rPr>
          <w:lang w:val="zh-CN"/>
        </w:rPr>
        <w:t>回复。委员会已在四份提交联大的报告中指出伊拉克未能遵守本国根据《公约》第三十条承担的义务。</w:t>
      </w:r>
      <w:r w:rsidRPr="001C4C32">
        <w:rPr>
          <w:rStyle w:val="a8"/>
          <w:rFonts w:eastAsia="宋体"/>
        </w:rPr>
        <w:footnoteReference w:id="5"/>
      </w:r>
    </w:p>
    <w:p w14:paraId="68C374C6" w14:textId="77777777" w:rsidR="009224C2" w:rsidRPr="007B279A" w:rsidRDefault="009224C2" w:rsidP="009224C2">
      <w:pPr>
        <w:pStyle w:val="SingleTxtGC"/>
        <w:tabs>
          <w:tab w:val="clear" w:pos="431"/>
        </w:tabs>
      </w:pPr>
      <w:r w:rsidRPr="007B279A">
        <w:rPr>
          <w:lang w:val="zh-CN"/>
        </w:rPr>
        <w:t>10.</w:t>
      </w:r>
      <w:r w:rsidRPr="007B279A">
        <w:rPr>
          <w:lang w:val="zh-CN"/>
        </w:rPr>
        <w:tab/>
      </w:r>
      <w:r w:rsidRPr="007B279A">
        <w:rPr>
          <w:lang w:val="zh-CN"/>
        </w:rPr>
        <w:t>委员会还对缺乏紧急行动请求提交人的答复表示关切。如果提交人在缔约国提出意见，而且意见已转交提交人供其评论后仍未</w:t>
      </w:r>
      <w:proofErr w:type="gramStart"/>
      <w:r w:rsidRPr="007B279A">
        <w:rPr>
          <w:lang w:val="zh-CN"/>
        </w:rPr>
        <w:t>作出</w:t>
      </w:r>
      <w:proofErr w:type="gramEnd"/>
      <w:r w:rsidRPr="007B279A">
        <w:rPr>
          <w:lang w:val="zh-CN"/>
        </w:rPr>
        <w:t>答复，委员会将发出最多四封催复函。如果在发出第三封催复函后提交人仍未答复，委员会会发出最后一封催复函。截至</w:t>
      </w:r>
      <w:r w:rsidRPr="007B279A">
        <w:rPr>
          <w:lang w:val="zh-CN"/>
        </w:rPr>
        <w:t>2022</w:t>
      </w:r>
      <w:r w:rsidRPr="007B279A">
        <w:rPr>
          <w:lang w:val="zh-CN"/>
        </w:rPr>
        <w:t>年</w:t>
      </w:r>
      <w:r w:rsidRPr="007B279A">
        <w:rPr>
          <w:lang w:val="zh-CN"/>
        </w:rPr>
        <w:t>4</w:t>
      </w:r>
      <w:r w:rsidRPr="007B279A">
        <w:rPr>
          <w:lang w:val="zh-CN"/>
        </w:rPr>
        <w:t>月</w:t>
      </w:r>
      <w:r w:rsidRPr="007B279A">
        <w:rPr>
          <w:lang w:val="zh-CN"/>
        </w:rPr>
        <w:t>8</w:t>
      </w:r>
      <w:r w:rsidRPr="007B279A">
        <w:rPr>
          <w:lang w:val="zh-CN"/>
        </w:rPr>
        <w:t>日，委员会已就</w:t>
      </w:r>
      <w:r w:rsidRPr="007B279A">
        <w:rPr>
          <w:lang w:val="zh-CN"/>
        </w:rPr>
        <w:t>93</w:t>
      </w:r>
      <w:r w:rsidRPr="007B279A">
        <w:rPr>
          <w:lang w:val="zh-CN"/>
        </w:rPr>
        <w:t>项紧急行动请求发出最后催复函，但未收到相关提交人的答复：墨西哥</w:t>
      </w:r>
      <w:r w:rsidRPr="007B279A">
        <w:rPr>
          <w:lang w:val="zh-CN"/>
        </w:rPr>
        <w:t>71</w:t>
      </w:r>
      <w:r w:rsidRPr="007B279A">
        <w:rPr>
          <w:lang w:val="zh-CN"/>
        </w:rPr>
        <w:t>项、哥伦比亚</w:t>
      </w:r>
      <w:r w:rsidRPr="007B279A">
        <w:rPr>
          <w:lang w:val="zh-CN"/>
        </w:rPr>
        <w:t>7</w:t>
      </w:r>
      <w:r w:rsidRPr="007B279A">
        <w:rPr>
          <w:lang w:val="zh-CN"/>
        </w:rPr>
        <w:t>项、洪都拉斯</w:t>
      </w:r>
      <w:r w:rsidRPr="007B279A">
        <w:rPr>
          <w:lang w:val="zh-CN"/>
        </w:rPr>
        <w:t>13</w:t>
      </w:r>
      <w:r w:rsidRPr="007B279A">
        <w:rPr>
          <w:lang w:val="zh-CN"/>
        </w:rPr>
        <w:t>项、伊拉克</w:t>
      </w:r>
      <w:r w:rsidRPr="007B279A">
        <w:rPr>
          <w:lang w:val="zh-CN"/>
        </w:rPr>
        <w:t>1</w:t>
      </w:r>
      <w:r w:rsidRPr="007B279A">
        <w:rPr>
          <w:lang w:val="zh-CN"/>
        </w:rPr>
        <w:t>项、秘鲁</w:t>
      </w:r>
      <w:r w:rsidRPr="007B279A">
        <w:rPr>
          <w:lang w:val="zh-CN"/>
        </w:rPr>
        <w:t>1</w:t>
      </w:r>
      <w:r w:rsidRPr="007B279A">
        <w:rPr>
          <w:lang w:val="zh-CN"/>
        </w:rPr>
        <w:t>项。</w:t>
      </w:r>
      <w:r w:rsidRPr="007B279A">
        <w:rPr>
          <w:rFonts w:hint="eastAsia"/>
          <w:lang w:val="zh-CN"/>
        </w:rPr>
        <w:t>没有</w:t>
      </w:r>
      <w:r w:rsidRPr="007B279A">
        <w:rPr>
          <w:lang w:val="zh-CN"/>
        </w:rPr>
        <w:t>紧急行动请求提交人的答复，委员会无法就自己的建议采取后续行动。如果提交人与失踪者亲属失去联系，应当通知委员会，委员会将暂停</w:t>
      </w:r>
      <w:r w:rsidRPr="007B279A">
        <w:rPr>
          <w:rFonts w:hint="eastAsia"/>
          <w:lang w:val="zh-CN"/>
        </w:rPr>
        <w:t>就</w:t>
      </w:r>
      <w:r w:rsidRPr="007B279A">
        <w:rPr>
          <w:lang w:val="zh-CN"/>
        </w:rPr>
        <w:t>案件开展后续行动，如果失踪者已被找到，委员会将</w:t>
      </w:r>
      <w:r w:rsidRPr="007B279A">
        <w:rPr>
          <w:rFonts w:hint="eastAsia"/>
          <w:lang w:val="zh-CN"/>
        </w:rPr>
        <w:t>结束</w:t>
      </w:r>
      <w:r w:rsidRPr="007B279A">
        <w:rPr>
          <w:lang w:val="zh-CN"/>
        </w:rPr>
        <w:t>或</w:t>
      </w:r>
      <w:r w:rsidRPr="007B279A">
        <w:rPr>
          <w:rFonts w:hint="eastAsia"/>
          <w:lang w:val="zh-CN"/>
        </w:rPr>
        <w:t>终止</w:t>
      </w:r>
      <w:r w:rsidRPr="007B279A">
        <w:rPr>
          <w:lang w:val="zh-CN"/>
        </w:rPr>
        <w:t>案件</w:t>
      </w:r>
      <w:r w:rsidRPr="007B279A">
        <w:rPr>
          <w:lang w:val="zh-CN"/>
        </w:rPr>
        <w:t>(</w:t>
      </w:r>
      <w:r w:rsidRPr="007B279A">
        <w:rPr>
          <w:lang w:val="zh-CN"/>
        </w:rPr>
        <w:t>见第</w:t>
      </w:r>
      <w:r w:rsidRPr="007B279A">
        <w:rPr>
          <w:lang w:val="zh-CN"/>
        </w:rPr>
        <w:t>41</w:t>
      </w:r>
      <w:r w:rsidRPr="007B279A">
        <w:rPr>
          <w:lang w:val="zh-CN"/>
        </w:rPr>
        <w:t>段</w:t>
      </w:r>
      <w:r w:rsidRPr="007B279A">
        <w:rPr>
          <w:lang w:val="zh-CN"/>
        </w:rPr>
        <w:t>)</w:t>
      </w:r>
      <w:r w:rsidRPr="007B279A">
        <w:rPr>
          <w:lang w:val="zh-CN"/>
        </w:rPr>
        <w:t>。</w:t>
      </w:r>
    </w:p>
    <w:p w14:paraId="2D63BEFA" w14:textId="69DC3DDF" w:rsidR="009224C2" w:rsidRPr="007B279A" w:rsidRDefault="00340C37" w:rsidP="00340C37">
      <w:pPr>
        <w:pStyle w:val="H23GC"/>
      </w:pPr>
      <w:r w:rsidRPr="007B279A">
        <w:rPr>
          <w:lang w:val="zh-CN"/>
        </w:rPr>
        <w:tab/>
        <w:t xml:space="preserve"> </w:t>
      </w:r>
      <w:r w:rsidR="009224C2" w:rsidRPr="007B279A">
        <w:rPr>
          <w:lang w:val="zh-CN"/>
        </w:rPr>
        <w:t>(b)</w:t>
      </w:r>
      <w:r w:rsidR="009224C2" w:rsidRPr="007B279A">
        <w:rPr>
          <w:lang w:val="zh-CN"/>
        </w:rPr>
        <w:tab/>
      </w:r>
      <w:r w:rsidR="009224C2" w:rsidRPr="007B279A">
        <w:rPr>
          <w:lang w:val="zh-CN"/>
        </w:rPr>
        <w:t>缺乏适合各起案件的战略，搜</w:t>
      </w:r>
      <w:r w:rsidR="009224C2" w:rsidRPr="007B279A">
        <w:rPr>
          <w:rFonts w:ascii="宋体" w:hAnsi="宋体" w:cs="宋体" w:hint="eastAsia"/>
          <w:lang w:val="zh-CN"/>
        </w:rPr>
        <w:t>寻</w:t>
      </w:r>
      <w:r w:rsidR="009224C2" w:rsidRPr="007B279A">
        <w:rPr>
          <w:lang w:val="zh-CN"/>
        </w:rPr>
        <w:t>和调查程序之间缺乏协调</w:t>
      </w:r>
    </w:p>
    <w:p w14:paraId="66A237A3" w14:textId="57E16860" w:rsidR="009224C2" w:rsidRPr="007B279A" w:rsidRDefault="009224C2" w:rsidP="009224C2">
      <w:pPr>
        <w:pStyle w:val="SingleTxtGC"/>
        <w:tabs>
          <w:tab w:val="clear" w:pos="431"/>
        </w:tabs>
      </w:pPr>
      <w:r w:rsidRPr="007B279A">
        <w:rPr>
          <w:lang w:val="zh-CN"/>
        </w:rPr>
        <w:t>11.</w:t>
      </w:r>
      <w:r w:rsidRPr="007B279A">
        <w:rPr>
          <w:lang w:val="zh-CN"/>
        </w:rPr>
        <w:tab/>
      </w:r>
      <w:r w:rsidRPr="007B279A">
        <w:rPr>
          <w:lang w:val="zh-CN"/>
        </w:rPr>
        <w:t>委员会继续在对紧急行动请求采取后续行动时提出关切，指出缔约国未能确定并实施按照《公约》第十二和第二十四条搜寻失踪人员并调查其失踪情况的综</w:t>
      </w:r>
      <w:r w:rsidRPr="003071CF">
        <w:rPr>
          <w:spacing w:val="-2"/>
          <w:lang w:val="zh-CN"/>
        </w:rPr>
        <w:t>合策略。此种情况下，委员会曾要求有关缔约国根据《</w:t>
      </w:r>
      <w:r w:rsidRPr="003071CF">
        <w:rPr>
          <w:rFonts w:hint="eastAsia"/>
          <w:spacing w:val="-2"/>
          <w:lang w:val="zh-CN"/>
        </w:rPr>
        <w:t>搜寻</w:t>
      </w:r>
      <w:r w:rsidRPr="003071CF">
        <w:rPr>
          <w:spacing w:val="-2"/>
          <w:lang w:val="zh-CN"/>
        </w:rPr>
        <w:t>失踪人员指导原则》</w:t>
      </w:r>
      <w:r w:rsidRPr="003071CF">
        <w:rPr>
          <w:rStyle w:val="a8"/>
          <w:rFonts w:eastAsia="宋体"/>
          <w:spacing w:val="-2"/>
        </w:rPr>
        <w:footnoteReference w:id="6"/>
      </w:r>
      <w:r w:rsidR="003071CF" w:rsidRPr="003071CF">
        <w:rPr>
          <w:rFonts w:hint="eastAsia"/>
          <w:spacing w:val="-2"/>
          <w:lang w:val="zh-CN"/>
        </w:rPr>
        <w:t xml:space="preserve"> </w:t>
      </w:r>
      <w:r w:rsidRPr="007B279A">
        <w:rPr>
          <w:lang w:val="zh-CN"/>
        </w:rPr>
        <w:t>原则</w:t>
      </w:r>
      <w:r w:rsidRPr="007B279A">
        <w:rPr>
          <w:lang w:val="zh-CN"/>
        </w:rPr>
        <w:t>8,</w:t>
      </w:r>
      <w:r w:rsidR="003071CF">
        <w:t xml:space="preserve"> </w:t>
      </w:r>
      <w:r w:rsidRPr="007B279A">
        <w:rPr>
          <w:lang w:val="zh-CN"/>
        </w:rPr>
        <w:t>制定并实施一项</w:t>
      </w:r>
      <w:r w:rsidRPr="007B279A">
        <w:rPr>
          <w:rFonts w:hint="eastAsia"/>
          <w:lang w:val="zh-CN"/>
        </w:rPr>
        <w:t>搜寻</w:t>
      </w:r>
      <w:r w:rsidRPr="007B279A">
        <w:rPr>
          <w:lang w:val="zh-CN"/>
        </w:rPr>
        <w:t>和调查战略，其中应包括行动计划和时间表，并应定期接受评估。</w:t>
      </w:r>
      <w:r w:rsidRPr="007B279A">
        <w:rPr>
          <w:rFonts w:hint="eastAsia"/>
          <w:lang w:val="en-GB"/>
        </w:rPr>
        <w:t>然而，大多数情况下，缔约国继续报告搜寻和调查行动各自为政、互不协调，这表明不存在任何此种战略，也阻止或妨碍了在寻找有关失踪人员方面取得切实进展。</w:t>
      </w:r>
    </w:p>
    <w:p w14:paraId="783D589B" w14:textId="3E3128A9" w:rsidR="009224C2" w:rsidRPr="007B279A" w:rsidRDefault="009224C2" w:rsidP="009224C2">
      <w:pPr>
        <w:pStyle w:val="SingleTxtGC"/>
        <w:tabs>
          <w:tab w:val="clear" w:pos="431"/>
        </w:tabs>
      </w:pPr>
      <w:r w:rsidRPr="007B279A">
        <w:rPr>
          <w:lang w:val="zh-CN"/>
        </w:rPr>
        <w:t>12.</w:t>
      </w:r>
      <w:r w:rsidRPr="007B279A">
        <w:rPr>
          <w:lang w:val="zh-CN"/>
        </w:rPr>
        <w:tab/>
      </w:r>
      <w:r w:rsidRPr="007B279A">
        <w:rPr>
          <w:lang w:val="zh-CN"/>
        </w:rPr>
        <w:t>依据从缔约国收到的信息，委员会继续注意到，在所登记的大多数紧急行动请求中，搜寻程序和调查程序之间</w:t>
      </w:r>
      <w:r w:rsidRPr="007B279A">
        <w:rPr>
          <w:rFonts w:hint="eastAsia"/>
          <w:lang w:val="zh-CN"/>
        </w:rPr>
        <w:t>显然</w:t>
      </w:r>
      <w:r w:rsidRPr="007B279A">
        <w:rPr>
          <w:lang w:val="zh-CN"/>
        </w:rPr>
        <w:t>缺乏协调配合。</w:t>
      </w:r>
      <w:r w:rsidRPr="007B279A">
        <w:rPr>
          <w:rFonts w:hint="eastAsia"/>
          <w:lang w:val="zh-CN"/>
        </w:rPr>
        <w:t>出现</w:t>
      </w:r>
      <w:r w:rsidRPr="007B279A">
        <w:rPr>
          <w:rFonts w:hint="eastAsia"/>
          <w:lang w:val="en-GB"/>
        </w:rPr>
        <w:t>这种缺乏协调的情况，通常是由于国家主管部门没有分享履行各自任务时获得的信息和证据，某些情况下导致重复性工作，另一些情况下造成信息缺失，并再次导致搜寻和调查进程停滞不前，或在寻找失踪人员和查明肇事者方面造成不必要拖延。此种情况下，委员会继续强调必须根据《搜寻失踪人员指导原则》原则</w:t>
      </w:r>
      <w:r w:rsidRPr="007B279A">
        <w:rPr>
          <w:lang w:val="en-GB"/>
        </w:rPr>
        <w:t>13,</w:t>
      </w:r>
      <w:r w:rsidR="00050D24">
        <w:rPr>
          <w:lang w:val="en-GB"/>
        </w:rPr>
        <w:t xml:space="preserve"> </w:t>
      </w:r>
      <w:r w:rsidRPr="007B279A">
        <w:rPr>
          <w:rFonts w:hint="eastAsia"/>
          <w:lang w:val="en-GB"/>
        </w:rPr>
        <w:t>在负责搜寻和负责调查的部门之间开展协调，以便双方可以迅速有效地利用对方获得的任何信息。</w:t>
      </w:r>
    </w:p>
    <w:p w14:paraId="647D1DD4" w14:textId="69C8BC3E" w:rsidR="009224C2" w:rsidRPr="007B279A" w:rsidRDefault="00340C37" w:rsidP="00340C37">
      <w:pPr>
        <w:pStyle w:val="H23GC"/>
      </w:pPr>
      <w:r w:rsidRPr="007B279A">
        <w:rPr>
          <w:lang w:val="zh-CN"/>
        </w:rPr>
        <w:tab/>
        <w:t xml:space="preserve"> </w:t>
      </w:r>
      <w:r w:rsidR="009224C2" w:rsidRPr="007B279A">
        <w:rPr>
          <w:lang w:val="zh-CN"/>
        </w:rPr>
        <w:t>(c)</w:t>
      </w:r>
      <w:r w:rsidR="009224C2" w:rsidRPr="007B279A">
        <w:rPr>
          <w:lang w:val="zh-CN"/>
        </w:rPr>
        <w:tab/>
      </w:r>
      <w:r w:rsidR="009224C2" w:rsidRPr="007B279A">
        <w:rPr>
          <w:lang w:val="zh-CN"/>
        </w:rPr>
        <w:t>亲属切实参与搜寻和调查方面存在挑战</w:t>
      </w:r>
    </w:p>
    <w:p w14:paraId="2EEE4108" w14:textId="77777777" w:rsidR="009224C2" w:rsidRPr="007B279A" w:rsidRDefault="009224C2" w:rsidP="009224C2">
      <w:pPr>
        <w:pStyle w:val="SingleTxtGC"/>
        <w:tabs>
          <w:tab w:val="clear" w:pos="431"/>
        </w:tabs>
      </w:pPr>
      <w:r w:rsidRPr="007B279A">
        <w:t>13.</w:t>
      </w:r>
      <w:r w:rsidRPr="007B279A">
        <w:tab/>
      </w:r>
      <w:r w:rsidRPr="007B279A">
        <w:rPr>
          <w:rFonts w:hint="eastAsia"/>
        </w:rPr>
        <w:t>在本报告所述期内，委员会继续收到关于失踪人员亲属在切实参与搜寻和调查方面面临障碍的报告，包括缺乏有关部门在搜寻和调查过程中所采取措施和所取得结果的信息。在涉及伊拉克的一些案件中，缔约国在向委员会发出的照会中邀请失踪人员亲属参与搜寻和调查程序，而不是直接向亲属本人发出邀请。</w:t>
      </w:r>
      <w:r w:rsidRPr="007B279A">
        <w:rPr>
          <w:lang w:val="zh-CN"/>
        </w:rPr>
        <w:t>在这方面</w:t>
      </w:r>
      <w:r w:rsidRPr="007B279A">
        <w:t>，</w:t>
      </w:r>
      <w:r w:rsidRPr="007B279A">
        <w:rPr>
          <w:lang w:val="zh-CN"/>
        </w:rPr>
        <w:t>委员会继续建议</w:t>
      </w:r>
      <w:r w:rsidRPr="007B279A">
        <w:rPr>
          <w:rFonts w:hint="eastAsia"/>
          <w:lang w:val="zh-CN"/>
        </w:rPr>
        <w:t>有</w:t>
      </w:r>
      <w:r w:rsidRPr="007B279A">
        <w:rPr>
          <w:lang w:val="zh-CN"/>
        </w:rPr>
        <w:t>关缔约国建立明确的正式机制</w:t>
      </w:r>
      <w:r w:rsidRPr="007B279A">
        <w:t>，</w:t>
      </w:r>
      <w:r w:rsidRPr="007B279A">
        <w:rPr>
          <w:lang w:val="zh-CN"/>
        </w:rPr>
        <w:t>按照《公约》第二十四</w:t>
      </w:r>
      <w:r w:rsidRPr="007B279A">
        <w:rPr>
          <w:lang w:val="zh-CN"/>
        </w:rPr>
        <w:lastRenderedPageBreak/>
        <w:t>条和《搜寻失踪人员指导原则》原则</w:t>
      </w:r>
      <w:r w:rsidRPr="007B279A">
        <w:t>5</w:t>
      </w:r>
      <w:r w:rsidRPr="007B279A">
        <w:rPr>
          <w:lang w:val="zh-CN"/>
        </w:rPr>
        <w:t>定期向失踪人员的亲属和代表通报搜寻和调查的进展情况</w:t>
      </w:r>
      <w:r w:rsidRPr="007B279A">
        <w:t>，</w:t>
      </w:r>
      <w:r w:rsidRPr="007B279A">
        <w:rPr>
          <w:lang w:val="zh-CN"/>
        </w:rPr>
        <w:t>允许他们充分参与搜寻和调查</w:t>
      </w:r>
      <w:r w:rsidRPr="007B279A">
        <w:t>，</w:t>
      </w:r>
      <w:r w:rsidRPr="007B279A">
        <w:rPr>
          <w:lang w:val="zh-CN"/>
        </w:rPr>
        <w:t>并让其获得进展和结果的任何相关信息。</w:t>
      </w:r>
    </w:p>
    <w:p w14:paraId="0541A2C8" w14:textId="77777777" w:rsidR="009224C2" w:rsidRPr="007B279A" w:rsidRDefault="009224C2" w:rsidP="009224C2">
      <w:pPr>
        <w:pStyle w:val="SingleTxtGC"/>
        <w:tabs>
          <w:tab w:val="clear" w:pos="431"/>
        </w:tabs>
        <w:rPr>
          <w:lang w:val="en-GB"/>
        </w:rPr>
      </w:pPr>
      <w:r w:rsidRPr="007B279A">
        <w:rPr>
          <w:lang w:val="en-GB"/>
        </w:rPr>
        <w:t>14.</w:t>
      </w:r>
      <w:r w:rsidRPr="007B279A">
        <w:rPr>
          <w:lang w:val="en-GB"/>
        </w:rPr>
        <w:tab/>
      </w:r>
      <w:r w:rsidRPr="007B279A">
        <w:rPr>
          <w:rFonts w:hint="eastAsia"/>
          <w:lang w:val="en-GB"/>
        </w:rPr>
        <w:t>委员会高度关切的是，关于墨西哥纳亚里特州的失踪案件的几项紧急行动请求，委员会收到报告称，在调查档案从纳亚里特州检察官办公室转到联邦检察官办公室的过程中，其中的证据丢失，此后失踪人员的亲属无法查阅档案。委员会还感到关切的是，关于墨西哥哈利斯科州一起失踪案件的紧急行动的请求，委员会收到指控称，哈利斯科州检察官办公室以其中包含机密信息为由，拒绝向失踪人员亲属提供调查档案的副本。</w:t>
      </w:r>
    </w:p>
    <w:p w14:paraId="420E8216" w14:textId="4431A797" w:rsidR="009224C2" w:rsidRPr="007B279A" w:rsidRDefault="00340C37" w:rsidP="00340C37">
      <w:pPr>
        <w:pStyle w:val="H23GC"/>
      </w:pPr>
      <w:r w:rsidRPr="007B279A">
        <w:rPr>
          <w:lang w:val="zh-CN"/>
        </w:rPr>
        <w:tab/>
        <w:t xml:space="preserve"> </w:t>
      </w:r>
      <w:r w:rsidR="009224C2" w:rsidRPr="007B279A">
        <w:rPr>
          <w:lang w:val="zh-CN"/>
        </w:rPr>
        <w:t>(d)</w:t>
      </w:r>
      <w:r w:rsidR="009224C2" w:rsidRPr="007B279A">
        <w:rPr>
          <w:rFonts w:eastAsiaTheme="minorEastAsia"/>
          <w:lang w:val="zh-CN"/>
        </w:rPr>
        <w:tab/>
      </w:r>
      <w:r w:rsidR="009224C2" w:rsidRPr="007B279A">
        <w:rPr>
          <w:lang w:val="zh-CN"/>
        </w:rPr>
        <w:t>缺乏区别对待的办法</w:t>
      </w:r>
    </w:p>
    <w:p w14:paraId="41A15F02" w14:textId="77777777" w:rsidR="009224C2" w:rsidRPr="007B279A" w:rsidRDefault="009224C2" w:rsidP="009224C2">
      <w:pPr>
        <w:pStyle w:val="SingleTxtGC"/>
        <w:tabs>
          <w:tab w:val="clear" w:pos="431"/>
        </w:tabs>
      </w:pPr>
      <w:r w:rsidRPr="007B279A">
        <w:rPr>
          <w:lang w:val="zh-CN"/>
        </w:rPr>
        <w:t>15.</w:t>
      </w:r>
      <w:r w:rsidRPr="007B279A">
        <w:rPr>
          <w:lang w:val="zh-CN"/>
        </w:rPr>
        <w:tab/>
      </w:r>
      <w:r w:rsidRPr="007B279A">
        <w:rPr>
          <w:lang w:val="zh-CN"/>
        </w:rPr>
        <w:t>委员会回顾指出，搜寻脆弱人员，需要能够满足其特殊需求的特别程序、经验和知识。</w:t>
      </w:r>
      <w:r w:rsidRPr="007B279A">
        <w:rPr>
          <w:rFonts w:hint="eastAsia"/>
          <w:lang w:val="zh-CN"/>
        </w:rPr>
        <w:t>在涉及妇女，包括跨性别妇女的紧急行动请求中，委员会系统地要求，搜寻程序的所有阶段都要考虑到性别观，由包括女性工作人员在内的专门工作人员进行。同样，委员会要求在儿童失踪案件中采取区别对待的办法，包括在搜寻程序的所有阶段尊重儿童最大利益的原则。尽管如此，委员会迄今尚未收到有关缔约国关于这些建议在实践中如何得到落实的资料。</w:t>
      </w:r>
    </w:p>
    <w:p w14:paraId="66C6A179" w14:textId="67F460CB" w:rsidR="009224C2" w:rsidRPr="007B279A" w:rsidRDefault="00340C37" w:rsidP="00340C37">
      <w:pPr>
        <w:pStyle w:val="H23GC"/>
      </w:pPr>
      <w:r w:rsidRPr="007B279A">
        <w:rPr>
          <w:lang w:val="en-GB"/>
        </w:rPr>
        <w:tab/>
        <w:t xml:space="preserve"> </w:t>
      </w:r>
      <w:r w:rsidR="009224C2" w:rsidRPr="007B279A">
        <w:rPr>
          <w:lang w:val="en-GB"/>
        </w:rPr>
        <w:t>(e)</w:t>
      </w:r>
      <w:r w:rsidR="009224C2" w:rsidRPr="007B279A">
        <w:rPr>
          <w:lang w:val="en-GB"/>
        </w:rPr>
        <w:tab/>
      </w:r>
      <w:r w:rsidR="009224C2" w:rsidRPr="007B279A">
        <w:rPr>
          <w:rFonts w:ascii="宋体" w:hAnsi="宋体" w:cs="宋体" w:hint="eastAsia"/>
          <w:lang w:val="en-GB"/>
        </w:rPr>
        <w:t>冠状病毒病</w:t>
      </w:r>
      <w:r w:rsidR="009224C2" w:rsidRPr="007B279A">
        <w:rPr>
          <w:lang w:val="en-GB"/>
        </w:rPr>
        <w:t>(COVID-19)</w:t>
      </w:r>
      <w:r w:rsidR="009224C2" w:rsidRPr="007B279A">
        <w:rPr>
          <w:rFonts w:ascii="宋体" w:hAnsi="宋体" w:cs="宋体" w:hint="eastAsia"/>
          <w:lang w:val="en-GB"/>
        </w:rPr>
        <w:t>大流行对搜寻和调查工作造成的拖延</w:t>
      </w:r>
    </w:p>
    <w:p w14:paraId="6D2D7F50" w14:textId="77777777" w:rsidR="009224C2" w:rsidRPr="007B279A" w:rsidRDefault="009224C2" w:rsidP="009224C2">
      <w:pPr>
        <w:pStyle w:val="SingleTxtGC"/>
        <w:tabs>
          <w:tab w:val="clear" w:pos="431"/>
        </w:tabs>
      </w:pPr>
      <w:r w:rsidRPr="007B279A">
        <w:rPr>
          <w:lang w:val="en-GB"/>
        </w:rPr>
        <w:t>16.</w:t>
      </w:r>
      <w:r w:rsidRPr="007B279A">
        <w:rPr>
          <w:lang w:val="en-GB"/>
        </w:rPr>
        <w:tab/>
      </w:r>
      <w:r w:rsidRPr="007B279A">
        <w:rPr>
          <w:rFonts w:hint="eastAsia"/>
          <w:lang w:val="en-GB"/>
        </w:rPr>
        <w:t>关于涉及墨西哥所发生事件的一项紧急行动请求，委员会获悉，搜寻程序因</w:t>
      </w:r>
      <w:r w:rsidRPr="007B279A">
        <w:rPr>
          <w:rFonts w:hint="eastAsia"/>
          <w:lang w:val="en-GB"/>
        </w:rPr>
        <w:t>COVID</w:t>
      </w:r>
      <w:r w:rsidRPr="007B279A">
        <w:rPr>
          <w:lang w:val="en-GB"/>
        </w:rPr>
        <w:t>-19</w:t>
      </w:r>
      <w:r w:rsidRPr="007B279A">
        <w:rPr>
          <w:rFonts w:hint="eastAsia"/>
          <w:lang w:val="en-GB"/>
        </w:rPr>
        <w:t>大流行而出现延误。这种情况下，委员会强调，虽然它意识到</w:t>
      </w:r>
      <w:r w:rsidRPr="007B279A">
        <w:rPr>
          <w:rFonts w:hint="eastAsia"/>
          <w:lang w:val="en-GB"/>
        </w:rPr>
        <w:t>COVID</w:t>
      </w:r>
      <w:r w:rsidRPr="007B279A">
        <w:rPr>
          <w:lang w:val="en-GB"/>
        </w:rPr>
        <w:t>-19</w:t>
      </w:r>
      <w:r w:rsidRPr="007B279A">
        <w:rPr>
          <w:rFonts w:hint="eastAsia"/>
          <w:lang w:val="en-GB"/>
        </w:rPr>
        <w:t>大流行可能会导致各种限制，从而给搜寻和调查程序造成障碍或延误，但这些程序不应因此类限制而陷入瘫痪。委员会还呼吁采取协调一致的紧急措施，继续开展搜寻和调查。</w:t>
      </w:r>
    </w:p>
    <w:p w14:paraId="057A1089" w14:textId="2592AC41" w:rsidR="009224C2" w:rsidRPr="007B279A" w:rsidRDefault="00340C37" w:rsidP="00340C37">
      <w:pPr>
        <w:pStyle w:val="H23GC"/>
      </w:pPr>
      <w:r w:rsidRPr="007B279A">
        <w:tab/>
        <w:t xml:space="preserve"> </w:t>
      </w:r>
      <w:r w:rsidR="009224C2" w:rsidRPr="007B279A">
        <w:t>(f)</w:t>
      </w:r>
      <w:r w:rsidR="009224C2" w:rsidRPr="007B279A">
        <w:tab/>
      </w:r>
      <w:r w:rsidR="009224C2" w:rsidRPr="007B279A">
        <w:rPr>
          <w:lang w:val="zh-CN"/>
        </w:rPr>
        <w:t>报复</w:t>
      </w:r>
    </w:p>
    <w:p w14:paraId="36D8FD9C" w14:textId="7EF1B2E8" w:rsidR="009224C2" w:rsidRPr="007B279A" w:rsidRDefault="009224C2" w:rsidP="009224C2">
      <w:pPr>
        <w:pStyle w:val="SingleTxtGC"/>
        <w:tabs>
          <w:tab w:val="clear" w:pos="431"/>
        </w:tabs>
      </w:pPr>
      <w:r w:rsidRPr="007B279A">
        <w:t>17.</w:t>
      </w:r>
      <w:r w:rsidRPr="007B279A">
        <w:tab/>
      </w:r>
      <w:r w:rsidRPr="007B279A">
        <w:rPr>
          <w:rFonts w:hint="eastAsia"/>
        </w:rPr>
        <w:t>委员会收到紧急行动请求提交人的指控，通常涉及失踪人员亲属遭到威胁和报复，目的是阻止他们参与或推动搜寻和调查进程。在目前仍在进行的</w:t>
      </w:r>
      <w:r w:rsidRPr="007B279A">
        <w:t>290</w:t>
      </w:r>
      <w:r w:rsidRPr="007B279A">
        <w:rPr>
          <w:rFonts w:hint="eastAsia"/>
        </w:rPr>
        <w:t>起案件中，委员会要求有关缔约国依照《公约》第二十四条规定的缔约国义务，并根据《搜寻失踪人员指导原则》原则</w:t>
      </w:r>
      <w:r w:rsidRPr="007B279A">
        <w:t>14,</w:t>
      </w:r>
      <w:r w:rsidR="00050D24">
        <w:t xml:space="preserve"> </w:t>
      </w:r>
      <w:r w:rsidRPr="007B279A">
        <w:rPr>
          <w:rFonts w:hint="eastAsia"/>
        </w:rPr>
        <w:t>采取保护措施保护有关人员的生命和身心完整，允许他们在不受暴力、恐吓或骚扰的情况下开展搜寻活动。委员会还要求有关缔约国确保采取这种措施要事先征得需要保护者的同意，并应他们的要求接受审查。</w:t>
      </w:r>
      <w:r w:rsidRPr="007B279A">
        <w:t>2021</w:t>
      </w:r>
      <w:r w:rsidRPr="007B279A">
        <w:rPr>
          <w:rFonts w:hint="eastAsia"/>
        </w:rPr>
        <w:t>年，委员会要求就该年度登记的</w:t>
      </w:r>
      <w:r w:rsidRPr="007B279A">
        <w:t>60</w:t>
      </w:r>
      <w:r w:rsidRPr="007B279A">
        <w:rPr>
          <w:rFonts w:hint="eastAsia"/>
        </w:rPr>
        <w:t>项紧急行动请求采取保护措施：墨西哥失踪案</w:t>
      </w:r>
      <w:r w:rsidRPr="007B279A">
        <w:t>44</w:t>
      </w:r>
      <w:r w:rsidRPr="007B279A">
        <w:rPr>
          <w:rFonts w:hint="eastAsia"/>
        </w:rPr>
        <w:t>项、伊拉克</w:t>
      </w:r>
      <w:r w:rsidRPr="007B279A">
        <w:t>13</w:t>
      </w:r>
      <w:r w:rsidRPr="007B279A">
        <w:rPr>
          <w:rFonts w:hint="eastAsia"/>
        </w:rPr>
        <w:t>项、洪都拉斯</w:t>
      </w:r>
      <w:r w:rsidRPr="007B279A">
        <w:t>1</w:t>
      </w:r>
      <w:r w:rsidRPr="007B279A">
        <w:rPr>
          <w:rFonts w:hint="eastAsia"/>
        </w:rPr>
        <w:t>项、摩洛哥</w:t>
      </w:r>
      <w:r w:rsidRPr="007B279A">
        <w:t>1</w:t>
      </w:r>
      <w:r w:rsidRPr="007B279A">
        <w:rPr>
          <w:rFonts w:hint="eastAsia"/>
        </w:rPr>
        <w:t>项、巴拉圭</w:t>
      </w:r>
      <w:r w:rsidRPr="007B279A">
        <w:t>1</w:t>
      </w:r>
      <w:r w:rsidRPr="007B279A">
        <w:rPr>
          <w:rFonts w:hint="eastAsia"/>
        </w:rPr>
        <w:t>项</w:t>
      </w:r>
      <w:r w:rsidRPr="007B279A">
        <w:t>(1</w:t>
      </w:r>
      <w:r w:rsidRPr="007B279A">
        <w:rPr>
          <w:rFonts w:hint="eastAsia"/>
        </w:rPr>
        <w:t>起案件</w:t>
      </w:r>
      <w:r w:rsidRPr="007B279A">
        <w:t>)</w:t>
      </w:r>
      <w:r w:rsidRPr="007B279A">
        <w:rPr>
          <w:rFonts w:hint="eastAsia"/>
        </w:rPr>
        <w:t>。委员会感到关切的是，收到资料显示，尽管缔约国答复称已采取保护措施，但受益人并不知道这些措施，而且继续受到威胁和恐吓。委员会尤为关切的是，关于墨西哥纳亚里特州的紧急行动请求，委员会收到指控称，被传唤作证的证人在即将出庭前被拘留，因此无法作证。</w:t>
      </w:r>
    </w:p>
    <w:p w14:paraId="3D861919" w14:textId="41C1D378" w:rsidR="009224C2" w:rsidRPr="007B279A" w:rsidRDefault="00340C37" w:rsidP="00340C37">
      <w:pPr>
        <w:pStyle w:val="H23GC"/>
      </w:pPr>
      <w:r w:rsidRPr="007B279A">
        <w:rPr>
          <w:lang w:val="zh-CN"/>
        </w:rPr>
        <w:tab/>
      </w:r>
      <w:r w:rsidR="009224C2" w:rsidRPr="007B279A">
        <w:rPr>
          <w:lang w:val="zh-CN"/>
        </w:rPr>
        <w:t>2.</w:t>
      </w:r>
      <w:r w:rsidR="009224C2" w:rsidRPr="007B279A">
        <w:rPr>
          <w:lang w:val="zh-CN"/>
        </w:rPr>
        <w:tab/>
      </w:r>
      <w:r w:rsidR="009224C2" w:rsidRPr="007B279A">
        <w:rPr>
          <w:rFonts w:ascii="宋体" w:hAnsi="宋体" w:cs="宋体" w:hint="eastAsia"/>
          <w:lang w:val="zh-CN"/>
        </w:rPr>
        <w:t>有关</w:t>
      </w:r>
      <w:r w:rsidR="009224C2" w:rsidRPr="007B279A">
        <w:rPr>
          <w:lang w:val="zh-CN"/>
        </w:rPr>
        <w:t>伊拉克和墨西哥的具体趋势</w:t>
      </w:r>
    </w:p>
    <w:p w14:paraId="5C7D9C3D" w14:textId="77777777" w:rsidR="009224C2" w:rsidRPr="007B279A" w:rsidRDefault="009224C2" w:rsidP="009224C2">
      <w:pPr>
        <w:pStyle w:val="SingleTxtGC"/>
        <w:tabs>
          <w:tab w:val="clear" w:pos="431"/>
        </w:tabs>
      </w:pPr>
      <w:r w:rsidRPr="007B279A">
        <w:rPr>
          <w:lang w:val="zh-CN"/>
        </w:rPr>
        <w:t>18.</w:t>
      </w:r>
      <w:r w:rsidRPr="007B279A">
        <w:rPr>
          <w:lang w:val="zh-CN"/>
        </w:rPr>
        <w:tab/>
      </w:r>
      <w:r w:rsidRPr="007B279A">
        <w:rPr>
          <w:rFonts w:hint="eastAsia"/>
          <w:lang w:val="zh-CN"/>
        </w:rPr>
        <w:t>本</w:t>
      </w:r>
      <w:r w:rsidRPr="007B279A">
        <w:rPr>
          <w:lang w:val="zh-CN"/>
        </w:rPr>
        <w:t>报告所述期内，伊拉克和墨西哥仍是登记的紧急行动请求数量最多的两个当事缔约国，两国现占登记的紧急行动请求总量</w:t>
      </w:r>
      <w:r w:rsidRPr="007B279A">
        <w:rPr>
          <w:lang w:val="zh-CN"/>
        </w:rPr>
        <w:t>69%</w:t>
      </w:r>
      <w:r w:rsidRPr="007B279A">
        <w:rPr>
          <w:lang w:val="zh-CN"/>
        </w:rPr>
        <w:t>。</w:t>
      </w:r>
      <w:r w:rsidRPr="007B279A">
        <w:rPr>
          <w:rFonts w:hint="eastAsia"/>
          <w:lang w:val="zh-CN"/>
        </w:rPr>
        <w:t>不过委员会也收到越来越</w:t>
      </w:r>
      <w:r w:rsidRPr="007B279A">
        <w:rPr>
          <w:rFonts w:hint="eastAsia"/>
          <w:lang w:val="zh-CN"/>
        </w:rPr>
        <w:lastRenderedPageBreak/>
        <w:t>多的涉及其他缔约国的请求。在本报告所述期内，委员会收到了第一项就阿曼所发生事件提出的紧急行动请求</w:t>
      </w:r>
      <w:r w:rsidRPr="007B279A">
        <w:rPr>
          <w:lang w:val="zh-CN"/>
        </w:rPr>
        <w:t>(</w:t>
      </w:r>
      <w:r w:rsidRPr="007B279A">
        <w:rPr>
          <w:rFonts w:hint="eastAsia"/>
          <w:lang w:val="zh-CN"/>
        </w:rPr>
        <w:t>见下文第</w:t>
      </w:r>
      <w:r w:rsidRPr="007B279A">
        <w:rPr>
          <w:rFonts w:hint="eastAsia"/>
          <w:lang w:val="zh-CN"/>
        </w:rPr>
        <w:t>3</w:t>
      </w:r>
      <w:r w:rsidRPr="007B279A">
        <w:rPr>
          <w:lang w:val="zh-CN"/>
        </w:rPr>
        <w:t>8</w:t>
      </w:r>
      <w:r w:rsidRPr="007B279A">
        <w:rPr>
          <w:rFonts w:hint="eastAsia"/>
          <w:lang w:val="zh-CN"/>
        </w:rPr>
        <w:t>段</w:t>
      </w:r>
      <w:r w:rsidRPr="007B279A">
        <w:rPr>
          <w:lang w:val="zh-CN"/>
        </w:rPr>
        <w:t>)</w:t>
      </w:r>
      <w:r w:rsidRPr="007B279A">
        <w:rPr>
          <w:rFonts w:hint="eastAsia"/>
          <w:lang w:val="zh-CN"/>
        </w:rPr>
        <w:t>。</w:t>
      </w:r>
    </w:p>
    <w:p w14:paraId="59DFA6ED" w14:textId="0716B4F1" w:rsidR="009224C2" w:rsidRPr="007B279A" w:rsidRDefault="00340C37" w:rsidP="00340C37">
      <w:pPr>
        <w:pStyle w:val="H23GC"/>
      </w:pPr>
      <w:r w:rsidRPr="007B279A">
        <w:rPr>
          <w:lang w:val="zh-CN"/>
        </w:rPr>
        <w:tab/>
        <w:t xml:space="preserve"> </w:t>
      </w:r>
      <w:r w:rsidR="009224C2" w:rsidRPr="007B279A">
        <w:rPr>
          <w:lang w:val="zh-CN"/>
        </w:rPr>
        <w:t>(a)</w:t>
      </w:r>
      <w:r w:rsidR="009224C2" w:rsidRPr="007B279A">
        <w:rPr>
          <w:lang w:val="zh-CN"/>
        </w:rPr>
        <w:tab/>
      </w:r>
      <w:r w:rsidR="009224C2" w:rsidRPr="007B279A">
        <w:rPr>
          <w:lang w:val="zh-CN"/>
        </w:rPr>
        <w:t>伊拉克</w:t>
      </w:r>
    </w:p>
    <w:p w14:paraId="7413B8F9" w14:textId="77777777" w:rsidR="009224C2" w:rsidRPr="007B279A" w:rsidRDefault="009224C2" w:rsidP="009224C2">
      <w:pPr>
        <w:pStyle w:val="SingleTxtGC"/>
        <w:tabs>
          <w:tab w:val="clear" w:pos="431"/>
        </w:tabs>
      </w:pPr>
      <w:r w:rsidRPr="007B279A">
        <w:rPr>
          <w:lang w:val="zh-CN"/>
        </w:rPr>
        <w:t>19.</w:t>
      </w:r>
      <w:r w:rsidRPr="007B279A">
        <w:rPr>
          <w:lang w:val="zh-CN"/>
        </w:rPr>
        <w:tab/>
      </w:r>
      <w:r w:rsidRPr="007B279A">
        <w:rPr>
          <w:lang w:val="zh-CN"/>
        </w:rPr>
        <w:t>截至</w:t>
      </w:r>
      <w:r w:rsidRPr="007B279A">
        <w:rPr>
          <w:lang w:val="zh-CN"/>
        </w:rPr>
        <w:t>2022</w:t>
      </w:r>
      <w:r w:rsidRPr="007B279A">
        <w:rPr>
          <w:lang w:val="zh-CN"/>
        </w:rPr>
        <w:t>年</w:t>
      </w:r>
      <w:r w:rsidRPr="007B279A">
        <w:rPr>
          <w:lang w:val="zh-CN"/>
        </w:rPr>
        <w:t>4</w:t>
      </w:r>
      <w:r w:rsidRPr="007B279A">
        <w:rPr>
          <w:lang w:val="zh-CN"/>
        </w:rPr>
        <w:t>月</w:t>
      </w:r>
      <w:r w:rsidRPr="007B279A">
        <w:rPr>
          <w:lang w:val="zh-CN"/>
        </w:rPr>
        <w:t>8</w:t>
      </w:r>
      <w:r w:rsidRPr="007B279A">
        <w:rPr>
          <w:lang w:val="zh-CN"/>
        </w:rPr>
        <w:t>日，委员会共登记了</w:t>
      </w:r>
      <w:r w:rsidRPr="007B279A">
        <w:rPr>
          <w:lang w:val="zh-CN"/>
        </w:rPr>
        <w:t>552</w:t>
      </w:r>
      <w:r w:rsidRPr="007B279A">
        <w:rPr>
          <w:lang w:val="zh-CN"/>
        </w:rPr>
        <w:t>起与伊拉克所发生事件有关的案件，占迄今登记的紧急行动请求总量</w:t>
      </w:r>
      <w:r w:rsidRPr="007B279A">
        <w:rPr>
          <w:rFonts w:hint="eastAsia"/>
          <w:lang w:val="zh-CN"/>
        </w:rPr>
        <w:t>的</w:t>
      </w:r>
      <w:r w:rsidRPr="007B279A">
        <w:rPr>
          <w:lang w:val="zh-CN"/>
        </w:rPr>
        <w:t>37%</w:t>
      </w:r>
      <w:r w:rsidRPr="007B279A">
        <w:rPr>
          <w:lang w:val="zh-CN"/>
        </w:rPr>
        <w:t>。</w:t>
      </w:r>
      <w:r w:rsidRPr="007B279A">
        <w:rPr>
          <w:rFonts w:hint="eastAsia"/>
          <w:lang w:val="en-GB"/>
        </w:rPr>
        <w:t>委员会高度关切的是，根据收到的资料，这些案件中只有</w:t>
      </w:r>
      <w:r w:rsidRPr="007B279A">
        <w:rPr>
          <w:lang w:val="en-GB"/>
        </w:rPr>
        <w:t>34</w:t>
      </w:r>
      <w:r w:rsidRPr="007B279A">
        <w:rPr>
          <w:rFonts w:hint="eastAsia"/>
          <w:lang w:val="en-GB"/>
        </w:rPr>
        <w:t>起已经找到失踪者，仅占与伊拉克所发生事件有关的所有紧急行动请求的</w:t>
      </w:r>
      <w:r w:rsidRPr="007B279A">
        <w:rPr>
          <w:lang w:val="en-GB"/>
        </w:rPr>
        <w:t>6%</w:t>
      </w:r>
      <w:r w:rsidRPr="007B279A">
        <w:rPr>
          <w:rFonts w:hint="eastAsia"/>
          <w:lang w:val="en-GB"/>
        </w:rPr>
        <w:t>。在本报告所述期内，找到了由他人代为提出紧急行动请求的五名失踪者。委员会感到关切的是，即使失踪人员已从拘留中获释或被发现处于拘留状态，通知委员会的也是紧急行动请求提交人，而不是缔约国。委员会对于缔约国未能在结束或终止有关案件的照会中向委员会通报此类事态发展表示关切。</w:t>
      </w:r>
    </w:p>
    <w:p w14:paraId="33AC115C" w14:textId="77777777" w:rsidR="009224C2" w:rsidRPr="007B279A" w:rsidRDefault="009224C2" w:rsidP="009224C2">
      <w:pPr>
        <w:pStyle w:val="SingleTxtGC"/>
        <w:tabs>
          <w:tab w:val="clear" w:pos="431"/>
        </w:tabs>
      </w:pPr>
      <w:r w:rsidRPr="007B279A">
        <w:t>20.</w:t>
      </w:r>
      <w:r w:rsidRPr="007B279A">
        <w:tab/>
      </w:r>
      <w:r w:rsidRPr="007B279A">
        <w:rPr>
          <w:rFonts w:hint="eastAsia"/>
        </w:rPr>
        <w:t>其中一起案件中，失踪人员被拘留，仅获准与亲属当面或通过电话进行有限的联系，但不准与律师联系。</w:t>
      </w:r>
      <w:r w:rsidRPr="007B279A">
        <w:rPr>
          <w:lang w:val="zh-CN"/>
        </w:rPr>
        <w:t>该案中</w:t>
      </w:r>
      <w:r w:rsidRPr="007B279A">
        <w:t>，</w:t>
      </w:r>
      <w:r w:rsidRPr="007B279A">
        <w:rPr>
          <w:lang w:val="zh-CN"/>
        </w:rPr>
        <w:t>委员会回顾《公约》</w:t>
      </w:r>
      <w:r w:rsidRPr="00411760">
        <w:rPr>
          <w:lang w:val="zh-CN"/>
        </w:rPr>
        <w:t>第十七条</w:t>
      </w:r>
      <w:r w:rsidRPr="00411760">
        <w:rPr>
          <w:rFonts w:hint="eastAsia"/>
          <w:lang w:val="zh-CN"/>
        </w:rPr>
        <w:t>第二款</w:t>
      </w:r>
      <w:r w:rsidRPr="00411760">
        <w:rPr>
          <w:lang w:val="zh-CN"/>
        </w:rPr>
        <w:t>第</w:t>
      </w:r>
      <w:r w:rsidRPr="00411760">
        <w:t>(</w:t>
      </w:r>
      <w:r w:rsidRPr="00411760">
        <w:rPr>
          <w:lang w:val="zh-CN"/>
        </w:rPr>
        <w:t>四</w:t>
      </w:r>
      <w:r w:rsidRPr="00411760">
        <w:t>)</w:t>
      </w:r>
      <w:r w:rsidRPr="00411760">
        <w:rPr>
          <w:lang w:val="zh-CN"/>
        </w:rPr>
        <w:t>和第</w:t>
      </w:r>
      <w:r w:rsidRPr="00411760">
        <w:t>(</w:t>
      </w:r>
      <w:r w:rsidRPr="00411760">
        <w:rPr>
          <w:lang w:val="zh-CN"/>
        </w:rPr>
        <w:t>六</w:t>
      </w:r>
      <w:r w:rsidRPr="00411760">
        <w:t>)</w:t>
      </w:r>
      <w:r w:rsidRPr="00411760">
        <w:rPr>
          <w:rFonts w:hint="eastAsia"/>
          <w:lang w:val="zh-CN"/>
        </w:rPr>
        <w:t>项</w:t>
      </w:r>
      <w:r w:rsidRPr="00411760">
        <w:t>：</w:t>
      </w:r>
      <w:r w:rsidRPr="00411760">
        <w:rPr>
          <w:lang w:val="zh-CN"/>
        </w:rPr>
        <w:t>根据第十七条</w:t>
      </w:r>
      <w:r w:rsidRPr="00411760">
        <w:rPr>
          <w:rFonts w:hint="eastAsia"/>
          <w:lang w:val="zh-CN"/>
        </w:rPr>
        <w:t>第二款</w:t>
      </w:r>
      <w:r w:rsidRPr="00411760">
        <w:rPr>
          <w:lang w:val="zh-CN"/>
        </w:rPr>
        <w:t>第</w:t>
      </w:r>
      <w:r w:rsidRPr="00411760">
        <w:t>(</w:t>
      </w:r>
      <w:r w:rsidRPr="00411760">
        <w:rPr>
          <w:lang w:val="zh-CN"/>
        </w:rPr>
        <w:t>四</w:t>
      </w:r>
      <w:r w:rsidRPr="00411760">
        <w:t>)</w:t>
      </w:r>
      <w:r w:rsidRPr="00411760">
        <w:rPr>
          <w:rFonts w:hint="eastAsia"/>
          <w:lang w:val="zh-CN"/>
        </w:rPr>
        <w:t>项</w:t>
      </w:r>
      <w:r w:rsidRPr="00411760">
        <w:t>，</w:t>
      </w:r>
      <w:r w:rsidRPr="00411760">
        <w:rPr>
          <w:lang w:val="zh-CN"/>
        </w:rPr>
        <w:t>缔约国必须保证任何被剥夺自由的人都能获准与其家属、律师或</w:t>
      </w:r>
      <w:r w:rsidRPr="00411760">
        <w:rPr>
          <w:rFonts w:hint="eastAsia"/>
          <w:lang w:val="zh-CN"/>
        </w:rPr>
        <w:t>由其</w:t>
      </w:r>
      <w:r w:rsidRPr="00411760">
        <w:rPr>
          <w:lang w:val="zh-CN"/>
        </w:rPr>
        <w:t>选择的任何其他人取得联系并接受探视</w:t>
      </w:r>
      <w:r w:rsidRPr="00411760">
        <w:t>，</w:t>
      </w:r>
      <w:r w:rsidRPr="00411760">
        <w:rPr>
          <w:lang w:val="zh-CN"/>
        </w:rPr>
        <w:t>且仅受法律规定条件的限制。根据第十七条</w:t>
      </w:r>
      <w:r w:rsidRPr="00411760">
        <w:rPr>
          <w:rFonts w:hint="eastAsia"/>
          <w:lang w:val="zh-CN"/>
        </w:rPr>
        <w:t>第二款</w:t>
      </w:r>
      <w:r w:rsidRPr="00411760">
        <w:rPr>
          <w:lang w:val="zh-CN"/>
        </w:rPr>
        <w:t>第</w:t>
      </w:r>
      <w:r w:rsidRPr="00411760">
        <w:rPr>
          <w:lang w:val="zh-CN"/>
        </w:rPr>
        <w:t>(</w:t>
      </w:r>
      <w:r w:rsidRPr="00411760">
        <w:rPr>
          <w:lang w:val="zh-CN"/>
        </w:rPr>
        <w:t>六</w:t>
      </w:r>
      <w:r w:rsidRPr="00411760">
        <w:rPr>
          <w:lang w:val="zh-CN"/>
        </w:rPr>
        <w:t>)</w:t>
      </w:r>
      <w:r w:rsidRPr="00411760">
        <w:rPr>
          <w:lang w:val="zh-CN"/>
        </w:rPr>
        <w:t>项，缔</w:t>
      </w:r>
      <w:r w:rsidRPr="007B279A">
        <w:rPr>
          <w:lang w:val="zh-CN"/>
        </w:rPr>
        <w:t>约国必须保证任何被剥夺自由的人，或在怀疑发生强迫失踪的情况下，由于被剥夺自由的人无法行使这项权利，任何有合法利益的人，如被剥夺自由人的家属、他们的代表或律师，在任何情况下都有权向法院提起诉讼，以便法院立即对剥夺其自由是否合法</w:t>
      </w:r>
      <w:proofErr w:type="gramStart"/>
      <w:r w:rsidRPr="007B279A">
        <w:rPr>
          <w:lang w:val="zh-CN"/>
        </w:rPr>
        <w:t>作出</w:t>
      </w:r>
      <w:proofErr w:type="gramEnd"/>
      <w:r w:rsidRPr="007B279A">
        <w:rPr>
          <w:lang w:val="zh-CN"/>
        </w:rPr>
        <w:t>裁决，如果剥夺自由不合法，则应下令释放。</w:t>
      </w:r>
    </w:p>
    <w:p w14:paraId="6B22B549" w14:textId="77777777" w:rsidR="009224C2" w:rsidRPr="007B279A" w:rsidRDefault="009224C2" w:rsidP="009224C2">
      <w:pPr>
        <w:pStyle w:val="SingleTxtGC"/>
        <w:tabs>
          <w:tab w:val="clear" w:pos="431"/>
        </w:tabs>
      </w:pPr>
      <w:r w:rsidRPr="007B279A">
        <w:rPr>
          <w:lang w:val="en-GB"/>
        </w:rPr>
        <w:t>21.</w:t>
      </w:r>
      <w:r w:rsidRPr="007B279A">
        <w:rPr>
          <w:lang w:val="en-GB"/>
        </w:rPr>
        <w:tab/>
      </w:r>
      <w:r w:rsidRPr="007B279A">
        <w:rPr>
          <w:rFonts w:hint="eastAsia"/>
          <w:lang w:val="en-GB"/>
        </w:rPr>
        <w:t>委员会关切地注意到，伊拉克如上文第</w:t>
      </w:r>
      <w:r w:rsidRPr="007B279A">
        <w:rPr>
          <w:lang w:val="en-GB"/>
        </w:rPr>
        <w:t>9</w:t>
      </w:r>
      <w:r w:rsidRPr="007B279A">
        <w:rPr>
          <w:rFonts w:hint="eastAsia"/>
          <w:lang w:val="en-GB"/>
        </w:rPr>
        <w:t>段所述，与《公约》第三十条之下的紧急行动程序缺乏合作，这与迄今为止在伊拉克找到的失踪者人数少得惊人直接相关。</w:t>
      </w:r>
    </w:p>
    <w:p w14:paraId="2D919A92" w14:textId="7299868C" w:rsidR="009224C2" w:rsidRPr="007B279A" w:rsidRDefault="009224C2" w:rsidP="009224C2">
      <w:pPr>
        <w:pStyle w:val="SingleTxtGC"/>
        <w:tabs>
          <w:tab w:val="clear" w:pos="431"/>
        </w:tabs>
      </w:pPr>
      <w:r w:rsidRPr="007B279A">
        <w:rPr>
          <w:lang w:val="zh-CN"/>
        </w:rPr>
        <w:t>22.</w:t>
      </w:r>
      <w:r w:rsidRPr="007B279A">
        <w:rPr>
          <w:lang w:val="zh-CN"/>
        </w:rPr>
        <w:tab/>
      </w:r>
      <w:r w:rsidRPr="007B279A">
        <w:rPr>
          <w:lang w:val="zh-CN"/>
        </w:rPr>
        <w:t>在该缔约国向委员会提交了回复的情况下</w:t>
      </w:r>
      <w:r w:rsidR="007C4A74">
        <w:rPr>
          <w:rFonts w:hint="eastAsia"/>
          <w:spacing w:val="-50"/>
        </w:rPr>
        <w:t>―</w:t>
      </w:r>
      <w:r w:rsidR="007C4A74">
        <w:rPr>
          <w:rFonts w:hint="eastAsia"/>
        </w:rPr>
        <w:t>―</w:t>
      </w:r>
      <w:r w:rsidRPr="007B279A">
        <w:rPr>
          <w:lang w:val="zh-CN"/>
        </w:rPr>
        <w:t>该国仅对不到一半的登记案件提交了回复</w:t>
      </w:r>
      <w:r w:rsidR="007C4A74">
        <w:rPr>
          <w:rFonts w:hint="eastAsia"/>
          <w:spacing w:val="-50"/>
        </w:rPr>
        <w:t>―</w:t>
      </w:r>
      <w:r w:rsidR="007C4A74">
        <w:rPr>
          <w:rFonts w:hint="eastAsia"/>
        </w:rPr>
        <w:t>―</w:t>
      </w:r>
      <w:r w:rsidRPr="007B279A">
        <w:rPr>
          <w:lang w:val="zh-CN"/>
        </w:rPr>
        <w:t>其回复通常与以往报告中委员会所观察到的趋势同出一辙，即该缔约国未提供任何信息说明为搜寻失踪人员或调查其据称遭强迫失踪情况采取的行动。该缔约国与以往一样，仍然坚称若干案件中的失踪者与恐怖组织有关联，而未提供任何进一步信息说明针对他们提出的任何具体刑事指控、启动的任何具体诉讼程序以及签发的任何具体逮捕令。在这些案件中，委员会提醒缔约国，《公约》没有对缔约国搜寻失踪人员和调查失踪情况的义务规定任何例外，无论失踪者的个人情况和所受怀疑如何。</w:t>
      </w:r>
      <w:r w:rsidRPr="007B279A">
        <w:rPr>
          <w:rFonts w:hint="eastAsia"/>
          <w:lang w:val="en-GB"/>
        </w:rPr>
        <w:t>委员会同样强调，所有人，包括受制裁恐怖主义措施影响的人，都必须能够获得司法救助和补救。</w:t>
      </w:r>
      <w:r w:rsidRPr="001C4C32">
        <w:rPr>
          <w:rStyle w:val="a8"/>
          <w:rFonts w:eastAsia="宋体"/>
        </w:rPr>
        <w:footnoteReference w:id="7"/>
      </w:r>
      <w:r w:rsidRPr="007B279A">
        <w:rPr>
          <w:lang w:val="en-GB"/>
        </w:rPr>
        <w:t xml:space="preserve"> </w:t>
      </w:r>
      <w:r w:rsidRPr="007B279A">
        <w:rPr>
          <w:rFonts w:hint="eastAsia"/>
          <w:lang w:val="en-GB"/>
        </w:rPr>
        <w:t>委员会还要求缔约国提供逮捕令或任何将失踪者列为伊拉克当局通缉人员的官方文件的副本，如果对这些人提出了具体的刑事指控和诉讼，则正式通知他们的亲属和代表并立即将他们置于法律保护之下，使其能够准备辩护，而且要保护和促进他们的正当程序权。委员会欢迎缔约国最近对这一要求</w:t>
      </w:r>
      <w:proofErr w:type="gramStart"/>
      <w:r w:rsidRPr="007B279A">
        <w:rPr>
          <w:rFonts w:hint="eastAsia"/>
          <w:lang w:val="en-GB"/>
        </w:rPr>
        <w:t>作出</w:t>
      </w:r>
      <w:proofErr w:type="gramEnd"/>
      <w:r w:rsidRPr="007B279A">
        <w:rPr>
          <w:rFonts w:hint="eastAsia"/>
          <w:lang w:val="en-GB"/>
        </w:rPr>
        <w:t>的答复，其中确实提供了相关逮捕令的副本，另一份答复中也承认失踪人员已经死亡，并提供了遗体所在地的信息。委员会希望缔约国继续更为系统地与委员会合作，告知亲属失踪者的下落以及所采取的搜寻和调查措施，无论失踪者是否与恐怖组织有关联。</w:t>
      </w:r>
      <w:r w:rsidR="007C4A74">
        <w:rPr>
          <w:rFonts w:hint="eastAsia"/>
          <w:lang w:val="en-GB"/>
        </w:rPr>
        <w:t xml:space="preserve"> </w:t>
      </w:r>
    </w:p>
    <w:p w14:paraId="45E39FFE" w14:textId="77777777" w:rsidR="009224C2" w:rsidRPr="007B279A" w:rsidRDefault="009224C2" w:rsidP="009224C2">
      <w:pPr>
        <w:pStyle w:val="SingleTxtGC"/>
        <w:tabs>
          <w:tab w:val="clear" w:pos="431"/>
        </w:tabs>
      </w:pPr>
      <w:r w:rsidRPr="007B279A">
        <w:lastRenderedPageBreak/>
        <w:t>23.</w:t>
      </w:r>
      <w:r w:rsidRPr="007B279A">
        <w:tab/>
      </w:r>
      <w:r w:rsidRPr="007B279A">
        <w:rPr>
          <w:rFonts w:hint="eastAsia"/>
        </w:rPr>
        <w:t>在某些案件中，缔约国答复称失踪者亲属没有向有关当局提出申诉，而他们确实向几个国家级行政和司法当局提出了申诉。委员会在这些案件中回顾指出，《搜寻失踪人员指导原则》原则</w:t>
      </w:r>
      <w:r w:rsidRPr="007B279A">
        <w:t>6</w:t>
      </w:r>
      <w:r w:rsidRPr="007B279A">
        <w:rPr>
          <w:rFonts w:hint="eastAsia"/>
        </w:rPr>
        <w:t>规定：主管机关一旦以任何方式知悉某人遭受强迫失踪或发现此种迹象，则有义务搜寻和找到此人；即便没有提出正式申诉或请求，负责搜寻的机关也应主动立即迅速开展搜寻；不得以家人或申诉人未提供信息为由，为未能启动搜寻和定位失踪人员的活动辩解。如果对是否发生非自愿失踪存疑，仍应立即开始搜寻。</w:t>
      </w:r>
    </w:p>
    <w:p w14:paraId="487D9BA7" w14:textId="77777777" w:rsidR="009224C2" w:rsidRPr="007B279A" w:rsidRDefault="009224C2" w:rsidP="009224C2">
      <w:pPr>
        <w:pStyle w:val="SingleTxtGC"/>
        <w:tabs>
          <w:tab w:val="clear" w:pos="431"/>
        </w:tabs>
      </w:pPr>
      <w:r w:rsidRPr="007B279A">
        <w:rPr>
          <w:lang w:val="en-GB"/>
        </w:rPr>
        <w:t>24.</w:t>
      </w:r>
      <w:r w:rsidRPr="007B279A">
        <w:rPr>
          <w:lang w:val="en-GB"/>
        </w:rPr>
        <w:tab/>
      </w:r>
      <w:r w:rsidRPr="007B279A">
        <w:rPr>
          <w:rFonts w:hint="eastAsia"/>
          <w:lang w:val="en-GB"/>
        </w:rPr>
        <w:t>在两起案件中，缔约国辩称，提交人未得到据称受害人的同意而行事，并指出失踪者的母亲表示她没有授权提出这些请求。委员会答复说，紧急行动请求符合《公约》规定：根据第三十条第一款，失踪人员的亲属、他们的法律代表、律师或</w:t>
      </w:r>
      <w:proofErr w:type="gramStart"/>
      <w:r w:rsidRPr="007B279A">
        <w:rPr>
          <w:rFonts w:hint="eastAsia"/>
          <w:lang w:val="en-GB"/>
        </w:rPr>
        <w:t>任何得到</w:t>
      </w:r>
      <w:proofErr w:type="gramEnd"/>
      <w:r w:rsidRPr="007B279A">
        <w:rPr>
          <w:rFonts w:hint="eastAsia"/>
          <w:lang w:val="en-GB"/>
        </w:rPr>
        <w:t>其授权的人，以及任何拥有合法权益的其他人，均可向委员会提出请求。委员会补充说，紧急行动请求提交人的身份是保密的。</w:t>
      </w:r>
    </w:p>
    <w:p w14:paraId="15C94158" w14:textId="77777777" w:rsidR="009224C2" w:rsidRPr="007B279A" w:rsidRDefault="009224C2" w:rsidP="009224C2">
      <w:pPr>
        <w:pStyle w:val="SingleTxtGC"/>
        <w:tabs>
          <w:tab w:val="clear" w:pos="431"/>
        </w:tabs>
      </w:pPr>
      <w:r w:rsidRPr="007B279A">
        <w:rPr>
          <w:lang w:val="zh-CN"/>
        </w:rPr>
        <w:t>25.</w:t>
      </w:r>
      <w:r w:rsidRPr="007B279A">
        <w:rPr>
          <w:lang w:val="zh-CN"/>
        </w:rPr>
        <w:tab/>
      </w:r>
      <w:r w:rsidRPr="007B279A">
        <w:rPr>
          <w:lang w:val="zh-CN"/>
        </w:rPr>
        <w:t>在委员会登记的一些案件中，缔约国</w:t>
      </w:r>
      <w:r w:rsidRPr="007B279A">
        <w:rPr>
          <w:rFonts w:hint="eastAsia"/>
          <w:lang w:val="zh-CN"/>
        </w:rPr>
        <w:t>的</w:t>
      </w:r>
      <w:r w:rsidRPr="007B279A">
        <w:rPr>
          <w:lang w:val="zh-CN"/>
        </w:rPr>
        <w:t>答复</w:t>
      </w:r>
      <w:r w:rsidRPr="007B279A">
        <w:rPr>
          <w:rFonts w:hint="eastAsia"/>
          <w:lang w:val="zh-CN"/>
        </w:rPr>
        <w:t>是</w:t>
      </w:r>
      <w:r w:rsidRPr="007B279A">
        <w:rPr>
          <w:lang w:val="zh-CN"/>
        </w:rPr>
        <w:t>通过委员会邀请失踪者亲属到卫生部法医部门查看身份不明尸体</w:t>
      </w:r>
      <w:r w:rsidRPr="007B279A">
        <w:rPr>
          <w:rFonts w:hint="eastAsia"/>
          <w:lang w:val="zh-CN"/>
        </w:rPr>
        <w:t>的</w:t>
      </w:r>
      <w:r w:rsidRPr="007B279A">
        <w:rPr>
          <w:lang w:val="zh-CN"/>
        </w:rPr>
        <w:t>照片，</w:t>
      </w:r>
      <w:r w:rsidRPr="007B279A">
        <w:rPr>
          <w:rFonts w:hint="eastAsia"/>
          <w:lang w:val="zh-CN"/>
        </w:rPr>
        <w:t>也许</w:t>
      </w:r>
      <w:r w:rsidRPr="007B279A">
        <w:rPr>
          <w:lang w:val="zh-CN"/>
        </w:rPr>
        <w:t>能够辨认出有关失踪者。委员会指出，这些邀请应直接发给亲属本人，并应定期向他们通报搜寻和调查的任何结果。</w:t>
      </w:r>
    </w:p>
    <w:p w14:paraId="64DC811E" w14:textId="77777777" w:rsidR="009224C2" w:rsidRPr="007B279A" w:rsidRDefault="009224C2" w:rsidP="009224C2">
      <w:pPr>
        <w:pStyle w:val="SingleTxtGC"/>
        <w:tabs>
          <w:tab w:val="clear" w:pos="431"/>
        </w:tabs>
      </w:pPr>
      <w:r w:rsidRPr="007B279A">
        <w:rPr>
          <w:lang w:val="en-GB"/>
        </w:rPr>
        <w:t>26.</w:t>
      </w:r>
      <w:r w:rsidRPr="007B279A">
        <w:rPr>
          <w:lang w:val="en-GB"/>
        </w:rPr>
        <w:tab/>
      </w:r>
      <w:r w:rsidRPr="007B279A">
        <w:rPr>
          <w:rFonts w:hint="eastAsia"/>
          <w:lang w:val="en-GB"/>
        </w:rPr>
        <w:t>和上一个报告周期相同，</w:t>
      </w:r>
      <w:r w:rsidRPr="001C4C32">
        <w:rPr>
          <w:rStyle w:val="a8"/>
          <w:rFonts w:eastAsia="宋体"/>
        </w:rPr>
        <w:footnoteReference w:id="8"/>
      </w:r>
      <w:r w:rsidRPr="007B279A">
        <w:rPr>
          <w:lang w:val="en-GB"/>
        </w:rPr>
        <w:t xml:space="preserve"> </w:t>
      </w:r>
      <w:r w:rsidRPr="007B279A">
        <w:rPr>
          <w:rFonts w:hint="eastAsia"/>
          <w:lang w:val="en-GB"/>
        </w:rPr>
        <w:t>委员会继续收到一些新的紧急行动请求，涉及</w:t>
      </w:r>
      <w:r w:rsidRPr="007B279A">
        <w:rPr>
          <w:lang w:val="en-GB"/>
        </w:rPr>
        <w:t>2017</w:t>
      </w:r>
      <w:r w:rsidRPr="007B279A">
        <w:rPr>
          <w:rFonts w:hint="eastAsia"/>
          <w:lang w:val="en-GB"/>
        </w:rPr>
        <w:t>年发生的失踪案件。据报告，在伊拉克安全部队即将进入尼</w:t>
      </w:r>
      <w:proofErr w:type="gramStart"/>
      <w:r w:rsidRPr="007B279A">
        <w:rPr>
          <w:rFonts w:hint="eastAsia"/>
          <w:lang w:val="en-GB"/>
        </w:rPr>
        <w:t>尼</w:t>
      </w:r>
      <w:proofErr w:type="gramEnd"/>
      <w:r w:rsidRPr="007B279A">
        <w:rPr>
          <w:rFonts w:hint="eastAsia"/>
          <w:lang w:val="en-GB"/>
        </w:rPr>
        <w:t>微</w:t>
      </w:r>
      <w:r w:rsidRPr="007B279A">
        <w:rPr>
          <w:lang w:val="en-GB"/>
        </w:rPr>
        <w:t>(Ninawa)</w:t>
      </w:r>
      <w:r w:rsidRPr="007B279A">
        <w:rPr>
          <w:rFonts w:hint="eastAsia"/>
          <w:lang w:val="en-GB"/>
        </w:rPr>
        <w:t>省的哈达尔</w:t>
      </w:r>
      <w:r w:rsidRPr="007B279A">
        <w:rPr>
          <w:lang w:val="en-GB"/>
        </w:rPr>
        <w:t>(</w:t>
      </w:r>
      <w:proofErr w:type="spellStart"/>
      <w:r w:rsidRPr="007B279A">
        <w:rPr>
          <w:lang w:val="en-GB"/>
        </w:rPr>
        <w:t>Hadar</w:t>
      </w:r>
      <w:proofErr w:type="spellEnd"/>
      <w:r w:rsidRPr="007B279A">
        <w:rPr>
          <w:lang w:val="en-GB"/>
        </w:rPr>
        <w:t>)</w:t>
      </w:r>
      <w:r w:rsidRPr="007B279A">
        <w:rPr>
          <w:rFonts w:hint="eastAsia"/>
          <w:lang w:val="en-GB"/>
        </w:rPr>
        <w:t>县时，大约</w:t>
      </w:r>
      <w:r w:rsidRPr="007B279A">
        <w:rPr>
          <w:lang w:val="en-GB"/>
        </w:rPr>
        <w:t>50</w:t>
      </w:r>
      <w:r w:rsidRPr="007B279A">
        <w:rPr>
          <w:rFonts w:hint="eastAsia"/>
          <w:lang w:val="en-GB"/>
        </w:rPr>
        <w:t>个逊尼</w:t>
      </w:r>
      <w:proofErr w:type="gramStart"/>
      <w:r w:rsidRPr="007B279A">
        <w:rPr>
          <w:rFonts w:hint="eastAsia"/>
          <w:lang w:val="en-GB"/>
        </w:rPr>
        <w:t>派家庭</w:t>
      </w:r>
      <w:proofErr w:type="gramEnd"/>
      <w:r w:rsidRPr="007B279A">
        <w:rPr>
          <w:rFonts w:hint="eastAsia"/>
          <w:lang w:val="en-GB"/>
        </w:rPr>
        <w:t>驾车逃往奥</w:t>
      </w:r>
      <w:proofErr w:type="gramStart"/>
      <w:r w:rsidRPr="007B279A">
        <w:rPr>
          <w:rFonts w:hint="eastAsia"/>
          <w:lang w:val="en-GB"/>
        </w:rPr>
        <w:t>莱</w:t>
      </w:r>
      <w:proofErr w:type="gramEnd"/>
      <w:r w:rsidRPr="007B279A">
        <w:rPr>
          <w:rFonts w:hint="eastAsia"/>
          <w:lang w:val="en-GB"/>
        </w:rPr>
        <w:t>巴</w:t>
      </w:r>
      <w:r w:rsidRPr="007B279A">
        <w:rPr>
          <w:lang w:val="en-GB"/>
        </w:rPr>
        <w:t>(</w:t>
      </w:r>
      <w:proofErr w:type="spellStart"/>
      <w:r w:rsidRPr="007B279A">
        <w:rPr>
          <w:lang w:val="en-GB"/>
        </w:rPr>
        <w:t>Obleba</w:t>
      </w:r>
      <w:proofErr w:type="spellEnd"/>
      <w:r w:rsidRPr="007B279A">
        <w:rPr>
          <w:lang w:val="en-GB"/>
        </w:rPr>
        <w:t>)</w:t>
      </w:r>
      <w:r w:rsidRPr="007B279A">
        <w:rPr>
          <w:rFonts w:hint="eastAsia"/>
          <w:lang w:val="en-GB"/>
        </w:rPr>
        <w:t>村。伊拉克安全部队下属民兵逮捕了其中的男子，将他们蒙上眼睛，戴上手铐，带到哈达尔十字路口。委员会还收到另外一些新的紧急行动请求，涉及</w:t>
      </w:r>
      <w:r w:rsidRPr="007B279A">
        <w:rPr>
          <w:lang w:val="en-GB"/>
        </w:rPr>
        <w:t>2015</w:t>
      </w:r>
      <w:r w:rsidRPr="007B279A">
        <w:rPr>
          <w:rFonts w:hint="eastAsia"/>
          <w:lang w:val="en-GB"/>
        </w:rPr>
        <w:t>年在人民动员力量与达伊沙作战行动中发生的失踪案件，当时有许多家庭逃离家园。根据委员会收到的资料，人民动员力量逮捕了一些男子，从未将他们送回家人身边。在这两类案件中，委员会请缔约国确认失踪人员是否被关押在任何正式或非正式的剥夺自由场所，如果是，根据《公约》第十七条第二款第</w:t>
      </w:r>
      <w:r w:rsidRPr="007B279A">
        <w:rPr>
          <w:lang w:val="en-GB"/>
        </w:rPr>
        <w:t>(</w:t>
      </w:r>
      <w:r w:rsidRPr="007B279A">
        <w:rPr>
          <w:rFonts w:hint="eastAsia"/>
          <w:lang w:val="en-GB"/>
        </w:rPr>
        <w:t>四</w:t>
      </w:r>
      <w:r w:rsidRPr="007B279A">
        <w:rPr>
          <w:lang w:val="en-GB"/>
        </w:rPr>
        <w:t>)</w:t>
      </w:r>
      <w:r w:rsidRPr="007B279A">
        <w:rPr>
          <w:rFonts w:hint="eastAsia"/>
          <w:lang w:val="en-GB"/>
        </w:rPr>
        <w:t>项，保证他们有权与家属、律师或由其选择的任何其他人取得联系并接受探视，并向委员会通报对他们提出的任何指控或启动的任何诉讼。委员会仍在等待缔约国提供这方面的信息。</w:t>
      </w:r>
    </w:p>
    <w:p w14:paraId="7A5245EB" w14:textId="77777777" w:rsidR="009224C2" w:rsidRPr="007B279A" w:rsidRDefault="009224C2" w:rsidP="009224C2">
      <w:pPr>
        <w:pStyle w:val="SingleTxtGC"/>
        <w:tabs>
          <w:tab w:val="clear" w:pos="431"/>
        </w:tabs>
      </w:pPr>
      <w:r w:rsidRPr="007B279A">
        <w:rPr>
          <w:lang w:val="en-GB"/>
        </w:rPr>
        <w:t>27.</w:t>
      </w:r>
      <w:r w:rsidRPr="007B279A">
        <w:rPr>
          <w:lang w:val="en-GB"/>
        </w:rPr>
        <w:tab/>
      </w:r>
      <w:r w:rsidRPr="007B279A">
        <w:rPr>
          <w:rFonts w:hint="eastAsia"/>
          <w:lang w:val="en-GB"/>
        </w:rPr>
        <w:t>关于</w:t>
      </w:r>
      <w:r w:rsidRPr="007B279A">
        <w:rPr>
          <w:lang w:val="en-GB"/>
        </w:rPr>
        <w:t>2019</w:t>
      </w:r>
      <w:r w:rsidRPr="007B279A">
        <w:rPr>
          <w:rFonts w:hint="eastAsia"/>
          <w:lang w:val="en-GB"/>
        </w:rPr>
        <w:t>年登记的一项紧急行动请求，委员会收到消息称，曾多次呼吁释放其儿子和对凶手实施刑事制裁的失踪者父亲在阿马拉</w:t>
      </w:r>
      <w:r w:rsidRPr="007B279A">
        <w:rPr>
          <w:lang w:val="en-GB"/>
        </w:rPr>
        <w:t>(Amara)</w:t>
      </w:r>
      <w:r w:rsidRPr="007B279A">
        <w:rPr>
          <w:rFonts w:hint="eastAsia"/>
          <w:lang w:val="en-GB"/>
        </w:rPr>
        <w:t>被枪杀。有鉴于此，委员会请缔约国立即采取措施，将面临报复风险的受害人亲属转移到更安全地方。根据提交人提供的最新信息，缔约国表示愿意协助有关人员搬迁。然而，委员会仍感关切的是，尽管生命继续受到威胁，受害人亲属仍然没有得到转移。</w:t>
      </w:r>
    </w:p>
    <w:p w14:paraId="41514966" w14:textId="77777777" w:rsidR="009224C2" w:rsidRPr="007B279A" w:rsidRDefault="009224C2" w:rsidP="009224C2">
      <w:pPr>
        <w:pStyle w:val="SingleTxtGC"/>
        <w:tabs>
          <w:tab w:val="clear" w:pos="431"/>
        </w:tabs>
      </w:pPr>
      <w:r w:rsidRPr="007B279A">
        <w:rPr>
          <w:lang w:val="en-GB"/>
        </w:rPr>
        <w:t>28.</w:t>
      </w:r>
      <w:r w:rsidRPr="007B279A">
        <w:rPr>
          <w:lang w:val="en-GB"/>
        </w:rPr>
        <w:tab/>
      </w:r>
      <w:r w:rsidRPr="007B279A">
        <w:rPr>
          <w:rFonts w:hint="eastAsia"/>
          <w:lang w:val="en-GB"/>
        </w:rPr>
        <w:t>委员会还登记了两项紧急行动请求，涉及一个非国家行为体造成的失踪事件。请求涉及在达伊沙手中失踪的两个雅兹迪兄弟姐妹。</w:t>
      </w:r>
      <w:r w:rsidRPr="007B279A">
        <w:rPr>
          <w:lang w:val="en-GB"/>
        </w:rPr>
        <w:t>2014</w:t>
      </w:r>
      <w:r w:rsidRPr="007B279A">
        <w:rPr>
          <w:rFonts w:hint="eastAsia"/>
          <w:lang w:val="en-GB"/>
        </w:rPr>
        <w:t>年</w:t>
      </w:r>
      <w:r w:rsidRPr="007B279A">
        <w:rPr>
          <w:lang w:val="en-GB"/>
        </w:rPr>
        <w:t>8</w:t>
      </w:r>
      <w:r w:rsidRPr="007B279A">
        <w:rPr>
          <w:rFonts w:hint="eastAsia"/>
          <w:lang w:val="en-GB"/>
        </w:rPr>
        <w:t>月</w:t>
      </w:r>
      <w:r w:rsidRPr="007B279A">
        <w:rPr>
          <w:lang w:val="en-GB"/>
        </w:rPr>
        <w:t>15</w:t>
      </w:r>
      <w:r w:rsidRPr="007B279A">
        <w:rPr>
          <w:rFonts w:hint="eastAsia"/>
          <w:lang w:val="en-GB"/>
        </w:rPr>
        <w:t>日，</w:t>
      </w:r>
      <w:proofErr w:type="gramStart"/>
      <w:r w:rsidRPr="007B279A">
        <w:rPr>
          <w:rFonts w:hint="eastAsia"/>
          <w:lang w:val="en-GB"/>
        </w:rPr>
        <w:t>达伊沙</w:t>
      </w:r>
      <w:proofErr w:type="gramEnd"/>
      <w:r w:rsidRPr="007B279A">
        <w:rPr>
          <w:rFonts w:hint="eastAsia"/>
          <w:lang w:val="en-GB"/>
        </w:rPr>
        <w:t>士兵集合</w:t>
      </w:r>
      <w:proofErr w:type="gramStart"/>
      <w:r w:rsidRPr="007B279A">
        <w:rPr>
          <w:rFonts w:hint="eastAsia"/>
          <w:lang w:val="en-GB"/>
        </w:rPr>
        <w:t>了库朱</w:t>
      </w:r>
      <w:proofErr w:type="gramEnd"/>
      <w:r w:rsidRPr="007B279A">
        <w:rPr>
          <w:rFonts w:hint="eastAsia"/>
          <w:lang w:val="en-GB"/>
        </w:rPr>
        <w:t>(</w:t>
      </w:r>
      <w:proofErr w:type="spellStart"/>
      <w:r w:rsidRPr="007B279A">
        <w:rPr>
          <w:lang w:val="en-GB"/>
        </w:rPr>
        <w:t>Kuju</w:t>
      </w:r>
      <w:proofErr w:type="spellEnd"/>
      <w:r w:rsidRPr="007B279A">
        <w:rPr>
          <w:lang w:val="en-GB"/>
        </w:rPr>
        <w:t>)</w:t>
      </w:r>
      <w:r w:rsidRPr="007B279A">
        <w:rPr>
          <w:rFonts w:hint="eastAsia"/>
          <w:lang w:val="en-GB"/>
        </w:rPr>
        <w:t>村的所有居民，将妇女和儿童带到伊拉克和阿拉伯叙利亚共和国的不同地点。失踪者家属向伊拉克</w:t>
      </w:r>
      <w:proofErr w:type="gramStart"/>
      <w:r w:rsidRPr="007B279A">
        <w:rPr>
          <w:rFonts w:hint="eastAsia"/>
          <w:lang w:val="en-GB"/>
        </w:rPr>
        <w:t>在杜胡克</w:t>
      </w:r>
      <w:proofErr w:type="gramEnd"/>
      <w:r w:rsidRPr="007B279A">
        <w:rPr>
          <w:rFonts w:hint="eastAsia"/>
          <w:lang w:val="en-GB"/>
        </w:rPr>
        <w:t>(</w:t>
      </w:r>
      <w:proofErr w:type="spellStart"/>
      <w:r w:rsidRPr="007B279A">
        <w:rPr>
          <w:lang w:val="en-GB"/>
        </w:rPr>
        <w:t>Dahuk</w:t>
      </w:r>
      <w:proofErr w:type="spellEnd"/>
      <w:r w:rsidRPr="007B279A">
        <w:rPr>
          <w:rFonts w:hint="eastAsia"/>
          <w:lang w:val="en-GB"/>
        </w:rPr>
        <w:t>)</w:t>
      </w:r>
      <w:r w:rsidRPr="007B279A">
        <w:rPr>
          <w:rFonts w:hint="eastAsia"/>
          <w:lang w:val="en-GB"/>
        </w:rPr>
        <w:t>的法院提出申诉未果。因此，委员会要求缔约国根据《公约》第三十条，立即采取行动搜寻查找这些人员并加以保护。</w:t>
      </w:r>
    </w:p>
    <w:p w14:paraId="66799FCD" w14:textId="78CD036A" w:rsidR="009224C2" w:rsidRPr="007B279A" w:rsidRDefault="00340C37" w:rsidP="00340C37">
      <w:pPr>
        <w:pStyle w:val="H23GC"/>
      </w:pPr>
      <w:r w:rsidRPr="007B279A">
        <w:rPr>
          <w:lang w:val="zh-CN"/>
        </w:rPr>
        <w:lastRenderedPageBreak/>
        <w:tab/>
        <w:t xml:space="preserve"> </w:t>
      </w:r>
      <w:r w:rsidR="009224C2" w:rsidRPr="007B279A">
        <w:rPr>
          <w:lang w:val="zh-CN"/>
        </w:rPr>
        <w:t>(b)</w:t>
      </w:r>
      <w:r w:rsidR="009224C2" w:rsidRPr="007B279A">
        <w:rPr>
          <w:lang w:val="zh-CN"/>
        </w:rPr>
        <w:tab/>
      </w:r>
      <w:r w:rsidR="009224C2" w:rsidRPr="007B279A">
        <w:rPr>
          <w:lang w:val="zh-CN"/>
        </w:rPr>
        <w:t>墨西哥</w:t>
      </w:r>
    </w:p>
    <w:p w14:paraId="62F45BD4" w14:textId="77777777" w:rsidR="009224C2" w:rsidRPr="007B279A" w:rsidRDefault="009224C2" w:rsidP="009224C2">
      <w:pPr>
        <w:pStyle w:val="SingleTxtGC"/>
        <w:tabs>
          <w:tab w:val="clear" w:pos="431"/>
        </w:tabs>
      </w:pPr>
      <w:r w:rsidRPr="007B279A">
        <w:rPr>
          <w:lang w:val="zh-CN"/>
        </w:rPr>
        <w:t>29.</w:t>
      </w:r>
      <w:r w:rsidRPr="007B279A">
        <w:rPr>
          <w:lang w:val="zh-CN"/>
        </w:rPr>
        <w:tab/>
      </w:r>
      <w:r w:rsidRPr="007B279A">
        <w:rPr>
          <w:lang w:val="zh-CN"/>
        </w:rPr>
        <w:t>截至</w:t>
      </w:r>
      <w:r w:rsidRPr="007B279A">
        <w:rPr>
          <w:lang w:val="zh-CN"/>
        </w:rPr>
        <w:t>2022</w:t>
      </w:r>
      <w:r w:rsidRPr="007B279A">
        <w:rPr>
          <w:lang w:val="zh-CN"/>
        </w:rPr>
        <w:t>年</w:t>
      </w:r>
      <w:r w:rsidRPr="007B279A">
        <w:rPr>
          <w:lang w:val="zh-CN"/>
        </w:rPr>
        <w:t>4</w:t>
      </w:r>
      <w:r w:rsidRPr="007B279A">
        <w:rPr>
          <w:lang w:val="zh-CN"/>
        </w:rPr>
        <w:t>月</w:t>
      </w:r>
      <w:r w:rsidRPr="007B279A">
        <w:rPr>
          <w:lang w:val="zh-CN"/>
        </w:rPr>
        <w:t>8</w:t>
      </w:r>
      <w:r w:rsidRPr="007B279A">
        <w:rPr>
          <w:lang w:val="zh-CN"/>
        </w:rPr>
        <w:t>日，委员会共登记了</w:t>
      </w:r>
      <w:r w:rsidRPr="007B279A">
        <w:rPr>
          <w:lang w:val="zh-CN"/>
        </w:rPr>
        <w:t>484</w:t>
      </w:r>
      <w:r w:rsidRPr="007B279A">
        <w:rPr>
          <w:lang w:val="zh-CN"/>
        </w:rPr>
        <w:t>起与墨西哥</w:t>
      </w:r>
      <w:r w:rsidRPr="007B279A">
        <w:rPr>
          <w:rFonts w:hint="eastAsia"/>
          <w:lang w:val="zh-CN"/>
        </w:rPr>
        <w:t>所发生</w:t>
      </w:r>
      <w:r w:rsidRPr="007B279A">
        <w:rPr>
          <w:lang w:val="zh-CN"/>
        </w:rPr>
        <w:t>事件有关的案件，占迄今登记的所有紧急行动请求的</w:t>
      </w:r>
      <w:r w:rsidRPr="007B279A">
        <w:rPr>
          <w:lang w:val="zh-CN"/>
        </w:rPr>
        <w:t>32%</w:t>
      </w:r>
      <w:r w:rsidRPr="007B279A">
        <w:rPr>
          <w:lang w:val="zh-CN"/>
        </w:rPr>
        <w:t>。</w:t>
      </w:r>
      <w:r w:rsidRPr="007B279A">
        <w:rPr>
          <w:lang w:val="en-GB"/>
        </w:rPr>
        <w:t>484</w:t>
      </w:r>
      <w:r w:rsidRPr="007B279A">
        <w:rPr>
          <w:rFonts w:hint="eastAsia"/>
          <w:lang w:val="en-GB"/>
        </w:rPr>
        <w:t>起案件中，有</w:t>
      </w:r>
      <w:r w:rsidRPr="007B279A">
        <w:rPr>
          <w:rFonts w:hint="eastAsia"/>
          <w:lang w:val="en-GB"/>
        </w:rPr>
        <w:t>4</w:t>
      </w:r>
      <w:r w:rsidRPr="007B279A">
        <w:rPr>
          <w:lang w:val="en-GB"/>
        </w:rPr>
        <w:t>6</w:t>
      </w:r>
      <w:r w:rsidRPr="007B279A">
        <w:rPr>
          <w:rFonts w:hint="eastAsia"/>
          <w:lang w:val="en-GB"/>
        </w:rPr>
        <w:t>起因发现失踪者是自由的或者已被释放而结案，有</w:t>
      </w:r>
      <w:r w:rsidRPr="007B279A">
        <w:rPr>
          <w:lang w:val="en-GB"/>
        </w:rPr>
        <w:t>98</w:t>
      </w:r>
      <w:r w:rsidRPr="007B279A">
        <w:rPr>
          <w:rFonts w:hint="eastAsia"/>
          <w:lang w:val="en-GB"/>
        </w:rPr>
        <w:t>起因为请求的提交人与失踪者亲属失去联系，无法再提供后续信息而终止，还有</w:t>
      </w:r>
      <w:r w:rsidRPr="007B279A">
        <w:rPr>
          <w:lang w:val="en-GB"/>
        </w:rPr>
        <w:t>340</w:t>
      </w:r>
      <w:r w:rsidRPr="007B279A">
        <w:rPr>
          <w:rFonts w:hint="eastAsia"/>
          <w:lang w:val="en-GB"/>
        </w:rPr>
        <w:t>起案件仍在继续。</w:t>
      </w:r>
    </w:p>
    <w:p w14:paraId="5373C47B" w14:textId="77777777" w:rsidR="009224C2" w:rsidRPr="007B279A" w:rsidRDefault="009224C2" w:rsidP="009224C2">
      <w:pPr>
        <w:pStyle w:val="SingleTxtGC"/>
        <w:tabs>
          <w:tab w:val="clear" w:pos="431"/>
        </w:tabs>
      </w:pPr>
      <w:r w:rsidRPr="007B279A">
        <w:rPr>
          <w:lang w:val="en-GB"/>
        </w:rPr>
        <w:t>30.</w:t>
      </w:r>
      <w:r w:rsidRPr="007B279A">
        <w:rPr>
          <w:lang w:val="en-GB"/>
        </w:rPr>
        <w:tab/>
      </w:r>
      <w:r w:rsidRPr="007B279A">
        <w:rPr>
          <w:rFonts w:hint="eastAsia"/>
          <w:lang w:val="en-GB"/>
        </w:rPr>
        <w:t>和前几个报告期相同，委员会继续注意到，负责搜寻和调查的部门之间普遍缺乏协调，包括在界定各自的作用和责任以及分享所采取的行动和取得的结果方面缺乏协调，有时导致重复性工作。在这种情况下，委员会关切地注意到，所采取的措施似乎毫无关联，某些机构的正式行动并没有表现出综合、有效、协调的搜寻和调查战略。委员会特别建议在联邦和州一级的调查机构之间开展协调，包括明确界定各自的职能。</w:t>
      </w:r>
    </w:p>
    <w:p w14:paraId="1B45952D" w14:textId="77777777" w:rsidR="009224C2" w:rsidRPr="007B279A" w:rsidRDefault="009224C2" w:rsidP="009224C2">
      <w:pPr>
        <w:pStyle w:val="SingleTxtGC"/>
        <w:tabs>
          <w:tab w:val="clear" w:pos="431"/>
        </w:tabs>
      </w:pPr>
      <w:r w:rsidRPr="007B279A">
        <w:rPr>
          <w:lang w:val="en-GB"/>
        </w:rPr>
        <w:t>31.</w:t>
      </w:r>
      <w:r w:rsidRPr="007B279A">
        <w:rPr>
          <w:lang w:val="en-GB"/>
        </w:rPr>
        <w:tab/>
      </w:r>
      <w:r w:rsidRPr="007B279A">
        <w:rPr>
          <w:rFonts w:hint="eastAsia"/>
          <w:lang w:val="en-GB"/>
        </w:rPr>
        <w:t>某些案件中，缔约国声称采取了协调全面的搜寻战略。然而，委员会注意到，负责搜寻的部门实际上只是采取了形式上的措施，要求其他机构提供信息，并没有制定搜寻计划或遵循搜寻失踪人员的国家规程。委员会还注意到在采取搜寻措施方面存在不合理拖延，有时长达一年。</w:t>
      </w:r>
    </w:p>
    <w:p w14:paraId="5778A7CD" w14:textId="77777777" w:rsidR="009224C2" w:rsidRPr="007B279A" w:rsidRDefault="009224C2" w:rsidP="009224C2">
      <w:pPr>
        <w:pStyle w:val="SingleTxtGC"/>
        <w:tabs>
          <w:tab w:val="clear" w:pos="431"/>
        </w:tabs>
      </w:pPr>
      <w:r w:rsidRPr="007B279A">
        <w:rPr>
          <w:lang w:val="zh-CN"/>
        </w:rPr>
        <w:t>32.</w:t>
      </w:r>
      <w:r w:rsidRPr="007B279A">
        <w:rPr>
          <w:lang w:val="zh-CN"/>
        </w:rPr>
        <w:tab/>
      </w:r>
      <w:r w:rsidRPr="007B279A">
        <w:rPr>
          <w:lang w:val="zh-CN"/>
        </w:rPr>
        <w:t>委员会继续着重指出，该缔约国根据《公约》有义务确保定期将负责搜寻和调查的主管部门所采取的步骤告知受害人，并让受害人参与该进程。提交人继续指称，墨西哥当局直接或间接参与了失踪相关事件，而搜寻和调查努力已经停止。此类情况中，委员会向缔约国强调了建立负责搜寻和调查的国家官员追责机制的重要性，并请缔约国针对有关上述官员阻碍相关进程的指称展开调查。最后，提交人还继续提到失踪人员亲属在获得他们根据国家法律以及《公约》第二十四条第</w:t>
      </w:r>
      <w:r w:rsidRPr="007B279A">
        <w:rPr>
          <w:rFonts w:hint="eastAsia"/>
          <w:lang w:val="zh-CN"/>
        </w:rPr>
        <w:t>六</w:t>
      </w:r>
      <w:r w:rsidRPr="007B279A">
        <w:rPr>
          <w:lang w:val="zh-CN"/>
        </w:rPr>
        <w:t>款应享的支助方面所面临的挑战。在每一个此类情况中，委员会均向缔约国指出了根据失踪人员亲属的具体需要而须采取的措施，例如在获得食物、教育机会、住房或健康服务等方面的具体需要。委员会还回顾指出，缔约国具备权限的主管部门有义务向失踪人员亲属告知他们有权从这些主管部门获得的支助的内容、范围以及时限。委员会请缔约国确保受害人支助执行委员会在制订和修订支助计划时，对受益人的情况和需要给予应有的</w:t>
      </w:r>
      <w:proofErr w:type="gramStart"/>
      <w:r w:rsidRPr="007B279A">
        <w:rPr>
          <w:lang w:val="zh-CN"/>
        </w:rPr>
        <w:t>考量</w:t>
      </w:r>
      <w:proofErr w:type="gramEnd"/>
      <w:r w:rsidRPr="007B279A">
        <w:rPr>
          <w:lang w:val="zh-CN"/>
        </w:rPr>
        <w:t>。</w:t>
      </w:r>
    </w:p>
    <w:p w14:paraId="4ACA561D" w14:textId="77777777" w:rsidR="009224C2" w:rsidRPr="007B279A" w:rsidRDefault="009224C2" w:rsidP="009224C2">
      <w:pPr>
        <w:pStyle w:val="SingleTxtGC"/>
        <w:tabs>
          <w:tab w:val="clear" w:pos="431"/>
        </w:tabs>
      </w:pPr>
      <w:r w:rsidRPr="007B279A">
        <w:rPr>
          <w:lang w:val="en-GB"/>
        </w:rPr>
        <w:t>33.</w:t>
      </w:r>
      <w:r w:rsidRPr="007B279A">
        <w:rPr>
          <w:lang w:val="en-GB"/>
        </w:rPr>
        <w:tab/>
      </w:r>
      <w:r w:rsidRPr="007B279A">
        <w:rPr>
          <w:rFonts w:hint="eastAsia"/>
          <w:lang w:val="en-GB"/>
        </w:rPr>
        <w:t>本报告所述期内，委员会登记了五项与瓦哈卡土著社区成员失踪事件有关的紧急行动请求。提交人提出请求的背景是，</w:t>
      </w:r>
      <w:proofErr w:type="spellStart"/>
      <w:r w:rsidRPr="007B279A">
        <w:rPr>
          <w:rFonts w:hint="eastAsia"/>
          <w:lang w:val="en-GB"/>
        </w:rPr>
        <w:t>Mier</w:t>
      </w:r>
      <w:proofErr w:type="spellEnd"/>
      <w:r w:rsidRPr="007B279A">
        <w:rPr>
          <w:lang w:val="en-GB"/>
        </w:rPr>
        <w:t xml:space="preserve"> y </w:t>
      </w:r>
      <w:proofErr w:type="spellStart"/>
      <w:r w:rsidRPr="007B279A">
        <w:rPr>
          <w:lang w:val="en-GB"/>
        </w:rPr>
        <w:t>Terá</w:t>
      </w:r>
      <w:proofErr w:type="spellEnd"/>
      <w:r w:rsidRPr="007B279A">
        <w:rPr>
          <w:rFonts w:hint="eastAsia"/>
          <w:lang w:val="en-GB"/>
        </w:rPr>
        <w:t>、</w:t>
      </w:r>
      <w:r w:rsidRPr="007B279A">
        <w:rPr>
          <w:lang w:val="en-GB"/>
        </w:rPr>
        <w:t>Guerrero Grande</w:t>
      </w:r>
      <w:r w:rsidRPr="007B279A">
        <w:rPr>
          <w:rFonts w:hint="eastAsia"/>
          <w:lang w:val="en-GB"/>
        </w:rPr>
        <w:t>和</w:t>
      </w:r>
      <w:proofErr w:type="spellStart"/>
      <w:r w:rsidRPr="007B279A">
        <w:rPr>
          <w:lang w:val="en-GB"/>
        </w:rPr>
        <w:t>Ndoyonoyuji</w:t>
      </w:r>
      <w:proofErr w:type="spellEnd"/>
      <w:r w:rsidRPr="007B279A">
        <w:rPr>
          <w:rFonts w:hint="eastAsia"/>
          <w:lang w:val="en-GB"/>
        </w:rPr>
        <w:t>的土著社区成员失踪，人权受到严重侵犯，这些事件据称与伐木公司和市政当局与土著社区之间在土地和森林问题上的历史纠纷有关。委员会正在等待缔约国就搜寻这些人员和调查其失踪情况所采取的措施</w:t>
      </w:r>
      <w:proofErr w:type="gramStart"/>
      <w:r w:rsidRPr="007B279A">
        <w:rPr>
          <w:rFonts w:hint="eastAsia"/>
          <w:lang w:val="en-GB"/>
        </w:rPr>
        <w:t>作出</w:t>
      </w:r>
      <w:proofErr w:type="gramEnd"/>
      <w:r w:rsidRPr="007B279A">
        <w:rPr>
          <w:rFonts w:hint="eastAsia"/>
          <w:lang w:val="en-GB"/>
        </w:rPr>
        <w:t>答复。</w:t>
      </w:r>
    </w:p>
    <w:p w14:paraId="4F566CED" w14:textId="77777777" w:rsidR="009224C2" w:rsidRPr="007B279A" w:rsidRDefault="009224C2" w:rsidP="009224C2">
      <w:pPr>
        <w:pStyle w:val="SingleTxtGC"/>
        <w:tabs>
          <w:tab w:val="clear" w:pos="431"/>
        </w:tabs>
      </w:pPr>
      <w:r w:rsidRPr="007B279A">
        <w:rPr>
          <w:lang w:val="en-GB"/>
        </w:rPr>
        <w:t>34.</w:t>
      </w:r>
      <w:r w:rsidRPr="007B279A">
        <w:rPr>
          <w:lang w:val="en-GB"/>
        </w:rPr>
        <w:tab/>
      </w:r>
      <w:r w:rsidRPr="007B279A">
        <w:rPr>
          <w:rFonts w:hint="eastAsia"/>
          <w:lang w:val="en-GB"/>
        </w:rPr>
        <w:t>委员会继续收到提交人的资料，称法官没有正确适用人身保护令。在墨西哥，这一法律补救措施的非正式说法是</w:t>
      </w:r>
      <w:r w:rsidRPr="007B279A">
        <w:rPr>
          <w:rFonts w:eastAsia="楷体"/>
          <w:i/>
          <w:iCs/>
          <w:lang w:val="en-GB"/>
        </w:rPr>
        <w:t xml:space="preserve">amparo </w:t>
      </w:r>
      <w:proofErr w:type="spellStart"/>
      <w:r w:rsidRPr="007B279A">
        <w:rPr>
          <w:rFonts w:eastAsia="楷体"/>
          <w:i/>
          <w:iCs/>
          <w:lang w:val="en-GB"/>
        </w:rPr>
        <w:t>buscador</w:t>
      </w:r>
      <w:proofErr w:type="spellEnd"/>
      <w:r w:rsidRPr="007B279A">
        <w:rPr>
          <w:rFonts w:eastAsia="楷体"/>
          <w:i/>
          <w:iCs/>
          <w:lang w:val="en-GB"/>
        </w:rPr>
        <w:t xml:space="preserve">, </w:t>
      </w:r>
      <w:r w:rsidRPr="007B279A">
        <w:rPr>
          <w:rFonts w:hint="eastAsia"/>
          <w:lang w:val="en-GB"/>
        </w:rPr>
        <w:t>是指《宪法》和《宪法权利保护令法》</w:t>
      </w:r>
      <w:r w:rsidRPr="007B279A">
        <w:rPr>
          <w:lang w:val="en-GB"/>
        </w:rPr>
        <w:t>(2013</w:t>
      </w:r>
      <w:r w:rsidRPr="007B279A">
        <w:rPr>
          <w:rFonts w:hint="eastAsia"/>
          <w:lang w:val="en-GB"/>
        </w:rPr>
        <w:t>年</w:t>
      </w:r>
      <w:r w:rsidRPr="007B279A">
        <w:rPr>
          <w:lang w:val="en-GB"/>
        </w:rPr>
        <w:t>)</w:t>
      </w:r>
      <w:r w:rsidRPr="007B279A">
        <w:rPr>
          <w:rFonts w:hint="eastAsia"/>
          <w:lang w:val="en-GB"/>
        </w:rPr>
        <w:t>中规定的宪法权利保护补救措施。根据</w:t>
      </w:r>
      <w:r w:rsidRPr="007B279A">
        <w:rPr>
          <w:rFonts w:hint="eastAsia"/>
          <w:i/>
          <w:iCs/>
          <w:lang w:val="en-GB"/>
        </w:rPr>
        <w:t>amparo</w:t>
      </w:r>
      <w:r w:rsidRPr="007B279A">
        <w:rPr>
          <w:i/>
          <w:iCs/>
          <w:lang w:val="en-GB"/>
        </w:rPr>
        <w:t xml:space="preserve"> </w:t>
      </w:r>
      <w:proofErr w:type="spellStart"/>
      <w:r w:rsidRPr="007B279A">
        <w:rPr>
          <w:rFonts w:hint="eastAsia"/>
          <w:i/>
          <w:iCs/>
          <w:lang w:val="en-GB"/>
        </w:rPr>
        <w:t>buscador</w:t>
      </w:r>
      <w:proofErr w:type="spellEnd"/>
      <w:r w:rsidRPr="007B279A">
        <w:rPr>
          <w:rFonts w:hint="eastAsia"/>
          <w:lang w:val="en-GB"/>
        </w:rPr>
        <w:t>补救措施，法官有权命令其他部门向法庭介绍失踪者身份并提供失踪者的信息。根据这一补救措施，法官还有权亲自查访失踪者被推定关押的地点，以便直接收集信息。然而，</w:t>
      </w:r>
      <w:proofErr w:type="gramStart"/>
      <w:r w:rsidRPr="007B279A">
        <w:rPr>
          <w:rFonts w:hint="eastAsia"/>
          <w:lang w:val="en-GB"/>
        </w:rPr>
        <w:t>据收到</w:t>
      </w:r>
      <w:proofErr w:type="gramEnd"/>
      <w:r w:rsidRPr="007B279A">
        <w:rPr>
          <w:rFonts w:hint="eastAsia"/>
          <w:lang w:val="en-GB"/>
        </w:rPr>
        <w:t>的资料表明，尽管国家搜寻委员会颁布了现行准则，</w:t>
      </w:r>
      <w:r w:rsidRPr="001C4C32">
        <w:rPr>
          <w:rStyle w:val="a8"/>
          <w:rFonts w:eastAsia="宋体"/>
        </w:rPr>
        <w:footnoteReference w:id="9"/>
      </w:r>
      <w:r w:rsidRPr="007B279A">
        <w:rPr>
          <w:lang w:val="en-GB"/>
        </w:rPr>
        <w:t xml:space="preserve"> </w:t>
      </w:r>
      <w:r w:rsidRPr="007B279A">
        <w:rPr>
          <w:rFonts w:hint="eastAsia"/>
          <w:lang w:val="en-GB"/>
        </w:rPr>
        <w:t>法</w:t>
      </w:r>
      <w:r w:rsidRPr="007B279A">
        <w:rPr>
          <w:rFonts w:hint="eastAsia"/>
          <w:lang w:val="en-GB"/>
        </w:rPr>
        <w:lastRenderedPageBreak/>
        <w:t>官在处理此类案件时仍然采取常规宪法权利保护令的做法，要求失踪者本人出庭批准提起诉讼，随后在失踪者无法出庭的情况下予以驳回。</w:t>
      </w:r>
    </w:p>
    <w:p w14:paraId="419DAA7F" w14:textId="35E316C5" w:rsidR="009224C2" w:rsidRPr="007B279A" w:rsidRDefault="00340C37" w:rsidP="00340C37">
      <w:pPr>
        <w:pStyle w:val="H23GC"/>
      </w:pPr>
      <w:r w:rsidRPr="007B279A">
        <w:tab/>
      </w:r>
      <w:r w:rsidR="009224C2" w:rsidRPr="007B279A">
        <w:rPr>
          <w:lang w:val="en-GB"/>
        </w:rPr>
        <w:t>3.</w:t>
      </w:r>
      <w:r w:rsidR="009224C2" w:rsidRPr="007B279A">
        <w:tab/>
      </w:r>
      <w:r w:rsidR="009224C2" w:rsidRPr="007B279A">
        <w:rPr>
          <w:rFonts w:ascii="宋体" w:hAnsi="宋体" w:cs="宋体" w:hint="eastAsia"/>
          <w:lang w:val="en-GB"/>
        </w:rPr>
        <w:t>哥伦比亚、古巴、阿曼、苏丹和乌克兰的事态发展</w:t>
      </w:r>
    </w:p>
    <w:p w14:paraId="58A2A147" w14:textId="18FCED4B" w:rsidR="009224C2" w:rsidRPr="007B279A" w:rsidRDefault="00340C37" w:rsidP="00340C37">
      <w:pPr>
        <w:pStyle w:val="H23GC"/>
      </w:pPr>
      <w:r w:rsidRPr="007B279A">
        <w:rPr>
          <w:lang w:val="en-GB"/>
        </w:rPr>
        <w:tab/>
        <w:t xml:space="preserve"> </w:t>
      </w:r>
      <w:r w:rsidR="009224C2" w:rsidRPr="007B279A">
        <w:rPr>
          <w:lang w:val="en-GB"/>
        </w:rPr>
        <w:t>(a)</w:t>
      </w:r>
      <w:r w:rsidR="009224C2" w:rsidRPr="007B279A">
        <w:rPr>
          <w:lang w:val="en-GB"/>
        </w:rPr>
        <w:tab/>
      </w:r>
      <w:r w:rsidR="009224C2" w:rsidRPr="007B279A">
        <w:rPr>
          <w:rFonts w:ascii="宋体" w:hAnsi="宋体" w:cs="宋体" w:hint="eastAsia"/>
          <w:lang w:val="en-GB"/>
        </w:rPr>
        <w:t>哥伦比亚和古巴示威游行中的失踪案件</w:t>
      </w:r>
    </w:p>
    <w:p w14:paraId="72120425" w14:textId="77777777" w:rsidR="009224C2" w:rsidRPr="007B279A" w:rsidRDefault="009224C2" w:rsidP="009224C2">
      <w:pPr>
        <w:pStyle w:val="SingleTxtGC"/>
        <w:tabs>
          <w:tab w:val="clear" w:pos="431"/>
        </w:tabs>
      </w:pPr>
      <w:r w:rsidRPr="007B279A">
        <w:rPr>
          <w:lang w:val="en-GB"/>
        </w:rPr>
        <w:t>35.</w:t>
      </w:r>
      <w:r w:rsidRPr="007B279A">
        <w:rPr>
          <w:lang w:val="en-GB"/>
        </w:rPr>
        <w:tab/>
        <w:t>2021</w:t>
      </w:r>
      <w:r w:rsidRPr="007B279A">
        <w:rPr>
          <w:rFonts w:hint="eastAsia"/>
          <w:lang w:val="en-GB"/>
        </w:rPr>
        <w:t>年，委员会登记了与</w:t>
      </w:r>
      <w:r w:rsidRPr="007B279A">
        <w:rPr>
          <w:lang w:val="en-GB"/>
        </w:rPr>
        <w:t>2021</w:t>
      </w:r>
      <w:r w:rsidRPr="007B279A">
        <w:rPr>
          <w:rFonts w:hint="eastAsia"/>
          <w:lang w:val="en-GB"/>
        </w:rPr>
        <w:t>年</w:t>
      </w:r>
      <w:r w:rsidRPr="007B279A">
        <w:rPr>
          <w:lang w:val="en-GB"/>
        </w:rPr>
        <w:t>4</w:t>
      </w:r>
      <w:r w:rsidRPr="007B279A">
        <w:rPr>
          <w:rFonts w:hint="eastAsia"/>
          <w:lang w:val="en-GB"/>
        </w:rPr>
        <w:t>月</w:t>
      </w:r>
      <w:r w:rsidRPr="007B279A">
        <w:rPr>
          <w:lang w:val="en-GB"/>
        </w:rPr>
        <w:t>28</w:t>
      </w:r>
      <w:r w:rsidRPr="007B279A">
        <w:rPr>
          <w:rFonts w:hint="eastAsia"/>
          <w:lang w:val="en-GB"/>
        </w:rPr>
        <w:t>日以来哥伦比亚几个城市发生的社会抗议活动相关的</w:t>
      </w:r>
      <w:r w:rsidRPr="007B279A">
        <w:rPr>
          <w:lang w:val="en-GB"/>
        </w:rPr>
        <w:t>151</w:t>
      </w:r>
      <w:r w:rsidRPr="007B279A">
        <w:rPr>
          <w:rFonts w:hint="eastAsia"/>
          <w:lang w:val="en-GB"/>
        </w:rPr>
        <w:t>起案件，以及与</w:t>
      </w:r>
      <w:r w:rsidRPr="007B279A">
        <w:rPr>
          <w:lang w:val="en-GB"/>
        </w:rPr>
        <w:t>2021</w:t>
      </w:r>
      <w:r w:rsidRPr="007B279A">
        <w:rPr>
          <w:rFonts w:hint="eastAsia"/>
          <w:lang w:val="en-GB"/>
        </w:rPr>
        <w:t>年</w:t>
      </w:r>
      <w:r w:rsidRPr="007B279A">
        <w:rPr>
          <w:lang w:val="en-GB"/>
        </w:rPr>
        <w:t>7</w:t>
      </w:r>
      <w:r w:rsidRPr="007B279A">
        <w:rPr>
          <w:rFonts w:hint="eastAsia"/>
          <w:lang w:val="en-GB"/>
        </w:rPr>
        <w:t>月</w:t>
      </w:r>
      <w:r w:rsidRPr="007B279A">
        <w:rPr>
          <w:lang w:val="en-GB"/>
        </w:rPr>
        <w:t>11</w:t>
      </w:r>
      <w:r w:rsidRPr="007B279A">
        <w:rPr>
          <w:rFonts w:hint="eastAsia"/>
          <w:lang w:val="en-GB"/>
        </w:rPr>
        <w:t>日在古巴开始的社会抗议活动相关的</w:t>
      </w:r>
      <w:r w:rsidRPr="007B279A">
        <w:rPr>
          <w:rFonts w:hint="eastAsia"/>
          <w:lang w:val="en-GB"/>
        </w:rPr>
        <w:t>1</w:t>
      </w:r>
      <w:r w:rsidRPr="007B279A">
        <w:rPr>
          <w:lang w:val="en-GB"/>
        </w:rPr>
        <w:t>87</w:t>
      </w:r>
      <w:r w:rsidRPr="007B279A">
        <w:rPr>
          <w:rFonts w:hint="eastAsia"/>
          <w:lang w:val="en-GB"/>
        </w:rPr>
        <w:t>起案件。这些紧急行动请求事关据称被安全部队拘留的示威者，安全部队后来否认示威者亲属就其下落提供的信息。委员会回顾指出，对拘留不予登记，即使是短时间拘留，然后拒绝承认剥夺自由或拒绝透露失踪者的下落，此种做法将个人置于法律保护之外，构成《公约》第二条之下的强迫失踪。</w:t>
      </w:r>
      <w:r w:rsidRPr="001C4C32">
        <w:rPr>
          <w:rStyle w:val="a8"/>
          <w:rFonts w:eastAsia="宋体"/>
        </w:rPr>
        <w:footnoteReference w:id="10"/>
      </w:r>
    </w:p>
    <w:p w14:paraId="3835FA1A" w14:textId="77777777" w:rsidR="009224C2" w:rsidRPr="007B279A" w:rsidRDefault="009224C2" w:rsidP="009224C2">
      <w:pPr>
        <w:pStyle w:val="SingleTxtGC"/>
        <w:tabs>
          <w:tab w:val="clear" w:pos="431"/>
        </w:tabs>
        <w:rPr>
          <w:lang w:val="en-GB"/>
        </w:rPr>
      </w:pPr>
      <w:r w:rsidRPr="007B279A">
        <w:rPr>
          <w:lang w:val="en-GB"/>
        </w:rPr>
        <w:t>36.</w:t>
      </w:r>
      <w:r w:rsidRPr="007B279A">
        <w:rPr>
          <w:lang w:val="en-GB"/>
        </w:rPr>
        <w:tab/>
      </w:r>
      <w:r w:rsidRPr="007B279A">
        <w:rPr>
          <w:rFonts w:hint="eastAsia"/>
          <w:lang w:val="en-GB"/>
        </w:rPr>
        <w:t>关于哥伦比亚的</w:t>
      </w:r>
      <w:r w:rsidRPr="007B279A">
        <w:rPr>
          <w:lang w:val="en-GB"/>
        </w:rPr>
        <w:t>151</w:t>
      </w:r>
      <w:r w:rsidRPr="007B279A">
        <w:rPr>
          <w:rFonts w:hint="eastAsia"/>
          <w:lang w:val="en-GB"/>
        </w:rPr>
        <w:t>起案件，委员会收到了缔约国的答复，缔约国表示无法提供失踪者的情况，因为提交人未能提供足够信息，特别是失踪者的身份证号码，因此无法准确查找受害人。其中</w:t>
      </w:r>
      <w:r w:rsidRPr="007B279A">
        <w:rPr>
          <w:lang w:val="en-GB"/>
        </w:rPr>
        <w:t>74</w:t>
      </w:r>
      <w:r w:rsidRPr="007B279A">
        <w:rPr>
          <w:rFonts w:hint="eastAsia"/>
          <w:lang w:val="en-GB"/>
        </w:rPr>
        <w:t>起案件中，尽管委员会一再要求提交人提供补充资料，包括在</w:t>
      </w:r>
      <w:r w:rsidRPr="007B279A">
        <w:rPr>
          <w:lang w:val="en-GB"/>
        </w:rPr>
        <w:t>2021</w:t>
      </w:r>
      <w:r w:rsidRPr="007B279A">
        <w:rPr>
          <w:rFonts w:hint="eastAsia"/>
          <w:lang w:val="en-GB"/>
        </w:rPr>
        <w:t>年</w:t>
      </w:r>
      <w:r w:rsidRPr="007B279A">
        <w:rPr>
          <w:lang w:val="en-GB"/>
        </w:rPr>
        <w:t>11</w:t>
      </w:r>
      <w:r w:rsidRPr="007B279A">
        <w:rPr>
          <w:rFonts w:hint="eastAsia"/>
          <w:lang w:val="en-GB"/>
        </w:rPr>
        <w:t>月</w:t>
      </w:r>
      <w:r w:rsidRPr="007B279A">
        <w:rPr>
          <w:lang w:val="en-GB"/>
        </w:rPr>
        <w:t>6</w:t>
      </w:r>
      <w:r w:rsidRPr="007B279A">
        <w:rPr>
          <w:rFonts w:hint="eastAsia"/>
          <w:lang w:val="en-GB"/>
        </w:rPr>
        <w:t>日发出最后催复函，但委员会未能从提交人处获得可用于查明身份的更详细的补充资料。因此，委员会认为，这些紧急行动请求的提交人未能证实有关人员确已失踪。其余</w:t>
      </w:r>
      <w:r w:rsidRPr="007B279A">
        <w:rPr>
          <w:lang w:val="en-GB"/>
        </w:rPr>
        <w:t>77</w:t>
      </w:r>
      <w:r w:rsidRPr="007B279A">
        <w:rPr>
          <w:rFonts w:hint="eastAsia"/>
          <w:lang w:val="en-GB"/>
        </w:rPr>
        <w:t>起案件中，提交人对委员会的请求</w:t>
      </w:r>
      <w:proofErr w:type="gramStart"/>
      <w:r w:rsidRPr="007B279A">
        <w:rPr>
          <w:rFonts w:hint="eastAsia"/>
          <w:lang w:val="en-GB"/>
        </w:rPr>
        <w:t>作出</w:t>
      </w:r>
      <w:proofErr w:type="gramEnd"/>
      <w:r w:rsidRPr="007B279A">
        <w:rPr>
          <w:rFonts w:hint="eastAsia"/>
          <w:lang w:val="en-GB"/>
        </w:rPr>
        <w:t>答复，提供了介绍示威活动概况的报告，以及一些案件的具体信息，而上述信息与提交给委员会的资料不符，只有</w:t>
      </w:r>
      <w:r w:rsidRPr="007B279A">
        <w:rPr>
          <w:lang w:val="en-GB"/>
        </w:rPr>
        <w:t>6</w:t>
      </w:r>
      <w:r w:rsidRPr="007B279A">
        <w:rPr>
          <w:rFonts w:hint="eastAsia"/>
          <w:lang w:val="en-GB"/>
        </w:rPr>
        <w:t>起案件除外。这</w:t>
      </w:r>
      <w:r w:rsidRPr="007B279A">
        <w:rPr>
          <w:lang w:val="en-GB"/>
        </w:rPr>
        <w:t>6</w:t>
      </w:r>
      <w:r w:rsidRPr="007B279A">
        <w:rPr>
          <w:rFonts w:hint="eastAsia"/>
          <w:lang w:val="en-GB"/>
        </w:rPr>
        <w:t>起案件中的</w:t>
      </w:r>
      <w:r w:rsidRPr="007B279A">
        <w:rPr>
          <w:lang w:val="en-GB"/>
        </w:rPr>
        <w:t>5</w:t>
      </w:r>
      <w:r w:rsidRPr="007B279A">
        <w:rPr>
          <w:rFonts w:hint="eastAsia"/>
          <w:lang w:val="en-GB"/>
        </w:rPr>
        <w:t>起，提交人只说有关人员仍然失踪，但没有提供任何补充资料，如失踪人员的全名和性别或其他相关情况。第</w:t>
      </w:r>
      <w:r w:rsidRPr="007B279A">
        <w:rPr>
          <w:rFonts w:hint="eastAsia"/>
          <w:lang w:val="en-GB"/>
        </w:rPr>
        <w:t>6</w:t>
      </w:r>
      <w:r w:rsidRPr="007B279A">
        <w:rPr>
          <w:rFonts w:hint="eastAsia"/>
          <w:lang w:val="en-GB"/>
        </w:rPr>
        <w:t>起案件的提交人称，失踪者在被逮捕后</w:t>
      </w:r>
      <w:r w:rsidRPr="007B279A">
        <w:rPr>
          <w:lang w:val="en-GB"/>
        </w:rPr>
        <w:t>48</w:t>
      </w:r>
      <w:r w:rsidRPr="007B279A">
        <w:rPr>
          <w:rFonts w:hint="eastAsia"/>
          <w:lang w:val="en-GB"/>
        </w:rPr>
        <w:t>小时内被转移到少年犯中心。委员会没有收到任何信息表明该失踪者在此期间无法与亲属联系，并注意到他似乎在被拘留</w:t>
      </w:r>
      <w:r w:rsidRPr="007B279A">
        <w:rPr>
          <w:lang w:val="en-GB"/>
        </w:rPr>
        <w:t>24</w:t>
      </w:r>
      <w:r w:rsidRPr="007B279A">
        <w:rPr>
          <w:rFonts w:hint="eastAsia"/>
          <w:lang w:val="en-GB"/>
        </w:rPr>
        <w:t>小时后在社交媒体上发帖。鉴于上述情况，委员会决定暂停处理一起案件，并将其余</w:t>
      </w:r>
      <w:r w:rsidRPr="007B279A">
        <w:rPr>
          <w:lang w:val="en-GB"/>
        </w:rPr>
        <w:t>150</w:t>
      </w:r>
      <w:r w:rsidRPr="007B279A">
        <w:rPr>
          <w:rFonts w:hint="eastAsia"/>
          <w:lang w:val="en-GB"/>
        </w:rPr>
        <w:t>起结案。</w:t>
      </w:r>
      <w:r w:rsidRPr="001C4C32">
        <w:rPr>
          <w:rStyle w:val="a8"/>
          <w:rFonts w:eastAsia="宋体"/>
        </w:rPr>
        <w:footnoteReference w:id="11"/>
      </w:r>
      <w:r w:rsidRPr="007B279A">
        <w:rPr>
          <w:lang w:val="en-GB"/>
        </w:rPr>
        <w:t xml:space="preserve"> </w:t>
      </w:r>
      <w:r w:rsidRPr="007B279A">
        <w:rPr>
          <w:rFonts w:hint="eastAsia"/>
          <w:lang w:val="en-GB"/>
        </w:rPr>
        <w:t>然而，委员会感到遗憾的是，尽管提供的信息很少，但缔约国没有试图通过核对拘留登记册提供具体案件的信息。</w:t>
      </w:r>
    </w:p>
    <w:p w14:paraId="09C87843" w14:textId="77777777" w:rsidR="009224C2" w:rsidRPr="007B279A" w:rsidRDefault="009224C2" w:rsidP="009224C2">
      <w:pPr>
        <w:pStyle w:val="SingleTxtGC"/>
        <w:tabs>
          <w:tab w:val="clear" w:pos="431"/>
        </w:tabs>
      </w:pPr>
      <w:r w:rsidRPr="007B279A">
        <w:t>37.</w:t>
      </w:r>
      <w:r w:rsidRPr="007B279A">
        <w:tab/>
      </w:r>
      <w:r w:rsidRPr="007B279A">
        <w:rPr>
          <w:rFonts w:hint="eastAsia"/>
        </w:rPr>
        <w:t>关于古巴的</w:t>
      </w:r>
      <w:r w:rsidRPr="007B279A">
        <w:t>187</w:t>
      </w:r>
      <w:r w:rsidRPr="007B279A">
        <w:rPr>
          <w:rFonts w:hint="eastAsia"/>
        </w:rPr>
        <w:t>起案件，委员会收到了缔约国提供的具体案件的资料，尽管提交人就案件和失踪者身份提供的资料很少。委员会决定结束</w:t>
      </w:r>
      <w:r w:rsidRPr="007B279A">
        <w:t>142</w:t>
      </w:r>
      <w:r w:rsidRPr="007B279A">
        <w:rPr>
          <w:rFonts w:hint="eastAsia"/>
        </w:rPr>
        <w:t>起案件，因为有关人员已经获释或已被软禁，还有少数案件中，提交人未能质疑缔约国提供的资料，也未能提供任何补充资料表明有关人员仍然失踪。委员会还决定终止</w:t>
      </w:r>
      <w:r w:rsidRPr="007B279A">
        <w:t>18</w:t>
      </w:r>
      <w:r w:rsidRPr="007B279A">
        <w:rPr>
          <w:rFonts w:hint="eastAsia"/>
        </w:rPr>
        <w:t>起案件，因为失踪者所处地点已得到确认，但仍被拘留。委员会决定对其余</w:t>
      </w:r>
      <w:r w:rsidRPr="007B279A">
        <w:t>27</w:t>
      </w:r>
      <w:r w:rsidRPr="007B279A">
        <w:rPr>
          <w:rFonts w:hint="eastAsia"/>
        </w:rPr>
        <w:t>起案件保持审议，并要求缔约国提供补充资料。委员会表示关切的是，不断有指控称抗议者被隔离拘留，有时长达数月。委员会回顾指出，这种可能导致强迫失踪的做法应当作为例外使用，以避免被拘留者的生命或身心完整受到伤害，并保护调查。</w:t>
      </w:r>
      <w:r w:rsidRPr="007B279A">
        <w:rPr>
          <w:lang w:val="zh-CN"/>
        </w:rPr>
        <w:t>委员会就此回顾</w:t>
      </w:r>
      <w:r w:rsidRPr="007B279A">
        <w:t>，</w:t>
      </w:r>
      <w:r w:rsidRPr="007B279A">
        <w:rPr>
          <w:lang w:val="zh-CN"/>
        </w:rPr>
        <w:t>根据《公约》第十七条第二款第</w:t>
      </w:r>
      <w:r w:rsidRPr="007B279A">
        <w:t>(</w:t>
      </w:r>
      <w:r w:rsidRPr="007B279A">
        <w:rPr>
          <w:lang w:val="zh-CN"/>
        </w:rPr>
        <w:t>四</w:t>
      </w:r>
      <w:r w:rsidRPr="007B279A">
        <w:t>)</w:t>
      </w:r>
      <w:r w:rsidRPr="007B279A">
        <w:rPr>
          <w:lang w:val="zh-CN"/>
        </w:rPr>
        <w:t>项</w:t>
      </w:r>
      <w:r w:rsidRPr="007B279A">
        <w:t>，</w:t>
      </w:r>
      <w:r w:rsidRPr="007B279A">
        <w:rPr>
          <w:lang w:val="zh-CN"/>
        </w:rPr>
        <w:t>缔约国有义务保证任何被剥夺自由的人都能获准与其家属、律师或</w:t>
      </w:r>
      <w:r w:rsidRPr="007B279A">
        <w:rPr>
          <w:rFonts w:hint="eastAsia"/>
          <w:lang w:val="zh-CN"/>
        </w:rPr>
        <w:t>由其</w:t>
      </w:r>
      <w:r w:rsidRPr="007B279A">
        <w:rPr>
          <w:lang w:val="zh-CN"/>
        </w:rPr>
        <w:t>选择的任何其他人取</w:t>
      </w:r>
      <w:r w:rsidRPr="007B279A">
        <w:rPr>
          <w:lang w:val="zh-CN"/>
        </w:rPr>
        <w:lastRenderedPageBreak/>
        <w:t>得联系并接受探探视</w:t>
      </w:r>
      <w:r w:rsidRPr="007B279A">
        <w:t>，</w:t>
      </w:r>
      <w:r w:rsidRPr="007B279A">
        <w:rPr>
          <w:lang w:val="zh-CN"/>
        </w:rPr>
        <w:t>且仅受法律规定条件的限制</w:t>
      </w:r>
      <w:r w:rsidRPr="007B279A">
        <w:t>，</w:t>
      </w:r>
      <w:r w:rsidRPr="007B279A">
        <w:rPr>
          <w:lang w:val="zh-CN"/>
        </w:rPr>
        <w:t>如果此人是外国人</w:t>
      </w:r>
      <w:r w:rsidRPr="007B279A">
        <w:t>，</w:t>
      </w:r>
      <w:r w:rsidRPr="007B279A">
        <w:rPr>
          <w:lang w:val="zh-CN"/>
        </w:rPr>
        <w:t>应根据</w:t>
      </w:r>
      <w:r w:rsidRPr="007B279A">
        <w:rPr>
          <w:rFonts w:hint="eastAsia"/>
          <w:lang w:val="zh-CN"/>
        </w:rPr>
        <w:t>适用</w:t>
      </w:r>
      <w:r w:rsidRPr="007B279A">
        <w:rPr>
          <w:lang w:val="zh-CN"/>
        </w:rPr>
        <w:t>的国际法</w:t>
      </w:r>
      <w:r w:rsidRPr="007B279A">
        <w:t>，</w:t>
      </w:r>
      <w:r w:rsidRPr="007B279A">
        <w:rPr>
          <w:lang w:val="zh-CN"/>
        </w:rPr>
        <w:t>准许其与本国的领事机构联系。</w:t>
      </w:r>
    </w:p>
    <w:p w14:paraId="6ABA5A62" w14:textId="205CFC62" w:rsidR="009224C2" w:rsidRPr="007B279A" w:rsidRDefault="00340C37" w:rsidP="00340C37">
      <w:pPr>
        <w:pStyle w:val="H23GC"/>
      </w:pPr>
      <w:r w:rsidRPr="007B279A">
        <w:rPr>
          <w:lang w:val="en-GB"/>
        </w:rPr>
        <w:tab/>
        <w:t xml:space="preserve"> </w:t>
      </w:r>
      <w:r w:rsidR="009224C2" w:rsidRPr="007B279A">
        <w:rPr>
          <w:lang w:val="en-GB"/>
        </w:rPr>
        <w:t>(b)</w:t>
      </w:r>
      <w:r w:rsidR="009224C2" w:rsidRPr="007B279A">
        <w:rPr>
          <w:lang w:val="en-GB"/>
        </w:rPr>
        <w:tab/>
      </w:r>
      <w:r w:rsidR="009224C2" w:rsidRPr="007B279A">
        <w:rPr>
          <w:rFonts w:ascii="宋体" w:hAnsi="宋体" w:cs="宋体" w:hint="eastAsia"/>
          <w:lang w:val="en-GB"/>
        </w:rPr>
        <w:t>阿曼一名移民家庭佣工失踪</w:t>
      </w:r>
    </w:p>
    <w:p w14:paraId="0A2A5CB6" w14:textId="77777777" w:rsidR="009224C2" w:rsidRPr="007B279A" w:rsidRDefault="009224C2" w:rsidP="009224C2">
      <w:pPr>
        <w:pStyle w:val="SingleTxtGC"/>
        <w:tabs>
          <w:tab w:val="clear" w:pos="431"/>
        </w:tabs>
        <w:rPr>
          <w:lang w:val="en-GB"/>
        </w:rPr>
      </w:pPr>
      <w:r w:rsidRPr="007B279A">
        <w:rPr>
          <w:lang w:val="en-GB"/>
        </w:rPr>
        <w:t>38.</w:t>
      </w:r>
      <w:r w:rsidRPr="007B279A">
        <w:rPr>
          <w:lang w:val="en-GB"/>
        </w:rPr>
        <w:tab/>
      </w:r>
      <w:r w:rsidRPr="007B279A">
        <w:rPr>
          <w:rFonts w:hint="eastAsia"/>
          <w:lang w:val="en-GB"/>
        </w:rPr>
        <w:t>本报告所述期内，委员会登记了一项有关一名斯里兰卡家庭佣工的紧急行动请求，她在阿曼失踪，失踪前告诉丈夫自己遭到雇主家庭的殴打。随后职业介绍所在电话中通知该工人的家人，她已被警方拘留。紧急行动请求提交人指出，在阿曼人权遭到侵犯的移民家庭佣工在获得国内补救方面面临许多障碍，并面临因“潜逃”而被监禁和驱逐出境的风险，即使“潜逃”是为了逃离剥削或虐待。委员会请缔约国立即制定一项全面的搜寻和调查战略，并与斯里兰卡当局合作，以确保根据《公约》第十四条和第十五条，在搜寻失踪人员和司法协助方面实现最大程度的互助。</w:t>
      </w:r>
    </w:p>
    <w:p w14:paraId="1633764E" w14:textId="7BD76054" w:rsidR="009224C2" w:rsidRPr="007B279A" w:rsidRDefault="00340C37" w:rsidP="00340C37">
      <w:pPr>
        <w:pStyle w:val="H23GC"/>
      </w:pPr>
      <w:r w:rsidRPr="007B279A">
        <w:rPr>
          <w:lang w:val="en-GB"/>
        </w:rPr>
        <w:tab/>
        <w:t xml:space="preserve"> </w:t>
      </w:r>
      <w:r w:rsidR="009224C2" w:rsidRPr="007B279A">
        <w:rPr>
          <w:lang w:val="en-GB"/>
        </w:rPr>
        <w:t>(c)</w:t>
      </w:r>
      <w:r w:rsidR="009224C2" w:rsidRPr="007B279A">
        <w:rPr>
          <w:lang w:val="en-GB"/>
        </w:rPr>
        <w:tab/>
      </w:r>
      <w:r w:rsidR="009224C2" w:rsidRPr="007B279A">
        <w:rPr>
          <w:rFonts w:ascii="宋体" w:hAnsi="宋体" w:cs="宋体" w:hint="eastAsia"/>
          <w:lang w:val="en-GB"/>
        </w:rPr>
        <w:t>苏丹</w:t>
      </w:r>
      <w:proofErr w:type="gramStart"/>
      <w:r w:rsidR="009224C2" w:rsidRPr="007B279A">
        <w:rPr>
          <w:rFonts w:ascii="宋体" w:hAnsi="宋体" w:cs="宋体" w:hint="eastAsia"/>
          <w:lang w:val="en-GB"/>
        </w:rPr>
        <w:t>一</w:t>
      </w:r>
      <w:proofErr w:type="gramEnd"/>
      <w:r w:rsidR="009224C2" w:rsidRPr="007B279A">
        <w:rPr>
          <w:rFonts w:ascii="宋体" w:hAnsi="宋体" w:cs="宋体" w:hint="eastAsia"/>
          <w:lang w:val="en-GB"/>
        </w:rPr>
        <w:t>名人</w:t>
      </w:r>
      <w:proofErr w:type="gramStart"/>
      <w:r w:rsidR="009224C2" w:rsidRPr="007B279A">
        <w:rPr>
          <w:rFonts w:ascii="宋体" w:hAnsi="宋体" w:cs="宋体" w:hint="eastAsia"/>
          <w:lang w:val="en-GB"/>
        </w:rPr>
        <w:t>权维护</w:t>
      </w:r>
      <w:proofErr w:type="gramEnd"/>
      <w:r w:rsidR="009224C2" w:rsidRPr="007B279A">
        <w:rPr>
          <w:rFonts w:ascii="宋体" w:hAnsi="宋体" w:cs="宋体" w:hint="eastAsia"/>
          <w:lang w:val="en-GB"/>
        </w:rPr>
        <w:t>者失踪</w:t>
      </w:r>
    </w:p>
    <w:p w14:paraId="4F4E4D0D" w14:textId="77777777" w:rsidR="009224C2" w:rsidRPr="007B279A" w:rsidRDefault="009224C2" w:rsidP="009224C2">
      <w:pPr>
        <w:pStyle w:val="SingleTxtGC"/>
        <w:tabs>
          <w:tab w:val="clear" w:pos="431"/>
        </w:tabs>
      </w:pPr>
      <w:r w:rsidRPr="007B279A">
        <w:t>39.</w:t>
      </w:r>
      <w:r w:rsidRPr="007B279A">
        <w:tab/>
      </w:r>
      <w:r w:rsidRPr="007B279A">
        <w:rPr>
          <w:rFonts w:hint="eastAsia"/>
        </w:rPr>
        <w:t>本报告所述期内，委员会登记了关于在苏丹发生的失踪案的第一项紧急行动请求。根据委员会收到的资料，</w:t>
      </w:r>
      <w:r w:rsidRPr="007B279A">
        <w:t>30</w:t>
      </w:r>
      <w:r w:rsidRPr="007B279A">
        <w:rPr>
          <w:rFonts w:hint="eastAsia"/>
        </w:rPr>
        <w:t>名蒙面武装人员袭击了受害人</w:t>
      </w:r>
      <w:r w:rsidRPr="007B279A">
        <w:t>(</w:t>
      </w:r>
      <w:proofErr w:type="gramStart"/>
      <w:r w:rsidRPr="007B279A">
        <w:rPr>
          <w:rFonts w:hint="eastAsia"/>
        </w:rPr>
        <w:t>一</w:t>
      </w:r>
      <w:proofErr w:type="gramEnd"/>
      <w:r w:rsidRPr="007B279A">
        <w:rPr>
          <w:rFonts w:hint="eastAsia"/>
        </w:rPr>
        <w:t>名人</w:t>
      </w:r>
      <w:proofErr w:type="gramStart"/>
      <w:r w:rsidRPr="007B279A">
        <w:rPr>
          <w:rFonts w:hint="eastAsia"/>
        </w:rPr>
        <w:t>权维护</w:t>
      </w:r>
      <w:proofErr w:type="gramEnd"/>
      <w:r w:rsidRPr="007B279A">
        <w:rPr>
          <w:rFonts w:hint="eastAsia"/>
        </w:rPr>
        <w:t>者</w:t>
      </w:r>
      <w:r w:rsidRPr="007B279A">
        <w:t>)</w:t>
      </w:r>
      <w:r w:rsidRPr="007B279A">
        <w:rPr>
          <w:rFonts w:hint="eastAsia"/>
        </w:rPr>
        <w:t>的家，并将她拘留。委员会随后收到资料称，受害人已于</w:t>
      </w:r>
      <w:r w:rsidRPr="007B279A">
        <w:t>2022</w:t>
      </w:r>
      <w:r w:rsidRPr="007B279A">
        <w:rPr>
          <w:rFonts w:hint="eastAsia"/>
        </w:rPr>
        <w:t>年</w:t>
      </w:r>
      <w:r w:rsidRPr="007B279A">
        <w:t>2</w:t>
      </w:r>
      <w:r w:rsidRPr="007B279A">
        <w:rPr>
          <w:rFonts w:hint="eastAsia"/>
        </w:rPr>
        <w:t>月获释。紧急行动因此结束。</w:t>
      </w:r>
    </w:p>
    <w:p w14:paraId="09EEC6D7" w14:textId="10976869" w:rsidR="009224C2" w:rsidRPr="007B279A" w:rsidRDefault="00F478C1" w:rsidP="00F478C1">
      <w:pPr>
        <w:pStyle w:val="H23GC"/>
      </w:pPr>
      <w:r w:rsidRPr="007B279A">
        <w:rPr>
          <w:lang w:val="en-GB"/>
        </w:rPr>
        <w:tab/>
        <w:t xml:space="preserve"> </w:t>
      </w:r>
      <w:r w:rsidR="009224C2" w:rsidRPr="007B279A">
        <w:rPr>
          <w:lang w:val="en-GB"/>
        </w:rPr>
        <w:t>(d)</w:t>
      </w:r>
      <w:r w:rsidR="009224C2" w:rsidRPr="007B279A">
        <w:rPr>
          <w:lang w:val="en-GB"/>
        </w:rPr>
        <w:tab/>
      </w:r>
      <w:r w:rsidR="009224C2" w:rsidRPr="007B279A">
        <w:rPr>
          <w:rFonts w:ascii="宋体" w:hAnsi="宋体" w:cs="宋体" w:hint="eastAsia"/>
          <w:lang w:val="en-GB"/>
        </w:rPr>
        <w:t>乌克兰的失踪案件</w:t>
      </w:r>
    </w:p>
    <w:p w14:paraId="284ED4CA" w14:textId="77777777" w:rsidR="009224C2" w:rsidRPr="007B279A" w:rsidRDefault="009224C2" w:rsidP="009224C2">
      <w:pPr>
        <w:pStyle w:val="SingleTxtGC"/>
        <w:tabs>
          <w:tab w:val="clear" w:pos="431"/>
        </w:tabs>
        <w:rPr>
          <w:lang w:val="en-GB"/>
        </w:rPr>
      </w:pPr>
      <w:r w:rsidRPr="007B279A">
        <w:rPr>
          <w:lang w:val="en-GB"/>
        </w:rPr>
        <w:t>40.</w:t>
      </w:r>
      <w:r w:rsidRPr="007B279A">
        <w:rPr>
          <w:lang w:val="en-GB"/>
        </w:rPr>
        <w:tab/>
      </w:r>
      <w:r w:rsidRPr="007B279A">
        <w:rPr>
          <w:rFonts w:hint="eastAsia"/>
          <w:lang w:val="en-GB"/>
        </w:rPr>
        <w:t>本报告所述期内，委员会登记了头两项关于在乌克兰发生的失踪案件的紧急行动请求。两名受害人都被身着制服的身份不明者拘留。根据委员会收到的资料，其中一名受害人是残疾人，被拘留时，他的拐杖被拿走并扔到地上。受害人在一个不明地点被单独关押了三天。他遭到殴打，逼迫他承认参与了自封的“顿涅茨克人民共和国”的武装团体，随后对他提起了刑事诉讼。</w:t>
      </w:r>
    </w:p>
    <w:p w14:paraId="73460313" w14:textId="748BC0F1" w:rsidR="009224C2" w:rsidRPr="007B279A" w:rsidRDefault="00F478C1" w:rsidP="00F478C1">
      <w:pPr>
        <w:pStyle w:val="H1GC"/>
      </w:pPr>
      <w:r w:rsidRPr="007B279A">
        <w:rPr>
          <w:lang w:val="zh-CN"/>
        </w:rPr>
        <w:tab/>
      </w:r>
      <w:r w:rsidR="009224C2" w:rsidRPr="007B279A">
        <w:rPr>
          <w:lang w:val="zh-CN"/>
        </w:rPr>
        <w:t>D.</w:t>
      </w:r>
      <w:r w:rsidR="009224C2" w:rsidRPr="007B279A">
        <w:rPr>
          <w:lang w:val="zh-CN"/>
        </w:rPr>
        <w:tab/>
      </w:r>
      <w:r w:rsidR="009224C2" w:rsidRPr="009A1DBF">
        <w:rPr>
          <w:rFonts w:ascii="宋体" w:hAnsi="宋体" w:cs="宋体"/>
          <w:spacing w:val="-2"/>
          <w:lang w:val="en-GB"/>
        </w:rPr>
        <w:t>已</w:t>
      </w:r>
      <w:r w:rsidR="009224C2" w:rsidRPr="009A1DBF">
        <w:rPr>
          <w:rFonts w:ascii="宋体" w:hAnsi="宋体" w:cs="宋体" w:hint="eastAsia"/>
          <w:spacing w:val="-2"/>
          <w:lang w:val="en-GB"/>
        </w:rPr>
        <w:t>终止</w:t>
      </w:r>
      <w:r w:rsidR="009224C2" w:rsidRPr="009A1DBF">
        <w:rPr>
          <w:rFonts w:ascii="宋体" w:hAnsi="宋体" w:cs="宋体"/>
          <w:spacing w:val="-2"/>
          <w:lang w:val="en-GB"/>
        </w:rPr>
        <w:t>、已结案、已为保护临时措施受益人而继续或已暂停的紧急行动</w:t>
      </w:r>
    </w:p>
    <w:p w14:paraId="5FF0EADC" w14:textId="77777777" w:rsidR="009224C2" w:rsidRPr="007B279A" w:rsidRDefault="009224C2" w:rsidP="009224C2">
      <w:pPr>
        <w:pStyle w:val="SingleTxtGC"/>
        <w:tabs>
          <w:tab w:val="clear" w:pos="431"/>
        </w:tabs>
      </w:pPr>
      <w:r w:rsidRPr="007B279A">
        <w:rPr>
          <w:lang w:val="zh-CN"/>
        </w:rPr>
        <w:t>41.</w:t>
      </w:r>
      <w:r w:rsidRPr="007B279A">
        <w:rPr>
          <w:lang w:val="zh-CN"/>
        </w:rPr>
        <w:tab/>
      </w:r>
      <w:r w:rsidRPr="007B279A">
        <w:rPr>
          <w:lang w:val="zh-CN"/>
        </w:rPr>
        <w:t>根据委员会第八届和第二十届会议通过的标准：</w:t>
      </w:r>
    </w:p>
    <w:p w14:paraId="386ED69C" w14:textId="77777777" w:rsidR="009224C2" w:rsidRPr="007B279A" w:rsidRDefault="009224C2" w:rsidP="00F478C1">
      <w:pPr>
        <w:pStyle w:val="SingleTxtGC"/>
        <w:tabs>
          <w:tab w:val="clear" w:pos="431"/>
        </w:tabs>
        <w:ind w:firstLine="431"/>
      </w:pPr>
      <w:r w:rsidRPr="007B279A">
        <w:rPr>
          <w:lang w:val="zh-CN"/>
        </w:rPr>
        <w:t>(a)</w:t>
      </w:r>
      <w:r w:rsidRPr="007B279A">
        <w:rPr>
          <w:lang w:val="zh-CN"/>
        </w:rPr>
        <w:tab/>
      </w:r>
      <w:r w:rsidRPr="007B279A">
        <w:rPr>
          <w:lang w:val="zh-CN"/>
        </w:rPr>
        <w:t>当失踪人员下落已查明但仍被羁押时，紧急行动即告终止；之所以采取此举，系因相关人员特别容易再遭强迫失踪并被置于法律保护之外；</w:t>
      </w:r>
    </w:p>
    <w:p w14:paraId="0F2BEC9A" w14:textId="77777777" w:rsidR="009224C2" w:rsidRPr="007B279A" w:rsidRDefault="009224C2" w:rsidP="00F478C1">
      <w:pPr>
        <w:pStyle w:val="SingleTxtGC"/>
        <w:tabs>
          <w:tab w:val="clear" w:pos="431"/>
        </w:tabs>
        <w:ind w:firstLine="431"/>
      </w:pPr>
      <w:r w:rsidRPr="007B279A">
        <w:rPr>
          <w:lang w:val="zh-CN"/>
        </w:rPr>
        <w:t>(b)</w:t>
      </w:r>
      <w:r w:rsidRPr="007B279A">
        <w:rPr>
          <w:lang w:val="zh-CN"/>
        </w:rPr>
        <w:tab/>
      </w:r>
      <w:r w:rsidRPr="007B279A">
        <w:rPr>
          <w:lang w:val="zh-CN"/>
        </w:rPr>
        <w:t>当失踪人员被发现已获自由，或已被找到并释放，或被发现已死亡时，只要其家人和</w:t>
      </w:r>
      <w:r w:rsidRPr="007B279A">
        <w:rPr>
          <w:lang w:val="zh-CN"/>
        </w:rPr>
        <w:t>(</w:t>
      </w:r>
      <w:r w:rsidRPr="007B279A">
        <w:rPr>
          <w:lang w:val="zh-CN"/>
        </w:rPr>
        <w:t>或</w:t>
      </w:r>
      <w:r w:rsidRPr="007B279A">
        <w:rPr>
          <w:lang w:val="zh-CN"/>
        </w:rPr>
        <w:t>)</w:t>
      </w:r>
      <w:r w:rsidRPr="007B279A">
        <w:rPr>
          <w:lang w:val="zh-CN"/>
        </w:rPr>
        <w:t>提交人对上述事实无异议，紧急行动即告结</w:t>
      </w:r>
      <w:r w:rsidRPr="007B279A">
        <w:rPr>
          <w:rFonts w:hint="eastAsia"/>
          <w:lang w:val="zh-CN"/>
        </w:rPr>
        <w:t>束</w:t>
      </w:r>
      <w:r w:rsidRPr="007B279A">
        <w:rPr>
          <w:lang w:val="zh-CN"/>
        </w:rPr>
        <w:t>；</w:t>
      </w:r>
    </w:p>
    <w:p w14:paraId="23207FD4" w14:textId="77777777" w:rsidR="009224C2" w:rsidRPr="007B279A" w:rsidRDefault="009224C2" w:rsidP="00F478C1">
      <w:pPr>
        <w:pStyle w:val="SingleTxtGC"/>
        <w:tabs>
          <w:tab w:val="clear" w:pos="431"/>
        </w:tabs>
        <w:ind w:firstLine="431"/>
      </w:pPr>
      <w:r w:rsidRPr="007B279A">
        <w:rPr>
          <w:lang w:val="zh-CN"/>
        </w:rPr>
        <w:t>(c)</w:t>
      </w:r>
      <w:r w:rsidRPr="007B279A">
        <w:rPr>
          <w:lang w:val="zh-CN"/>
        </w:rPr>
        <w:tab/>
      </w:r>
      <w:r w:rsidRPr="007B279A">
        <w:rPr>
          <w:lang w:val="zh-CN"/>
        </w:rPr>
        <w:t>当失踪人员的下落已查明，但紧急行动中的临时措施受益人仍面临威胁时，紧急行动继续。此类情况下，委员会的干预仅限于对临时措施进行跟进；</w:t>
      </w:r>
    </w:p>
    <w:p w14:paraId="30D49E1D" w14:textId="77777777" w:rsidR="009224C2" w:rsidRPr="007B279A" w:rsidRDefault="009224C2" w:rsidP="00F478C1">
      <w:pPr>
        <w:pStyle w:val="SingleTxtGC"/>
        <w:tabs>
          <w:tab w:val="clear" w:pos="431"/>
        </w:tabs>
        <w:ind w:firstLine="431"/>
      </w:pPr>
      <w:r w:rsidRPr="007B279A">
        <w:rPr>
          <w:lang w:val="zh-CN"/>
        </w:rPr>
        <w:t>(d)</w:t>
      </w:r>
      <w:r w:rsidRPr="007B279A">
        <w:rPr>
          <w:lang w:val="zh-CN"/>
        </w:rPr>
        <w:tab/>
      </w:r>
      <w:r w:rsidRPr="007B279A">
        <w:rPr>
          <w:lang w:val="zh-CN"/>
        </w:rPr>
        <w:t>当紧急行动请求提交人已与失踪人员家人失去联系，无法继续提供后续信息时，紧急行动以及委员会的跟进措施即告暂停。若提交人通知委员会已与失踪人员家人重新建立起联系，则暂停的紧急行动可重新启动。</w:t>
      </w:r>
      <w:bookmarkStart w:id="0" w:name="_Hlk104977098"/>
      <w:bookmarkEnd w:id="0"/>
    </w:p>
    <w:p w14:paraId="67C29DEB" w14:textId="77777777" w:rsidR="009224C2" w:rsidRPr="007B279A" w:rsidRDefault="009224C2" w:rsidP="009224C2">
      <w:pPr>
        <w:pStyle w:val="SingleTxtGC"/>
        <w:tabs>
          <w:tab w:val="clear" w:pos="431"/>
        </w:tabs>
      </w:pPr>
      <w:r w:rsidRPr="007B279A">
        <w:rPr>
          <w:lang w:val="zh-CN"/>
        </w:rPr>
        <w:t>42.</w:t>
      </w:r>
      <w:r w:rsidRPr="007B279A">
        <w:rPr>
          <w:lang w:val="zh-CN"/>
        </w:rPr>
        <w:tab/>
      </w:r>
      <w:r w:rsidRPr="007B279A">
        <w:rPr>
          <w:lang w:val="zh-CN"/>
        </w:rPr>
        <w:t>截至</w:t>
      </w:r>
      <w:r w:rsidRPr="007B279A">
        <w:rPr>
          <w:lang w:val="zh-CN"/>
        </w:rPr>
        <w:t>2022</w:t>
      </w:r>
      <w:r w:rsidRPr="007B279A">
        <w:rPr>
          <w:lang w:val="zh-CN"/>
        </w:rPr>
        <w:t>年</w:t>
      </w:r>
      <w:r w:rsidRPr="007B279A">
        <w:rPr>
          <w:lang w:val="zh-CN"/>
        </w:rPr>
        <w:t>4</w:t>
      </w:r>
      <w:r w:rsidRPr="007B279A">
        <w:rPr>
          <w:lang w:val="zh-CN"/>
        </w:rPr>
        <w:t>月</w:t>
      </w:r>
      <w:r w:rsidRPr="007B279A">
        <w:rPr>
          <w:lang w:val="zh-CN"/>
        </w:rPr>
        <w:t>8</w:t>
      </w:r>
      <w:r w:rsidRPr="007B279A">
        <w:rPr>
          <w:lang w:val="zh-CN"/>
        </w:rPr>
        <w:t>日，委员会结案了</w:t>
      </w:r>
      <w:r w:rsidRPr="007B279A">
        <w:rPr>
          <w:lang w:val="zh-CN"/>
        </w:rPr>
        <w:t>389</w:t>
      </w:r>
      <w:r w:rsidRPr="007B279A">
        <w:rPr>
          <w:lang w:val="zh-CN"/>
        </w:rPr>
        <w:t>起紧急行动案件，终止了</w:t>
      </w:r>
      <w:r w:rsidRPr="007B279A">
        <w:rPr>
          <w:lang w:val="zh-CN"/>
        </w:rPr>
        <w:t>35</w:t>
      </w:r>
      <w:r w:rsidRPr="007B279A">
        <w:rPr>
          <w:lang w:val="zh-CN"/>
        </w:rPr>
        <w:t>起案件，暂停了</w:t>
      </w:r>
      <w:r w:rsidRPr="007B279A">
        <w:rPr>
          <w:lang w:val="zh-CN"/>
        </w:rPr>
        <w:t>102</w:t>
      </w:r>
      <w:r w:rsidRPr="007B279A">
        <w:rPr>
          <w:lang w:val="zh-CN"/>
        </w:rPr>
        <w:t>起案件。共有</w:t>
      </w:r>
      <w:r w:rsidRPr="007B279A">
        <w:rPr>
          <w:lang w:val="zh-CN"/>
        </w:rPr>
        <w:t>965</w:t>
      </w:r>
      <w:r w:rsidRPr="007B279A">
        <w:rPr>
          <w:lang w:val="zh-CN"/>
        </w:rPr>
        <w:t>起紧急行动案件仍在继续。</w:t>
      </w:r>
      <w:bookmarkStart w:id="1" w:name="_Hlk45551809"/>
    </w:p>
    <w:p w14:paraId="303122FA" w14:textId="77777777" w:rsidR="009224C2" w:rsidRPr="007B279A" w:rsidRDefault="009224C2" w:rsidP="009224C2">
      <w:pPr>
        <w:pStyle w:val="SingleTxtGC"/>
        <w:tabs>
          <w:tab w:val="clear" w:pos="431"/>
        </w:tabs>
      </w:pPr>
      <w:r w:rsidRPr="007B279A">
        <w:rPr>
          <w:lang w:val="zh-CN"/>
        </w:rPr>
        <w:lastRenderedPageBreak/>
        <w:t>43.</w:t>
      </w:r>
      <w:r w:rsidRPr="007B279A">
        <w:rPr>
          <w:lang w:val="zh-CN"/>
        </w:rPr>
        <w:tab/>
      </w:r>
      <w:r w:rsidRPr="007B279A">
        <w:rPr>
          <w:lang w:val="zh-CN"/>
        </w:rPr>
        <w:t>在</w:t>
      </w:r>
      <w:r w:rsidRPr="007B279A">
        <w:rPr>
          <w:rFonts w:hint="eastAsia"/>
          <w:lang w:val="zh-CN"/>
        </w:rPr>
        <w:t>两</w:t>
      </w:r>
      <w:r w:rsidRPr="007B279A">
        <w:rPr>
          <w:lang w:val="zh-CN"/>
        </w:rPr>
        <w:t>起失踪人员</w:t>
      </w:r>
      <w:r w:rsidRPr="007B279A">
        <w:rPr>
          <w:rFonts w:hint="eastAsia"/>
          <w:lang w:val="zh-CN"/>
        </w:rPr>
        <w:t>被</w:t>
      </w:r>
      <w:r w:rsidRPr="007B279A">
        <w:rPr>
          <w:lang w:val="zh-CN"/>
        </w:rPr>
        <w:t>发现已死亡的紧急行动案件中</w:t>
      </w:r>
      <w:r w:rsidRPr="007B279A">
        <w:rPr>
          <w:lang w:val="zh-CN"/>
        </w:rPr>
        <w:t>(</w:t>
      </w:r>
      <w:r w:rsidRPr="007B279A">
        <w:rPr>
          <w:lang w:val="zh-CN"/>
        </w:rPr>
        <w:t>第</w:t>
      </w:r>
      <w:r w:rsidRPr="007B279A">
        <w:rPr>
          <w:lang w:val="zh-CN"/>
        </w:rPr>
        <w:t>12/2014</w:t>
      </w:r>
      <w:r w:rsidRPr="007B279A">
        <w:rPr>
          <w:lang w:val="zh-CN"/>
        </w:rPr>
        <w:t>号，事涉哥伦比亚；第</w:t>
      </w:r>
      <w:r w:rsidRPr="007B279A">
        <w:rPr>
          <w:lang w:val="zh-CN"/>
        </w:rPr>
        <w:t>8/2013</w:t>
      </w:r>
      <w:r w:rsidRPr="007B279A">
        <w:rPr>
          <w:lang w:val="zh-CN"/>
        </w:rPr>
        <w:t>号，事涉墨西哥</w:t>
      </w:r>
      <w:r w:rsidRPr="007B279A">
        <w:rPr>
          <w:lang w:val="zh-CN"/>
        </w:rPr>
        <w:t>)</w:t>
      </w:r>
      <w:r w:rsidRPr="007B279A">
        <w:rPr>
          <w:lang w:val="zh-CN"/>
        </w:rPr>
        <w:t>，紧急行动仍在继续，因为临时措施受益人仍面临威胁。</w:t>
      </w:r>
      <w:bookmarkEnd w:id="1"/>
    </w:p>
    <w:p w14:paraId="6817AC28" w14:textId="77777777" w:rsidR="009224C2" w:rsidRPr="007B279A" w:rsidRDefault="009224C2" w:rsidP="009224C2">
      <w:pPr>
        <w:pStyle w:val="SingleTxtGC"/>
        <w:tabs>
          <w:tab w:val="clear" w:pos="431"/>
        </w:tabs>
      </w:pPr>
      <w:r w:rsidRPr="007B279A">
        <w:rPr>
          <w:lang w:val="zh-CN"/>
        </w:rPr>
        <w:t>44.</w:t>
      </w:r>
      <w:r w:rsidRPr="007B279A">
        <w:rPr>
          <w:lang w:val="zh-CN"/>
        </w:rPr>
        <w:tab/>
      </w:r>
      <w:r w:rsidRPr="007B279A">
        <w:rPr>
          <w:lang w:val="zh-CN"/>
        </w:rPr>
        <w:t>委员会对迄今有</w:t>
      </w:r>
      <w:r w:rsidRPr="007B279A">
        <w:rPr>
          <w:lang w:val="zh-CN"/>
        </w:rPr>
        <w:t>426</w:t>
      </w:r>
      <w:r w:rsidRPr="007B279A">
        <w:rPr>
          <w:lang w:val="zh-CN"/>
        </w:rPr>
        <w:t>名失踪人员被查明下落表示欢迎。委员会尤其欢迎的是，有</w:t>
      </w:r>
      <w:r w:rsidRPr="007B279A">
        <w:rPr>
          <w:lang w:val="zh-CN"/>
        </w:rPr>
        <w:t>402</w:t>
      </w:r>
      <w:r w:rsidRPr="007B279A">
        <w:rPr>
          <w:lang w:val="zh-CN"/>
        </w:rPr>
        <w:t>起案件中的相关人员被查明下落时还在世。就此，委员会希望着重指出报告所述期内</w:t>
      </w:r>
      <w:proofErr w:type="gramStart"/>
      <w:r w:rsidRPr="007B279A">
        <w:rPr>
          <w:lang w:val="zh-CN"/>
        </w:rPr>
        <w:t>内</w:t>
      </w:r>
      <w:proofErr w:type="gramEnd"/>
      <w:r w:rsidRPr="007B279A">
        <w:rPr>
          <w:lang w:val="zh-CN"/>
        </w:rPr>
        <w:t>登记的事涉柬埔寨、古巴、伊拉克、墨西哥、摩洛哥和苏丹所发生案件的紧急行动请求中观察到的积极结果。</w:t>
      </w:r>
    </w:p>
    <w:p w14:paraId="6F34647A" w14:textId="020F6CD7" w:rsidR="009224C2" w:rsidRPr="007B279A" w:rsidRDefault="00F478C1" w:rsidP="00F478C1">
      <w:pPr>
        <w:pStyle w:val="H1GC"/>
      </w:pPr>
      <w:r w:rsidRPr="007B279A">
        <w:rPr>
          <w:lang w:val="zh-CN"/>
        </w:rPr>
        <w:tab/>
      </w:r>
      <w:r w:rsidR="009224C2" w:rsidRPr="007B279A">
        <w:rPr>
          <w:lang w:val="zh-CN"/>
        </w:rPr>
        <w:t>E.</w:t>
      </w:r>
      <w:r w:rsidR="009224C2" w:rsidRPr="007B279A">
        <w:rPr>
          <w:rFonts w:eastAsiaTheme="minorEastAsia"/>
          <w:lang w:val="zh-CN"/>
        </w:rPr>
        <w:tab/>
      </w:r>
      <w:r w:rsidR="009224C2" w:rsidRPr="007B279A">
        <w:rPr>
          <w:lang w:val="zh-CN"/>
        </w:rPr>
        <w:t>委员会第二十二届会议的决定</w:t>
      </w:r>
    </w:p>
    <w:p w14:paraId="47FF9661" w14:textId="77777777" w:rsidR="009224C2" w:rsidRPr="007B279A" w:rsidRDefault="009224C2" w:rsidP="009224C2">
      <w:pPr>
        <w:pStyle w:val="SingleTxtGC"/>
        <w:tabs>
          <w:tab w:val="clear" w:pos="431"/>
        </w:tabs>
      </w:pPr>
      <w:r w:rsidRPr="007B279A">
        <w:rPr>
          <w:lang w:val="en-GB"/>
        </w:rPr>
        <w:t>45.</w:t>
      </w:r>
      <w:r w:rsidRPr="007B279A">
        <w:rPr>
          <w:lang w:val="en-GB"/>
        </w:rPr>
        <w:tab/>
      </w:r>
      <w:r w:rsidRPr="007B279A">
        <w:rPr>
          <w:rFonts w:hint="eastAsia"/>
          <w:lang w:val="en-GB"/>
        </w:rPr>
        <w:t>委员会决定，如果以紧急行动请求登记的案件随后又以个人来文登记，委员会将暂停紧急行动，并在个人来文程序之下处理该案件。如果一起案件同时作为紧急行动请求和个人来文提交，而且在这两个程序下均可登记，委员会将同时登记紧急行动请求和个人来文，并会随之暂停紧急行动。</w:t>
      </w:r>
    </w:p>
    <w:p w14:paraId="3338DD08" w14:textId="77777777" w:rsidR="009224C2" w:rsidRPr="007B279A" w:rsidRDefault="009224C2" w:rsidP="009224C2">
      <w:pPr>
        <w:pStyle w:val="SingleTxtGC"/>
        <w:tabs>
          <w:tab w:val="clear" w:pos="431"/>
        </w:tabs>
      </w:pPr>
    </w:p>
    <w:p w14:paraId="4D9BAF2E" w14:textId="77777777" w:rsidR="00F478C1" w:rsidRPr="002D6A9C" w:rsidRDefault="00F478C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B39A42A" w14:textId="2EA6BC89" w:rsidR="00CC6FCD" w:rsidRPr="009224C2" w:rsidRDefault="00CC6FCD" w:rsidP="00174E3C">
      <w:pPr>
        <w:pStyle w:val="SingleTxtGC"/>
      </w:pPr>
    </w:p>
    <w:sectPr w:rsidR="00CC6FCD" w:rsidRPr="009224C2"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9FF44" w14:textId="77777777" w:rsidR="009D19F6" w:rsidRPr="000D319F" w:rsidRDefault="009D19F6" w:rsidP="000D319F">
      <w:pPr>
        <w:pStyle w:val="af0"/>
        <w:spacing w:after="240"/>
        <w:ind w:left="907"/>
        <w:rPr>
          <w:rFonts w:asciiTheme="majorBidi" w:eastAsia="宋体" w:hAnsiTheme="majorBidi" w:cstheme="majorBidi"/>
          <w:sz w:val="21"/>
          <w:szCs w:val="21"/>
          <w:lang w:val="en-US"/>
        </w:rPr>
      </w:pPr>
    </w:p>
    <w:p w14:paraId="4432C811" w14:textId="77777777" w:rsidR="009D19F6" w:rsidRPr="000D319F" w:rsidRDefault="009D19F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AD4BB2C" w14:textId="77777777" w:rsidR="009D19F6" w:rsidRPr="000D319F" w:rsidRDefault="009D19F6" w:rsidP="000D319F">
      <w:pPr>
        <w:pStyle w:val="af0"/>
      </w:pPr>
    </w:p>
  </w:endnote>
  <w:endnote w:type="continuationNotice" w:id="1">
    <w:p w14:paraId="5E1D0B14" w14:textId="77777777" w:rsidR="009D19F6" w:rsidRDefault="009D19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10AA7" w14:textId="77777777" w:rsidR="00056632" w:rsidRPr="00CC6FCD" w:rsidRDefault="00CC6FCD" w:rsidP="00CC6FC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C6FCD">
      <w:rPr>
        <w:rStyle w:val="af2"/>
        <w:b w:val="0"/>
        <w:snapToGrid w:val="0"/>
        <w:sz w:val="16"/>
      </w:rPr>
      <w:t>GE.22</w:t>
    </w:r>
    <w:proofErr w:type="spellEnd"/>
    <w:r w:rsidRPr="00CC6FCD">
      <w:rPr>
        <w:rStyle w:val="af2"/>
        <w:b w:val="0"/>
        <w:snapToGrid w:val="0"/>
        <w:sz w:val="16"/>
      </w:rPr>
      <w:t>-08501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5E852" w14:textId="77777777" w:rsidR="00056632" w:rsidRPr="00CC6FCD" w:rsidRDefault="00CC6FCD" w:rsidP="00CC6FCD">
    <w:pPr>
      <w:pStyle w:val="af0"/>
      <w:tabs>
        <w:tab w:val="clear" w:pos="431"/>
        <w:tab w:val="right" w:pos="9638"/>
      </w:tabs>
      <w:rPr>
        <w:rStyle w:val="af2"/>
      </w:rPr>
    </w:pPr>
    <w:proofErr w:type="spellStart"/>
    <w:r>
      <w:t>GE.22</w:t>
    </w:r>
    <w:proofErr w:type="spellEnd"/>
    <w:r>
      <w:t>-08501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DE5E9" w14:textId="5E6A5D72" w:rsidR="00056632" w:rsidRPr="00487939" w:rsidRDefault="00CC6FCD"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0E1253E" wp14:editId="685E91E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-08501</w:t>
    </w:r>
    <w:r w:rsidR="00731A42" w:rsidRPr="00EE277A">
      <w:rPr>
        <w:sz w:val="20"/>
        <w:lang w:eastAsia="zh-CN"/>
      </w:rPr>
      <w:t xml:space="preserve"> (C)</w:t>
    </w:r>
    <w:r w:rsidR="00466071">
      <w:rPr>
        <w:sz w:val="20"/>
        <w:lang w:eastAsia="zh-CN"/>
      </w:rPr>
      <w:tab/>
    </w:r>
    <w:r w:rsidR="009C64D6">
      <w:rPr>
        <w:sz w:val="20"/>
        <w:lang w:eastAsia="zh-CN"/>
      </w:rPr>
      <w:t>240622</w:t>
    </w:r>
    <w:r w:rsidR="00731A42">
      <w:rPr>
        <w:sz w:val="20"/>
        <w:lang w:eastAsia="zh-CN"/>
      </w:rPr>
      <w:tab/>
    </w:r>
    <w:r w:rsidR="009C64D6">
      <w:rPr>
        <w:sz w:val="20"/>
        <w:lang w:eastAsia="zh-CN"/>
      </w:rPr>
      <w:t>130722</w:t>
    </w:r>
    <w:r w:rsidR="00731A42">
      <w:rPr>
        <w:b/>
        <w:sz w:val="21"/>
      </w:rPr>
      <w:tab/>
    </w:r>
    <w:r w:rsidR="00A1364C">
      <w:rPr>
        <w:rFonts w:hint="eastAsia"/>
        <w:b/>
        <w:noProof/>
        <w:snapToGrid/>
        <w:sz w:val="21"/>
        <w:lang w:val="en-US" w:eastAsia="zh-CN"/>
      </w:rPr>
      <w:drawing>
        <wp:inline distT="0" distB="0" distL="0" distR="0" wp14:anchorId="0F10A869" wp14:editId="0D1974E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74226" w14:textId="77777777" w:rsidR="009D19F6" w:rsidRPr="000157B1" w:rsidRDefault="009D19F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008AABA" w14:textId="77777777" w:rsidR="009D19F6" w:rsidRPr="000157B1" w:rsidRDefault="009D19F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5EF855A" w14:textId="77777777" w:rsidR="009D19F6" w:rsidRDefault="009D19F6"/>
  </w:footnote>
  <w:footnote w:id="2">
    <w:p w14:paraId="278454EC" w14:textId="0E9A11E4" w:rsidR="009224C2" w:rsidRPr="00C05A55" w:rsidRDefault="009224C2" w:rsidP="009224C2">
      <w:pPr>
        <w:pStyle w:val="a6"/>
      </w:pPr>
      <w:r>
        <w:rPr>
          <w:lang w:val="zh-CN"/>
        </w:rPr>
        <w:tab/>
      </w:r>
      <w:r w:rsidRPr="003206A2">
        <w:rPr>
          <w:sz w:val="21"/>
          <w:szCs w:val="21"/>
          <w:lang w:val="zh-CN"/>
        </w:rPr>
        <w:t>*</w:t>
      </w:r>
      <w:r w:rsidR="003206A2">
        <w:rPr>
          <w:lang w:val="zh-CN"/>
        </w:rPr>
        <w:tab/>
      </w:r>
      <w:r>
        <w:rPr>
          <w:lang w:val="zh-CN"/>
        </w:rPr>
        <w:t>委员会第二十二届会议</w:t>
      </w:r>
      <w:r>
        <w:rPr>
          <w:lang w:val="zh-CN"/>
        </w:rPr>
        <w:t>(2022</w:t>
      </w:r>
      <w:r>
        <w:rPr>
          <w:lang w:val="zh-CN"/>
        </w:rPr>
        <w:t>年</w:t>
      </w:r>
      <w:r>
        <w:rPr>
          <w:lang w:val="zh-CN"/>
        </w:rPr>
        <w:t>3</w:t>
      </w:r>
      <w:r>
        <w:rPr>
          <w:lang w:val="zh-CN"/>
        </w:rPr>
        <w:t>月</w:t>
      </w:r>
      <w:r>
        <w:rPr>
          <w:lang w:val="zh-CN"/>
        </w:rPr>
        <w:t>28</w:t>
      </w:r>
      <w:r>
        <w:rPr>
          <w:lang w:val="zh-CN"/>
        </w:rPr>
        <w:t>日至</w:t>
      </w:r>
      <w:r>
        <w:rPr>
          <w:lang w:val="zh-CN"/>
        </w:rPr>
        <w:t>4</w:t>
      </w:r>
      <w:r>
        <w:rPr>
          <w:lang w:val="zh-CN"/>
        </w:rPr>
        <w:t>月</w:t>
      </w:r>
      <w:r>
        <w:rPr>
          <w:lang w:val="zh-CN"/>
        </w:rPr>
        <w:t>8</w:t>
      </w:r>
      <w:r>
        <w:rPr>
          <w:lang w:val="zh-CN"/>
        </w:rPr>
        <w:t>日</w:t>
      </w:r>
      <w:r>
        <w:rPr>
          <w:lang w:val="zh-CN"/>
        </w:rPr>
        <w:t>)</w:t>
      </w:r>
      <w:r>
        <w:rPr>
          <w:lang w:val="zh-CN"/>
        </w:rPr>
        <w:t>通过。</w:t>
      </w:r>
    </w:p>
  </w:footnote>
  <w:footnote w:id="3">
    <w:p w14:paraId="1ABAB37C" w14:textId="5B395468" w:rsidR="009224C2" w:rsidRPr="00A7713B" w:rsidRDefault="009224C2" w:rsidP="009224C2">
      <w:pPr>
        <w:pStyle w:val="a6"/>
      </w:pPr>
      <w:r w:rsidRPr="00A7713B">
        <w:rPr>
          <w:lang w:val="zh-CN"/>
        </w:rPr>
        <w:tab/>
      </w:r>
      <w:r w:rsidRPr="001C4C32">
        <w:rPr>
          <w:rStyle w:val="a8"/>
          <w:rFonts w:eastAsia="宋体"/>
        </w:rPr>
        <w:footnoteRef/>
      </w:r>
      <w:r w:rsidRPr="00A15632">
        <w:rPr>
          <w:lang w:val="en-GB"/>
        </w:rPr>
        <w:tab/>
      </w:r>
      <w:hyperlink r:id="rId1" w:history="1">
        <w:proofErr w:type="spellStart"/>
        <w:r w:rsidRPr="00CA078C">
          <w:rPr>
            <w:rStyle w:val="af7"/>
            <w:lang w:val="en-GB"/>
          </w:rPr>
          <w:t>CED</w:t>
        </w:r>
        <w:proofErr w:type="spellEnd"/>
        <w:r w:rsidRPr="00CA078C">
          <w:rPr>
            <w:rStyle w:val="af7"/>
            <w:lang w:val="en-GB"/>
          </w:rPr>
          <w:t>/C/21/2</w:t>
        </w:r>
      </w:hyperlink>
      <w:r>
        <w:rPr>
          <w:lang w:val="en-GB"/>
        </w:rPr>
        <w:t>.</w:t>
      </w:r>
    </w:p>
  </w:footnote>
  <w:footnote w:id="4">
    <w:p w14:paraId="0784560C" w14:textId="010A5174" w:rsidR="009224C2" w:rsidRPr="00A7713B" w:rsidRDefault="009224C2" w:rsidP="009224C2">
      <w:pPr>
        <w:pStyle w:val="a6"/>
      </w:pPr>
      <w:r w:rsidRPr="00A7713B">
        <w:tab/>
      </w:r>
      <w:r w:rsidRPr="001C4C32">
        <w:rPr>
          <w:rStyle w:val="a8"/>
          <w:rFonts w:eastAsia="宋体"/>
        </w:rPr>
        <w:footnoteRef/>
      </w:r>
      <w:r w:rsidRPr="00417338">
        <w:tab/>
      </w:r>
      <w:hyperlink r:id="rId2" w:history="1">
        <w:proofErr w:type="spellStart"/>
        <w:r w:rsidRPr="00CA078C">
          <w:rPr>
            <w:rStyle w:val="af7"/>
          </w:rPr>
          <w:t>CED</w:t>
        </w:r>
        <w:proofErr w:type="spellEnd"/>
        <w:r w:rsidRPr="00CA078C">
          <w:rPr>
            <w:rStyle w:val="af7"/>
          </w:rPr>
          <w:t>/C/11/3</w:t>
        </w:r>
      </w:hyperlink>
      <w:r>
        <w:rPr>
          <w:rFonts w:hint="eastAsia"/>
        </w:rPr>
        <w:t>、</w:t>
      </w:r>
      <w:r w:rsidR="00CA078C">
        <w:fldChar w:fldCharType="begin"/>
      </w:r>
      <w:r w:rsidR="00CA078C">
        <w:instrText xml:space="preserve"> HYPERLINK "http://undocs.org/ch/CED/C/12/2" </w:instrText>
      </w:r>
      <w:r w:rsidR="00CA078C">
        <w:fldChar w:fldCharType="separate"/>
      </w:r>
      <w:proofErr w:type="spellStart"/>
      <w:r w:rsidRPr="00CA078C">
        <w:rPr>
          <w:rStyle w:val="af7"/>
        </w:rPr>
        <w:t>CED</w:t>
      </w:r>
      <w:proofErr w:type="spellEnd"/>
      <w:r w:rsidRPr="00CA078C">
        <w:rPr>
          <w:rStyle w:val="af7"/>
        </w:rPr>
        <w:t>/C/12/2</w:t>
      </w:r>
      <w:r w:rsidR="00CA078C">
        <w:fldChar w:fldCharType="end"/>
      </w:r>
      <w:r>
        <w:rPr>
          <w:rFonts w:hint="eastAsia"/>
        </w:rPr>
        <w:t>、</w:t>
      </w:r>
      <w:r w:rsidR="00CA078C">
        <w:fldChar w:fldCharType="begin"/>
      </w:r>
      <w:r w:rsidR="00CA078C">
        <w:instrText xml:space="preserve"> HYPERLINK "http://undocs.org/ch/CED/C/13/3" </w:instrText>
      </w:r>
      <w:r w:rsidR="00CA078C">
        <w:fldChar w:fldCharType="separate"/>
      </w:r>
      <w:proofErr w:type="spellStart"/>
      <w:r w:rsidRPr="00CA078C">
        <w:rPr>
          <w:rStyle w:val="af7"/>
        </w:rPr>
        <w:t>CED</w:t>
      </w:r>
      <w:proofErr w:type="spellEnd"/>
      <w:r w:rsidRPr="00CA078C">
        <w:rPr>
          <w:rStyle w:val="af7"/>
        </w:rPr>
        <w:t>/C/13/3</w:t>
      </w:r>
      <w:r w:rsidR="00CA078C">
        <w:fldChar w:fldCharType="end"/>
      </w:r>
      <w:r>
        <w:rPr>
          <w:rFonts w:hint="eastAsia"/>
        </w:rPr>
        <w:t>、</w:t>
      </w:r>
      <w:r w:rsidR="00CA078C">
        <w:fldChar w:fldCharType="begin"/>
      </w:r>
      <w:r w:rsidR="00CA078C">
        <w:instrText xml:space="preserve"> HYPERLINK "http://undocs.org/ch/CED/C/14/2" </w:instrText>
      </w:r>
      <w:r w:rsidR="00CA078C">
        <w:fldChar w:fldCharType="separate"/>
      </w:r>
      <w:proofErr w:type="spellStart"/>
      <w:r w:rsidRPr="00CA078C">
        <w:rPr>
          <w:rStyle w:val="af7"/>
        </w:rPr>
        <w:t>CED</w:t>
      </w:r>
      <w:proofErr w:type="spellEnd"/>
      <w:r w:rsidRPr="00CA078C">
        <w:rPr>
          <w:rStyle w:val="af7"/>
        </w:rPr>
        <w:t>/C/14/2</w:t>
      </w:r>
      <w:r w:rsidR="00CA078C">
        <w:fldChar w:fldCharType="end"/>
      </w:r>
      <w:r>
        <w:rPr>
          <w:rFonts w:hint="eastAsia"/>
        </w:rPr>
        <w:t>、</w:t>
      </w:r>
      <w:r w:rsidR="00CA078C">
        <w:fldChar w:fldCharType="begin"/>
      </w:r>
      <w:r w:rsidR="00CA078C">
        <w:instrText xml:space="preserve"> HYPERLINK "http://undocs.org/ch/CED/C/15/3" </w:instrText>
      </w:r>
      <w:r w:rsidR="00CA078C">
        <w:fldChar w:fldCharType="separate"/>
      </w:r>
      <w:proofErr w:type="spellStart"/>
      <w:r w:rsidRPr="00CA078C">
        <w:rPr>
          <w:rStyle w:val="af7"/>
        </w:rPr>
        <w:t>CED</w:t>
      </w:r>
      <w:proofErr w:type="spellEnd"/>
      <w:r w:rsidRPr="00CA078C">
        <w:rPr>
          <w:rStyle w:val="af7"/>
        </w:rPr>
        <w:t>/C/15/3</w:t>
      </w:r>
      <w:r w:rsidR="00CA078C">
        <w:fldChar w:fldCharType="end"/>
      </w:r>
      <w:r>
        <w:rPr>
          <w:rFonts w:hint="eastAsia"/>
        </w:rPr>
        <w:t>、</w:t>
      </w:r>
      <w:r w:rsidR="00CA078C">
        <w:fldChar w:fldCharType="begin"/>
      </w:r>
      <w:r w:rsidR="00CA078C">
        <w:instrText xml:space="preserve"> HYPERLINK "http://undocs.org/ch/CED/C/16/2" </w:instrText>
      </w:r>
      <w:r w:rsidR="00CA078C">
        <w:fldChar w:fldCharType="separate"/>
      </w:r>
      <w:proofErr w:type="spellStart"/>
      <w:r w:rsidRPr="00CA078C">
        <w:rPr>
          <w:rStyle w:val="af7"/>
        </w:rPr>
        <w:t>CED</w:t>
      </w:r>
      <w:proofErr w:type="spellEnd"/>
      <w:r w:rsidRPr="00CA078C">
        <w:rPr>
          <w:rStyle w:val="af7"/>
        </w:rPr>
        <w:t>/C/16/2</w:t>
      </w:r>
      <w:r w:rsidR="00CA078C">
        <w:fldChar w:fldCharType="end"/>
      </w:r>
      <w:r>
        <w:rPr>
          <w:rFonts w:hint="eastAsia"/>
        </w:rPr>
        <w:t>、</w:t>
      </w:r>
      <w:r w:rsidR="00CA078C">
        <w:fldChar w:fldCharType="begin"/>
      </w:r>
      <w:r w:rsidR="00CA078C">
        <w:instrText xml:space="preserve"> HYPERLINK "http://undocs.org/ch/CED/C/17/2" </w:instrText>
      </w:r>
      <w:r w:rsidR="00CA078C">
        <w:fldChar w:fldCharType="separate"/>
      </w:r>
      <w:proofErr w:type="spellStart"/>
      <w:r w:rsidRPr="00CA078C">
        <w:rPr>
          <w:rStyle w:val="af7"/>
        </w:rPr>
        <w:t>CED</w:t>
      </w:r>
      <w:proofErr w:type="spellEnd"/>
      <w:r w:rsidRPr="00CA078C">
        <w:rPr>
          <w:rStyle w:val="af7"/>
        </w:rPr>
        <w:t>/C/17/2</w:t>
      </w:r>
      <w:r w:rsidR="00CA078C">
        <w:fldChar w:fldCharType="end"/>
      </w:r>
      <w:r>
        <w:rPr>
          <w:rFonts w:hint="eastAsia"/>
        </w:rPr>
        <w:t>、</w:t>
      </w:r>
      <w:r w:rsidR="00CA078C">
        <w:fldChar w:fldCharType="begin"/>
      </w:r>
      <w:r w:rsidR="00CA078C">
        <w:instrText xml:space="preserve"> HYPERLINK "http://undocs.org/ch/CED/C/19/2" </w:instrText>
      </w:r>
      <w:r w:rsidR="00CA078C">
        <w:fldChar w:fldCharType="separate"/>
      </w:r>
      <w:proofErr w:type="spellStart"/>
      <w:r w:rsidRPr="00CA078C">
        <w:rPr>
          <w:rStyle w:val="af7"/>
        </w:rPr>
        <w:t>CED</w:t>
      </w:r>
      <w:proofErr w:type="spellEnd"/>
      <w:r w:rsidRPr="00CA078C">
        <w:rPr>
          <w:rStyle w:val="af7"/>
        </w:rPr>
        <w:t>/C/19/2</w:t>
      </w:r>
      <w:r w:rsidR="00CA078C">
        <w:fldChar w:fldCharType="end"/>
      </w:r>
      <w:r>
        <w:rPr>
          <w:rFonts w:hint="eastAsia"/>
        </w:rPr>
        <w:t>、</w:t>
      </w:r>
      <w:r w:rsidR="00CA078C">
        <w:fldChar w:fldCharType="begin"/>
      </w:r>
      <w:r w:rsidR="00CA078C">
        <w:instrText xml:space="preserve"> HYPERLINK "http://undocs.org/ch/CED/C/20/2" </w:instrText>
      </w:r>
      <w:r w:rsidR="00CA078C">
        <w:fldChar w:fldCharType="separate"/>
      </w:r>
      <w:proofErr w:type="spellStart"/>
      <w:r w:rsidRPr="00CA078C">
        <w:rPr>
          <w:rStyle w:val="af7"/>
        </w:rPr>
        <w:t>CED</w:t>
      </w:r>
      <w:proofErr w:type="spellEnd"/>
      <w:r w:rsidRPr="00CA078C">
        <w:rPr>
          <w:rStyle w:val="af7"/>
        </w:rPr>
        <w:t>/C/20/2</w:t>
      </w:r>
      <w:r w:rsidR="00CA078C">
        <w:fldChar w:fldCharType="end"/>
      </w:r>
      <w:r>
        <w:rPr>
          <w:rFonts w:hint="eastAsia"/>
        </w:rPr>
        <w:t>和</w:t>
      </w:r>
      <w:r w:rsidR="00CA078C">
        <w:fldChar w:fldCharType="begin"/>
      </w:r>
      <w:r w:rsidR="00CA078C">
        <w:instrText xml:space="preserve"> HYPERLINK "http://undocs.org/ch/CED/C/21/2" </w:instrText>
      </w:r>
      <w:r w:rsidR="00CA078C">
        <w:fldChar w:fldCharType="separate"/>
      </w:r>
      <w:proofErr w:type="spellStart"/>
      <w:r w:rsidRPr="00CA078C">
        <w:rPr>
          <w:rStyle w:val="af7"/>
        </w:rPr>
        <w:t>CED</w:t>
      </w:r>
      <w:proofErr w:type="spellEnd"/>
      <w:r w:rsidRPr="00CA078C">
        <w:rPr>
          <w:rStyle w:val="af7"/>
        </w:rPr>
        <w:t>/C/21/2</w:t>
      </w:r>
      <w:r w:rsidR="00CA078C">
        <w:fldChar w:fldCharType="end"/>
      </w:r>
      <w:r>
        <w:rPr>
          <w:rFonts w:hint="eastAsia"/>
        </w:rPr>
        <w:t>。</w:t>
      </w:r>
    </w:p>
  </w:footnote>
  <w:footnote w:id="5">
    <w:p w14:paraId="7AE5AE19" w14:textId="53C3D7B3" w:rsidR="009224C2" w:rsidRPr="00A7713B" w:rsidRDefault="009224C2" w:rsidP="009224C2">
      <w:pPr>
        <w:pStyle w:val="a6"/>
      </w:pPr>
      <w:r w:rsidRPr="00A15632">
        <w:rPr>
          <w:lang w:val="en-GB"/>
        </w:rPr>
        <w:tab/>
      </w:r>
      <w:r w:rsidRPr="001C4C32">
        <w:rPr>
          <w:rStyle w:val="a8"/>
          <w:rFonts w:eastAsia="宋体"/>
        </w:rPr>
        <w:footnoteRef/>
      </w:r>
      <w:r w:rsidRPr="00A15632">
        <w:rPr>
          <w:lang w:val="en-GB"/>
        </w:rPr>
        <w:tab/>
      </w:r>
      <w:hyperlink r:id="rId3" w:history="1">
        <w:r w:rsidRPr="00CA078C">
          <w:rPr>
            <w:rStyle w:val="af7"/>
            <w:lang w:val="en-GB"/>
          </w:rPr>
          <w:t>A/73/56</w:t>
        </w:r>
      </w:hyperlink>
      <w:r>
        <w:rPr>
          <w:lang w:val="zh-CN"/>
        </w:rPr>
        <w:t>、</w:t>
      </w:r>
      <w:r w:rsidR="00CA078C">
        <w:rPr>
          <w:lang w:val="en-GB"/>
        </w:rPr>
        <w:fldChar w:fldCharType="begin"/>
      </w:r>
      <w:r w:rsidR="00CA078C">
        <w:rPr>
          <w:lang w:val="en-GB"/>
        </w:rPr>
        <w:instrText xml:space="preserve"> HYPERLINK "http://undocs.org/ch/A/74/56" </w:instrText>
      </w:r>
      <w:r w:rsidR="00CA078C">
        <w:rPr>
          <w:lang w:val="en-GB"/>
        </w:rPr>
        <w:fldChar w:fldCharType="separate"/>
      </w:r>
      <w:r w:rsidRPr="00CA078C">
        <w:rPr>
          <w:rStyle w:val="af7"/>
          <w:lang w:val="en-GB"/>
        </w:rPr>
        <w:t>A/74/56</w:t>
      </w:r>
      <w:r w:rsidR="00CA078C">
        <w:rPr>
          <w:lang w:val="en-GB"/>
        </w:rPr>
        <w:fldChar w:fldCharType="end"/>
      </w:r>
      <w:r>
        <w:rPr>
          <w:lang w:val="zh-CN"/>
        </w:rPr>
        <w:t>、</w:t>
      </w:r>
      <w:r w:rsidR="00CA078C">
        <w:rPr>
          <w:lang w:val="en-GB"/>
        </w:rPr>
        <w:fldChar w:fldCharType="begin"/>
      </w:r>
      <w:r w:rsidR="00CA078C">
        <w:rPr>
          <w:lang w:val="en-GB"/>
        </w:rPr>
        <w:instrText xml:space="preserve"> HYPERLINK "http://undocs.org/ch/A/75/56" </w:instrText>
      </w:r>
      <w:r w:rsidR="00CA078C">
        <w:rPr>
          <w:lang w:val="en-GB"/>
        </w:rPr>
        <w:fldChar w:fldCharType="separate"/>
      </w:r>
      <w:r w:rsidRPr="00CA078C">
        <w:rPr>
          <w:rStyle w:val="af7"/>
          <w:lang w:val="en-GB"/>
        </w:rPr>
        <w:t>A/75/56</w:t>
      </w:r>
      <w:r w:rsidR="00CA078C">
        <w:rPr>
          <w:lang w:val="en-GB"/>
        </w:rPr>
        <w:fldChar w:fldCharType="end"/>
      </w:r>
      <w:r>
        <w:rPr>
          <w:lang w:val="zh-CN"/>
        </w:rPr>
        <w:t>和</w:t>
      </w:r>
      <w:r w:rsidR="00CA078C">
        <w:rPr>
          <w:lang w:val="en-GB"/>
        </w:rPr>
        <w:fldChar w:fldCharType="begin"/>
      </w:r>
      <w:r w:rsidR="00CA078C">
        <w:rPr>
          <w:lang w:val="en-GB"/>
        </w:rPr>
        <w:instrText xml:space="preserve"> HYPERLINK "http://undocs.org/ch/A/76/56" </w:instrText>
      </w:r>
      <w:r w:rsidR="00CA078C">
        <w:rPr>
          <w:lang w:val="en-GB"/>
        </w:rPr>
        <w:fldChar w:fldCharType="separate"/>
      </w:r>
      <w:r w:rsidRPr="00CA078C">
        <w:rPr>
          <w:rStyle w:val="af7"/>
          <w:lang w:val="en-GB"/>
        </w:rPr>
        <w:t>A/76/56</w:t>
      </w:r>
      <w:r w:rsidR="00CA078C">
        <w:rPr>
          <w:lang w:val="en-GB"/>
        </w:rPr>
        <w:fldChar w:fldCharType="end"/>
      </w:r>
      <w:r>
        <w:rPr>
          <w:lang w:val="zh-CN"/>
        </w:rPr>
        <w:t>。</w:t>
      </w:r>
    </w:p>
  </w:footnote>
  <w:footnote w:id="6">
    <w:p w14:paraId="5854E792" w14:textId="405B1401" w:rsidR="009224C2" w:rsidRPr="00A7713B" w:rsidRDefault="009224C2" w:rsidP="009224C2">
      <w:pPr>
        <w:pStyle w:val="a6"/>
      </w:pPr>
      <w:r w:rsidRPr="00A15632">
        <w:rPr>
          <w:lang w:val="en-GB"/>
        </w:rPr>
        <w:tab/>
      </w:r>
      <w:r w:rsidRPr="001C4C32">
        <w:rPr>
          <w:rStyle w:val="a8"/>
          <w:rFonts w:eastAsia="宋体"/>
        </w:rPr>
        <w:footnoteRef/>
      </w:r>
      <w:r w:rsidRPr="00A15632">
        <w:rPr>
          <w:lang w:val="en-GB"/>
        </w:rPr>
        <w:tab/>
      </w:r>
      <w:hyperlink r:id="rId4" w:history="1">
        <w:proofErr w:type="spellStart"/>
        <w:r w:rsidRPr="00CA078C">
          <w:rPr>
            <w:rStyle w:val="af7"/>
            <w:lang w:val="en-GB"/>
          </w:rPr>
          <w:t>CED</w:t>
        </w:r>
        <w:proofErr w:type="spellEnd"/>
        <w:r w:rsidRPr="00CA078C">
          <w:rPr>
            <w:rStyle w:val="af7"/>
            <w:lang w:val="en-GB"/>
          </w:rPr>
          <w:t>/C/7</w:t>
        </w:r>
      </w:hyperlink>
      <w:r>
        <w:rPr>
          <w:lang w:val="en-GB"/>
        </w:rPr>
        <w:t>,</w:t>
      </w:r>
      <w:r w:rsidRPr="00A15632">
        <w:rPr>
          <w:lang w:val="en-GB"/>
        </w:rPr>
        <w:t xml:space="preserve"> </w:t>
      </w:r>
      <w:r>
        <w:rPr>
          <w:lang w:val="zh-CN"/>
        </w:rPr>
        <w:t>附件。</w:t>
      </w:r>
    </w:p>
  </w:footnote>
  <w:footnote w:id="7">
    <w:p w14:paraId="4C44BADC" w14:textId="1C8285F4" w:rsidR="009224C2" w:rsidRPr="00F5023E" w:rsidRDefault="009224C2" w:rsidP="009224C2">
      <w:pPr>
        <w:pStyle w:val="a6"/>
        <w:rPr>
          <w:rFonts w:eastAsiaTheme="minorEastAsia"/>
          <w:lang w:val="en-GB"/>
        </w:rPr>
      </w:pPr>
      <w:r w:rsidRPr="00F5023E">
        <w:rPr>
          <w:lang w:val="en-GB"/>
        </w:rPr>
        <w:tab/>
      </w:r>
      <w:r w:rsidRPr="001C4C32">
        <w:rPr>
          <w:rStyle w:val="a8"/>
          <w:rFonts w:eastAsia="宋体"/>
        </w:rPr>
        <w:footnoteRef/>
      </w:r>
      <w:r w:rsidRPr="00F5023E">
        <w:rPr>
          <w:lang w:val="en-GB"/>
        </w:rPr>
        <w:tab/>
      </w:r>
      <w:hyperlink r:id="rId5" w:history="1">
        <w:r w:rsidRPr="00CA078C">
          <w:rPr>
            <w:rStyle w:val="af7"/>
            <w:lang w:val="en-GB"/>
          </w:rPr>
          <w:t>A/</w:t>
        </w:r>
        <w:proofErr w:type="spellStart"/>
        <w:r w:rsidRPr="00CA078C">
          <w:rPr>
            <w:rStyle w:val="af7"/>
            <w:lang w:val="en-GB"/>
          </w:rPr>
          <w:t>HRC</w:t>
        </w:r>
        <w:proofErr w:type="spellEnd"/>
        <w:r w:rsidRPr="00CA078C">
          <w:rPr>
            <w:rStyle w:val="af7"/>
            <w:lang w:val="en-GB"/>
          </w:rPr>
          <w:t>/40/52</w:t>
        </w:r>
      </w:hyperlink>
      <w:r>
        <w:rPr>
          <w:lang w:val="en-GB"/>
        </w:rPr>
        <w:t>,</w:t>
      </w:r>
      <w:r w:rsidR="00CA078C">
        <w:rPr>
          <w:lang w:val="en-GB"/>
        </w:rPr>
        <w:t xml:space="preserve"> </w:t>
      </w:r>
      <w:r>
        <w:rPr>
          <w:rFonts w:hint="eastAsia"/>
          <w:lang w:val="es-ES"/>
        </w:rPr>
        <w:t>第</w:t>
      </w:r>
      <w:r>
        <w:rPr>
          <w:lang w:val="en-GB"/>
        </w:rPr>
        <w:t>75(g)</w:t>
      </w:r>
      <w:r>
        <w:rPr>
          <w:rFonts w:hint="eastAsia"/>
          <w:lang w:val="es-ES"/>
        </w:rPr>
        <w:t>段。</w:t>
      </w:r>
    </w:p>
  </w:footnote>
  <w:footnote w:id="8">
    <w:p w14:paraId="03C15634" w14:textId="38DD4A92" w:rsidR="009224C2" w:rsidRPr="00F5023E" w:rsidRDefault="009224C2" w:rsidP="009224C2">
      <w:pPr>
        <w:pStyle w:val="a6"/>
        <w:rPr>
          <w:lang w:val="en-GB"/>
        </w:rPr>
      </w:pPr>
      <w:r w:rsidRPr="00D23A5E">
        <w:rPr>
          <w:lang w:val="en-GB"/>
        </w:rPr>
        <w:tab/>
      </w:r>
      <w:r w:rsidRPr="001C4C32">
        <w:rPr>
          <w:rStyle w:val="a8"/>
          <w:rFonts w:eastAsia="宋体"/>
        </w:rPr>
        <w:footnoteRef/>
      </w:r>
      <w:r w:rsidRPr="00F5023E">
        <w:rPr>
          <w:lang w:val="en-GB"/>
        </w:rPr>
        <w:tab/>
      </w:r>
      <w:hyperlink r:id="rId6" w:history="1">
        <w:proofErr w:type="spellStart"/>
        <w:r w:rsidRPr="00CA078C">
          <w:rPr>
            <w:rStyle w:val="af7"/>
            <w:lang w:val="en-GB"/>
          </w:rPr>
          <w:t>CED</w:t>
        </w:r>
        <w:proofErr w:type="spellEnd"/>
        <w:r w:rsidRPr="00CA078C">
          <w:rPr>
            <w:rStyle w:val="af7"/>
            <w:lang w:val="en-GB"/>
          </w:rPr>
          <w:t>/C/21/2</w:t>
        </w:r>
      </w:hyperlink>
      <w:r>
        <w:rPr>
          <w:lang w:val="en-GB"/>
        </w:rPr>
        <w:t>,</w:t>
      </w:r>
      <w:r w:rsidR="00CA078C">
        <w:rPr>
          <w:lang w:val="en-GB"/>
        </w:rPr>
        <w:t xml:space="preserve"> </w:t>
      </w:r>
      <w:r>
        <w:rPr>
          <w:rFonts w:hint="eastAsia"/>
          <w:lang w:val="es-ES"/>
        </w:rPr>
        <w:t>第</w:t>
      </w:r>
      <w:r>
        <w:rPr>
          <w:lang w:val="en-GB"/>
        </w:rPr>
        <w:t>22</w:t>
      </w:r>
      <w:r>
        <w:rPr>
          <w:rFonts w:hint="eastAsia"/>
          <w:lang w:val="es-ES"/>
        </w:rPr>
        <w:t>段。</w:t>
      </w:r>
    </w:p>
  </w:footnote>
  <w:footnote w:id="9">
    <w:p w14:paraId="2B14B8EC" w14:textId="77777777" w:rsidR="009224C2" w:rsidRPr="00FA4902" w:rsidRDefault="009224C2" w:rsidP="009224C2">
      <w:pPr>
        <w:pStyle w:val="a6"/>
        <w:rPr>
          <w:lang w:val="en-GB"/>
        </w:rPr>
      </w:pPr>
      <w:r w:rsidRPr="00F5023E">
        <w:rPr>
          <w:lang w:val="en-GB"/>
        </w:rPr>
        <w:tab/>
      </w:r>
      <w:r w:rsidRPr="001C4C32">
        <w:rPr>
          <w:rStyle w:val="a8"/>
          <w:rFonts w:eastAsia="宋体"/>
        </w:rPr>
        <w:footnoteRef/>
      </w:r>
      <w:r w:rsidRPr="00FA4902">
        <w:rPr>
          <w:lang w:val="en-GB"/>
        </w:rPr>
        <w:tab/>
      </w:r>
      <w:r>
        <w:rPr>
          <w:rFonts w:hint="eastAsia"/>
          <w:lang w:val="es-ES"/>
        </w:rPr>
        <w:t>墨西哥</w:t>
      </w:r>
      <w:r>
        <w:rPr>
          <w:rFonts w:hint="eastAsia"/>
          <w:lang w:val="en-GB"/>
        </w:rPr>
        <w:t>，</w:t>
      </w:r>
      <w:r>
        <w:rPr>
          <w:rFonts w:hint="eastAsia"/>
          <w:lang w:val="es-ES"/>
        </w:rPr>
        <w:t>国家搜寻委员会</w:t>
      </w:r>
      <w:r>
        <w:rPr>
          <w:rFonts w:hint="eastAsia"/>
          <w:lang w:val="en-GB"/>
        </w:rPr>
        <w:t>，</w:t>
      </w:r>
      <w:r w:rsidRPr="004712DE">
        <w:rPr>
          <w:i/>
          <w:iCs/>
          <w:lang w:val="en-GB"/>
        </w:rPr>
        <w:t xml:space="preserve">El amparo </w:t>
      </w:r>
      <w:proofErr w:type="spellStart"/>
      <w:r w:rsidRPr="004712DE">
        <w:rPr>
          <w:i/>
          <w:iCs/>
          <w:lang w:val="en-GB"/>
        </w:rPr>
        <w:t>buscador</w:t>
      </w:r>
      <w:proofErr w:type="spellEnd"/>
      <w:r w:rsidRPr="004712DE">
        <w:rPr>
          <w:i/>
          <w:iCs/>
          <w:lang w:val="en-GB"/>
        </w:rPr>
        <w:t xml:space="preserve">: una </w:t>
      </w:r>
      <w:proofErr w:type="spellStart"/>
      <w:r w:rsidRPr="004712DE">
        <w:rPr>
          <w:i/>
          <w:iCs/>
          <w:lang w:val="en-GB"/>
        </w:rPr>
        <w:t>herramienta</w:t>
      </w:r>
      <w:proofErr w:type="spellEnd"/>
      <w:r w:rsidRPr="004712DE">
        <w:rPr>
          <w:i/>
          <w:iCs/>
          <w:lang w:val="en-GB"/>
        </w:rPr>
        <w:t xml:space="preserve"> contra la </w:t>
      </w:r>
      <w:proofErr w:type="spellStart"/>
      <w:r w:rsidRPr="004712DE">
        <w:rPr>
          <w:i/>
          <w:iCs/>
          <w:lang w:val="en-GB"/>
        </w:rPr>
        <w:t>desaparición</w:t>
      </w:r>
      <w:proofErr w:type="spellEnd"/>
      <w:r w:rsidRPr="004712DE">
        <w:rPr>
          <w:i/>
          <w:iCs/>
          <w:lang w:val="en-GB"/>
        </w:rPr>
        <w:t xml:space="preserve"> </w:t>
      </w:r>
      <w:proofErr w:type="spellStart"/>
      <w:r w:rsidRPr="004712DE">
        <w:rPr>
          <w:i/>
          <w:iCs/>
          <w:lang w:val="en-GB"/>
        </w:rPr>
        <w:t>forzada</w:t>
      </w:r>
      <w:proofErr w:type="spellEnd"/>
      <w:r w:rsidRPr="004712DE">
        <w:rPr>
          <w:i/>
          <w:iCs/>
          <w:lang w:val="en-GB"/>
        </w:rPr>
        <w:t xml:space="preserve"> de personas – </w:t>
      </w:r>
      <w:proofErr w:type="spellStart"/>
      <w:r w:rsidRPr="004712DE">
        <w:rPr>
          <w:i/>
          <w:iCs/>
          <w:lang w:val="en-GB"/>
        </w:rPr>
        <w:t>guía</w:t>
      </w:r>
      <w:proofErr w:type="spellEnd"/>
      <w:r w:rsidRPr="004712DE">
        <w:rPr>
          <w:i/>
          <w:iCs/>
          <w:lang w:val="en-GB"/>
        </w:rPr>
        <w:t xml:space="preserve"> para </w:t>
      </w:r>
      <w:proofErr w:type="spellStart"/>
      <w:r w:rsidRPr="004712DE">
        <w:rPr>
          <w:i/>
          <w:iCs/>
          <w:lang w:val="en-GB"/>
        </w:rPr>
        <w:t>familiares</w:t>
      </w:r>
      <w:proofErr w:type="spellEnd"/>
      <w:r w:rsidRPr="004712DE">
        <w:rPr>
          <w:i/>
          <w:iCs/>
          <w:lang w:val="en-GB"/>
        </w:rPr>
        <w:t xml:space="preserve"> y personas </w:t>
      </w:r>
      <w:proofErr w:type="spellStart"/>
      <w:r w:rsidRPr="004712DE">
        <w:rPr>
          <w:i/>
          <w:iCs/>
          <w:lang w:val="en-GB"/>
        </w:rPr>
        <w:t>juzgadoras</w:t>
      </w:r>
      <w:proofErr w:type="spellEnd"/>
      <w:r w:rsidRPr="004712DE">
        <w:rPr>
          <w:i/>
          <w:iCs/>
          <w:lang w:val="en-GB"/>
        </w:rPr>
        <w:t xml:space="preserve"> </w:t>
      </w:r>
      <w:r>
        <w:rPr>
          <w:lang w:val="en-GB"/>
        </w:rPr>
        <w:t>(2</w:t>
      </w:r>
      <w:r w:rsidRPr="00FA4902">
        <w:rPr>
          <w:lang w:val="en-GB"/>
        </w:rPr>
        <w:t>0</w:t>
      </w:r>
      <w:r>
        <w:rPr>
          <w:lang w:val="en-GB"/>
        </w:rPr>
        <w:t>21</w:t>
      </w:r>
      <w:r>
        <w:rPr>
          <w:rFonts w:hint="eastAsia"/>
          <w:lang w:val="en-GB"/>
        </w:rPr>
        <w:t>年</w:t>
      </w:r>
      <w:r>
        <w:rPr>
          <w:lang w:val="en-GB"/>
        </w:rPr>
        <w:t>)</w:t>
      </w:r>
      <w:r>
        <w:rPr>
          <w:rFonts w:hint="eastAsia"/>
          <w:lang w:val="en-GB"/>
        </w:rPr>
        <w:t>。</w:t>
      </w:r>
    </w:p>
  </w:footnote>
  <w:footnote w:id="10">
    <w:p w14:paraId="5506F9C5" w14:textId="1FE1EA11" w:rsidR="009224C2" w:rsidRPr="00A7713B" w:rsidRDefault="009224C2" w:rsidP="009224C2">
      <w:pPr>
        <w:pStyle w:val="a6"/>
        <w:rPr>
          <w:spacing w:val="-4"/>
        </w:rPr>
      </w:pPr>
      <w:r w:rsidRPr="00FA4902">
        <w:rPr>
          <w:lang w:val="en-GB"/>
        </w:rPr>
        <w:tab/>
      </w:r>
      <w:r w:rsidRPr="001C4C32">
        <w:rPr>
          <w:rStyle w:val="a8"/>
          <w:rFonts w:eastAsia="宋体"/>
        </w:rPr>
        <w:footnoteRef/>
      </w:r>
      <w:r w:rsidRPr="00417338">
        <w:tab/>
      </w:r>
      <w:r>
        <w:rPr>
          <w:rFonts w:hint="eastAsia"/>
        </w:rPr>
        <w:t>见委员会与强迫或非自愿失踪问题工作组</w:t>
      </w:r>
      <w:r>
        <w:t>2</w:t>
      </w:r>
      <w:r w:rsidRPr="00A7713B">
        <w:t>0</w:t>
      </w:r>
      <w:r>
        <w:t>16</w:t>
      </w:r>
      <w:r>
        <w:rPr>
          <w:rFonts w:hint="eastAsia"/>
        </w:rPr>
        <w:t>年</w:t>
      </w:r>
      <w:r>
        <w:rPr>
          <w:rFonts w:hint="eastAsia"/>
        </w:rPr>
        <w:t>8</w:t>
      </w:r>
      <w:r>
        <w:rPr>
          <w:rFonts w:hint="eastAsia"/>
        </w:rPr>
        <w:t>月</w:t>
      </w:r>
      <w:r>
        <w:rPr>
          <w:rFonts w:hint="eastAsia"/>
        </w:rPr>
        <w:t>2</w:t>
      </w:r>
      <w:r>
        <w:t>6</w:t>
      </w:r>
      <w:r>
        <w:rPr>
          <w:rFonts w:hint="eastAsia"/>
        </w:rPr>
        <w:t>日的联合声明。可查阅</w:t>
      </w:r>
      <w:hyperlink r:id="rId7" w:history="1">
        <w:r w:rsidR="00CA078C" w:rsidRPr="002F6546">
          <w:rPr>
            <w:rStyle w:val="af7"/>
            <w:spacing w:val="-4"/>
          </w:rPr>
          <w:t>www.ohchr.org/EN/NewsEvents/Pages/DisplayNews.aspx</w:t>
        </w:r>
        <w:r w:rsidR="00CA078C" w:rsidRPr="002F6546">
          <w:rPr>
            <w:rStyle w:val="af7"/>
            <w:rFonts w:hint="eastAsia"/>
            <w:spacing w:val="-4"/>
          </w:rPr>
          <w:t>?</w:t>
        </w:r>
        <w:r w:rsidR="00CA078C" w:rsidRPr="002F6546">
          <w:rPr>
            <w:rStyle w:val="af7"/>
            <w:spacing w:val="-4"/>
          </w:rPr>
          <w:t>NewsID=20416&amp;LangID=E</w:t>
        </w:r>
      </w:hyperlink>
      <w:r w:rsidR="00CA078C">
        <w:rPr>
          <w:spacing w:val="-4"/>
        </w:rPr>
        <w:t>.</w:t>
      </w:r>
    </w:p>
  </w:footnote>
  <w:footnote w:id="11">
    <w:p w14:paraId="07A8D1B6" w14:textId="77777777" w:rsidR="009224C2" w:rsidRPr="00E772EB" w:rsidRDefault="009224C2" w:rsidP="009224C2">
      <w:pPr>
        <w:pStyle w:val="a6"/>
      </w:pPr>
      <w:r>
        <w:tab/>
      </w:r>
      <w:r w:rsidRPr="001C4C32">
        <w:rPr>
          <w:rStyle w:val="a8"/>
          <w:rFonts w:eastAsia="宋体"/>
        </w:rPr>
        <w:footnoteRef/>
      </w:r>
      <w:r>
        <w:tab/>
      </w:r>
      <w:r>
        <w:rPr>
          <w:rFonts w:hint="eastAsia"/>
        </w:rPr>
        <w:t>暂停处理</w:t>
      </w:r>
      <w:r w:rsidRPr="00B0342F">
        <w:rPr>
          <w:rFonts w:hint="eastAsia"/>
        </w:rPr>
        <w:t>的案件是委员会未收到提交人答复的</w:t>
      </w:r>
      <w:r>
        <w:t>74</w:t>
      </w:r>
      <w:r w:rsidRPr="00B0342F">
        <w:rPr>
          <w:rFonts w:hint="eastAsia"/>
        </w:rPr>
        <w:t>起案件之一。</w:t>
      </w:r>
      <w:r>
        <w:rPr>
          <w:rFonts w:hint="eastAsia"/>
        </w:rPr>
        <w:t>该案中，</w:t>
      </w:r>
      <w:r w:rsidRPr="00B0342F">
        <w:rPr>
          <w:rFonts w:hint="eastAsia"/>
        </w:rPr>
        <w:t>由于缔约国提到国家失踪和</w:t>
      </w:r>
      <w:r>
        <w:rPr>
          <w:rFonts w:hint="eastAsia"/>
        </w:rPr>
        <w:t>被</w:t>
      </w:r>
      <w:r w:rsidRPr="00B0342F">
        <w:rPr>
          <w:rFonts w:hint="eastAsia"/>
        </w:rPr>
        <w:t>失踪人员登记册中</w:t>
      </w:r>
      <w:r>
        <w:rPr>
          <w:rFonts w:hint="eastAsia"/>
        </w:rPr>
        <w:t>出现了一个相同的姓名，</w:t>
      </w:r>
      <w:r w:rsidRPr="00B0342F">
        <w:rPr>
          <w:rFonts w:hint="eastAsia"/>
        </w:rPr>
        <w:t>委员会例外决定暂停紧急行动</w:t>
      </w:r>
      <w:r>
        <w:rPr>
          <w:rFonts w:hint="eastAsia"/>
        </w:rPr>
        <w:t>，</w:t>
      </w:r>
      <w:r w:rsidRPr="00B0342F">
        <w:rPr>
          <w:rFonts w:hint="eastAsia"/>
        </w:rPr>
        <w:t>以防提交人</w:t>
      </w:r>
      <w:r>
        <w:rPr>
          <w:rFonts w:hint="eastAsia"/>
        </w:rPr>
        <w:t>此</w:t>
      </w:r>
      <w:r w:rsidRPr="00B0342F">
        <w:rPr>
          <w:rFonts w:hint="eastAsia"/>
        </w:rPr>
        <w:t>后确认该</w:t>
      </w:r>
      <w:r>
        <w:rPr>
          <w:rFonts w:hint="eastAsia"/>
        </w:rPr>
        <w:t>姓名确实是指这名失踪者</w:t>
      </w:r>
      <w:r w:rsidRPr="00B0342F">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C4E4B" w14:textId="77777777" w:rsidR="00056632" w:rsidRDefault="00CC6FCD" w:rsidP="00CC6FCD">
    <w:pPr>
      <w:pStyle w:val="af3"/>
    </w:pPr>
    <w:proofErr w:type="spellStart"/>
    <w:r>
      <w:t>CED</w:t>
    </w:r>
    <w:proofErr w:type="spellEnd"/>
    <w:r>
      <w:t>/C/22/2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07991" w14:textId="77777777" w:rsidR="00056632" w:rsidRPr="00202A30" w:rsidRDefault="00CC6FCD" w:rsidP="00CC6FCD">
    <w:pPr>
      <w:pStyle w:val="af3"/>
      <w:jc w:val="right"/>
    </w:pPr>
    <w:proofErr w:type="spellStart"/>
    <w:r>
      <w:t>CED</w:t>
    </w:r>
    <w:proofErr w:type="spellEnd"/>
    <w:r>
      <w:t>/C/22/2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CF67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9739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0" w15:restartNumberingAfterBreak="0">
    <w:nsid w:val="31293A6F"/>
    <w:multiLevelType w:val="hybridMultilevel"/>
    <w:tmpl w:val="0108091C"/>
    <w:lvl w:ilvl="0" w:tplc="0809000F">
      <w:start w:val="1"/>
      <w:numFmt w:val="decimal"/>
      <w:lvlText w:val="%1."/>
      <w:lvlJc w:val="left"/>
      <w:pPr>
        <w:ind w:left="720" w:hanging="360"/>
      </w:pPr>
      <w:rPr>
        <w:rFonts w:hint="default"/>
      </w:rPr>
    </w:lvl>
    <w:lvl w:ilvl="1" w:tplc="9FC262E2">
      <w:start w:val="1"/>
      <w:numFmt w:val="lowerRoman"/>
      <w:lvlText w:val="(%2)"/>
      <w:lvlJc w:val="left"/>
      <w:pPr>
        <w:ind w:left="1440"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F8E3D7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2C108B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F80090A"/>
    <w:multiLevelType w:val="hybridMultilevel"/>
    <w:tmpl w:val="BF34B5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2"/>
  </w:num>
  <w:num w:numId="2">
    <w:abstractNumId w:val="28"/>
  </w:num>
  <w:num w:numId="3">
    <w:abstractNumId w:val="13"/>
  </w:num>
  <w:num w:numId="4">
    <w:abstractNumId w:val="8"/>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9"/>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6"/>
  </w:num>
  <w:num w:numId="19">
    <w:abstractNumId w:val="27"/>
  </w:num>
  <w:num w:numId="20">
    <w:abstractNumId w:val="21"/>
  </w:num>
  <w:num w:numId="21">
    <w:abstractNumId w:val="17"/>
  </w:num>
  <w:num w:numId="22">
    <w:abstractNumId w:val="10"/>
  </w:num>
  <w:num w:numId="23">
    <w:abstractNumId w:val="25"/>
  </w:num>
  <w:num w:numId="24">
    <w:abstractNumId w:val="24"/>
  </w:num>
  <w:num w:numId="25">
    <w:abstractNumId w:val="23"/>
  </w:num>
  <w:num w:numId="26">
    <w:abstractNumId w:val="15"/>
  </w:num>
  <w:num w:numId="27">
    <w:abstractNumId w:val="11"/>
  </w:num>
  <w:num w:numId="28">
    <w:abstractNumId w:val="22"/>
  </w:num>
  <w:num w:numId="29">
    <w:abstractNumId w:val="18"/>
  </w:num>
  <w:num w:numId="30">
    <w:abstractNumId w:val="26"/>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9F6"/>
    <w:rsid w:val="00011483"/>
    <w:rsid w:val="00050D24"/>
    <w:rsid w:val="000B2A1C"/>
    <w:rsid w:val="000D319F"/>
    <w:rsid w:val="000E4D0E"/>
    <w:rsid w:val="001031D1"/>
    <w:rsid w:val="0012373F"/>
    <w:rsid w:val="00144B69"/>
    <w:rsid w:val="00153E86"/>
    <w:rsid w:val="00174E3C"/>
    <w:rsid w:val="001A108D"/>
    <w:rsid w:val="001B1BD1"/>
    <w:rsid w:val="001C3EF2"/>
    <w:rsid w:val="001C4C32"/>
    <w:rsid w:val="001D17F6"/>
    <w:rsid w:val="001E4A41"/>
    <w:rsid w:val="00202D42"/>
    <w:rsid w:val="00204B42"/>
    <w:rsid w:val="00204E8E"/>
    <w:rsid w:val="0021265F"/>
    <w:rsid w:val="002231C3"/>
    <w:rsid w:val="0024417F"/>
    <w:rsid w:val="00247460"/>
    <w:rsid w:val="00250F8D"/>
    <w:rsid w:val="002E1C97"/>
    <w:rsid w:val="002F5834"/>
    <w:rsid w:val="003006AB"/>
    <w:rsid w:val="003019D8"/>
    <w:rsid w:val="003071CF"/>
    <w:rsid w:val="003206A2"/>
    <w:rsid w:val="00326EBF"/>
    <w:rsid w:val="00327FE4"/>
    <w:rsid w:val="00340C37"/>
    <w:rsid w:val="00351969"/>
    <w:rsid w:val="003B2057"/>
    <w:rsid w:val="003B4276"/>
    <w:rsid w:val="003F2EE7"/>
    <w:rsid w:val="00407319"/>
    <w:rsid w:val="00411760"/>
    <w:rsid w:val="00427F63"/>
    <w:rsid w:val="00434D38"/>
    <w:rsid w:val="00466071"/>
    <w:rsid w:val="004712DE"/>
    <w:rsid w:val="00494EB8"/>
    <w:rsid w:val="004C4A0A"/>
    <w:rsid w:val="004C7E1F"/>
    <w:rsid w:val="00501220"/>
    <w:rsid w:val="005D01E6"/>
    <w:rsid w:val="005D61EC"/>
    <w:rsid w:val="005E2415"/>
    <w:rsid w:val="005E403A"/>
    <w:rsid w:val="00611DE0"/>
    <w:rsid w:val="00622B76"/>
    <w:rsid w:val="00680656"/>
    <w:rsid w:val="00683F1B"/>
    <w:rsid w:val="006B1119"/>
    <w:rsid w:val="006B7F43"/>
    <w:rsid w:val="006E3E46"/>
    <w:rsid w:val="006E71B1"/>
    <w:rsid w:val="006F1404"/>
    <w:rsid w:val="0070593B"/>
    <w:rsid w:val="00705D89"/>
    <w:rsid w:val="00731A42"/>
    <w:rsid w:val="0073652D"/>
    <w:rsid w:val="00743016"/>
    <w:rsid w:val="00767E69"/>
    <w:rsid w:val="0077079A"/>
    <w:rsid w:val="007A5599"/>
    <w:rsid w:val="007C4A74"/>
    <w:rsid w:val="00856233"/>
    <w:rsid w:val="00860F27"/>
    <w:rsid w:val="008B0560"/>
    <w:rsid w:val="008B2BFA"/>
    <w:rsid w:val="008E6A3F"/>
    <w:rsid w:val="009224C2"/>
    <w:rsid w:val="00923557"/>
    <w:rsid w:val="00936F03"/>
    <w:rsid w:val="00943B69"/>
    <w:rsid w:val="00944CB3"/>
    <w:rsid w:val="00953301"/>
    <w:rsid w:val="0096738C"/>
    <w:rsid w:val="00986624"/>
    <w:rsid w:val="009968AB"/>
    <w:rsid w:val="00996E2E"/>
    <w:rsid w:val="009A1DBF"/>
    <w:rsid w:val="009B09D7"/>
    <w:rsid w:val="009C64D6"/>
    <w:rsid w:val="009D19F6"/>
    <w:rsid w:val="009D35ED"/>
    <w:rsid w:val="009E356A"/>
    <w:rsid w:val="00A0008A"/>
    <w:rsid w:val="00A03CB6"/>
    <w:rsid w:val="00A1364C"/>
    <w:rsid w:val="00A21076"/>
    <w:rsid w:val="00A24AF9"/>
    <w:rsid w:val="00A3739A"/>
    <w:rsid w:val="00A4069E"/>
    <w:rsid w:val="00A52DAF"/>
    <w:rsid w:val="00A84072"/>
    <w:rsid w:val="00B16570"/>
    <w:rsid w:val="00B23B03"/>
    <w:rsid w:val="00B409E0"/>
    <w:rsid w:val="00B43EB7"/>
    <w:rsid w:val="00B53320"/>
    <w:rsid w:val="00BC6522"/>
    <w:rsid w:val="00BD5A35"/>
    <w:rsid w:val="00C121D5"/>
    <w:rsid w:val="00C17349"/>
    <w:rsid w:val="00C351AA"/>
    <w:rsid w:val="00C50738"/>
    <w:rsid w:val="00C7253F"/>
    <w:rsid w:val="00C90707"/>
    <w:rsid w:val="00C909C9"/>
    <w:rsid w:val="00CA078C"/>
    <w:rsid w:val="00CA796F"/>
    <w:rsid w:val="00CB1AC4"/>
    <w:rsid w:val="00CC6FCD"/>
    <w:rsid w:val="00D26A05"/>
    <w:rsid w:val="00D97B98"/>
    <w:rsid w:val="00DB7332"/>
    <w:rsid w:val="00DC671F"/>
    <w:rsid w:val="00DE4DA7"/>
    <w:rsid w:val="00E16C87"/>
    <w:rsid w:val="00E33B38"/>
    <w:rsid w:val="00E45DBE"/>
    <w:rsid w:val="00E47FE5"/>
    <w:rsid w:val="00E574AF"/>
    <w:rsid w:val="00E84276"/>
    <w:rsid w:val="00EA7FE0"/>
    <w:rsid w:val="00EE6FDB"/>
    <w:rsid w:val="00F24E6D"/>
    <w:rsid w:val="00F337A0"/>
    <w:rsid w:val="00F478C1"/>
    <w:rsid w:val="00F501CA"/>
    <w:rsid w:val="00F63714"/>
    <w:rsid w:val="00F714DA"/>
    <w:rsid w:val="00FB456B"/>
    <w:rsid w:val="00FD433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DDF7A6"/>
  <w15:docId w15:val="{1B2A59E8-7F0C-487F-9433-2E96AD1DD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9224C2"/>
    <w:rPr>
      <w:color w:val="0000FF" w:themeColor="hyperlink"/>
      <w:u w:val="none"/>
    </w:rPr>
  </w:style>
  <w:style w:type="character" w:styleId="af8">
    <w:name w:val="FollowedHyperlink"/>
    <w:basedOn w:val="a0"/>
    <w:uiPriority w:val="99"/>
    <w:semiHidden/>
    <w:rsid w:val="009224C2"/>
    <w:rPr>
      <w:color w:val="0000FF"/>
      <w:u w:val="none"/>
    </w:rPr>
  </w:style>
  <w:style w:type="paragraph" w:styleId="af9">
    <w:name w:val="macro"/>
    <w:link w:val="afa"/>
    <w:semiHidden/>
    <w:rsid w:val="009224C2"/>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9224C2"/>
    <w:rPr>
      <w:kern w:val="24"/>
      <w:sz w:val="24"/>
      <w:szCs w:val="24"/>
    </w:rPr>
  </w:style>
  <w:style w:type="character" w:styleId="afb">
    <w:name w:val="Unresolved Mention"/>
    <w:basedOn w:val="a0"/>
    <w:uiPriority w:val="99"/>
    <w:semiHidden/>
    <w:unhideWhenUsed/>
    <w:rsid w:val="00CA07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73/56" TargetMode="External"/><Relationship Id="rId7" Type="http://schemas.openxmlformats.org/officeDocument/2006/relationships/hyperlink" Target="http://www.ohchr.org/EN/NewsEvents/Pages/DisplayNews.aspx?NewsID=20416&amp;LangID=E" TargetMode="External"/><Relationship Id="rId2" Type="http://schemas.openxmlformats.org/officeDocument/2006/relationships/hyperlink" Target="http://undocs.org/ch/CED/C/11/3" TargetMode="External"/><Relationship Id="rId1" Type="http://schemas.openxmlformats.org/officeDocument/2006/relationships/hyperlink" Target="http://undocs.org/ch/CED/C/21/2" TargetMode="External"/><Relationship Id="rId6" Type="http://schemas.openxmlformats.org/officeDocument/2006/relationships/hyperlink" Target="http://undocs.org/ch/CED/C/21/2" TargetMode="External"/><Relationship Id="rId5" Type="http://schemas.openxmlformats.org/officeDocument/2006/relationships/hyperlink" Target="http://undocs.org/ch/A/HRC/40/52" TargetMode="External"/><Relationship Id="rId4" Type="http://schemas.openxmlformats.org/officeDocument/2006/relationships/hyperlink" Target="http://undocs.org/ch/CED/C/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10</Pages>
  <Words>9980</Words>
  <Characters>10542</Characters>
  <Application>Microsoft Office Word</Application>
  <DocSecurity>0</DocSecurity>
  <Lines>694</Lines>
  <Paragraphs>444</Paragraphs>
  <ScaleCrop>false</ScaleCrop>
  <Company>DCM</Company>
  <LinksUpToDate>false</LinksUpToDate>
  <CharactersWithSpaces>10677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CED/C/22/2</dc:title>
  <dc:subject>2208501</dc:subject>
  <dc:creator>Xin</dc:creator>
  <cp:keywords/>
  <dc:description/>
  <cp:lastModifiedBy>Xin WANG</cp:lastModifiedBy>
  <cp:revision>2</cp:revision>
  <cp:lastPrinted>2014-05-09T11:28:00Z</cp:lastPrinted>
  <dcterms:created xsi:type="dcterms:W3CDTF">2022-07-13T08:30:00Z</dcterms:created>
  <dcterms:modified xsi:type="dcterms:W3CDTF">2022-07-13T08:30:00Z</dcterms:modified>
</cp:coreProperties>
</file>