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5488B" w:rsidP="0095488B">
            <w:pPr>
              <w:bidi w:val="0"/>
              <w:spacing w:after="20"/>
              <w:jc w:val="left"/>
              <w:rPr>
                <w:szCs w:val="20"/>
              </w:rPr>
            </w:pPr>
            <w:r w:rsidRPr="0095488B">
              <w:rPr>
                <w:sz w:val="40"/>
                <w:szCs w:val="20"/>
              </w:rPr>
              <w:t>CERD</w:t>
            </w:r>
            <w:r>
              <w:rPr>
                <w:szCs w:val="20"/>
              </w:rPr>
              <w:t>/C/LIE/CO/4-6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5488B" w:rsidRDefault="0095488B" w:rsidP="0095488B">
            <w:pPr>
              <w:bidi w:val="0"/>
              <w:spacing w:before="240"/>
              <w:jc w:val="left"/>
            </w:pPr>
            <w:r>
              <w:t>Distr.: General</w:t>
            </w:r>
          </w:p>
          <w:p w:rsidR="0095488B" w:rsidRDefault="0095488B" w:rsidP="0095488B">
            <w:pPr>
              <w:bidi w:val="0"/>
              <w:jc w:val="left"/>
            </w:pPr>
            <w:r>
              <w:t>23 October 2012</w:t>
            </w:r>
          </w:p>
          <w:p w:rsidR="0095488B" w:rsidRDefault="0095488B" w:rsidP="0095488B">
            <w:pPr>
              <w:bidi w:val="0"/>
              <w:jc w:val="left"/>
            </w:pPr>
            <w:r>
              <w:t>Arabic</w:t>
            </w:r>
          </w:p>
          <w:p w:rsidR="00257225" w:rsidRPr="008B4BC6" w:rsidRDefault="0095488B" w:rsidP="0095488B">
            <w:pPr>
              <w:bidi w:val="0"/>
              <w:jc w:val="left"/>
            </w:pPr>
            <w:r>
              <w:t>Original: English</w:t>
            </w:r>
          </w:p>
        </w:tc>
      </w:tr>
    </w:tbl>
    <w:p w:rsidR="00DE3E9A" w:rsidRPr="006B6F7E" w:rsidRDefault="00DE3E9A" w:rsidP="00274FB5">
      <w:pPr>
        <w:spacing w:before="120" w:line="380" w:lineRule="exact"/>
        <w:rPr>
          <w:bCs/>
          <w:sz w:val="36"/>
          <w:szCs w:val="36"/>
          <w:rtl/>
        </w:rPr>
      </w:pPr>
      <w:r w:rsidRPr="006B6F7E">
        <w:rPr>
          <w:bCs/>
          <w:sz w:val="36"/>
          <w:szCs w:val="36"/>
          <w:rtl/>
          <w:lang w:bidi="ar-MA"/>
        </w:rPr>
        <w:t>لجنة القضاء على التمييز العنصري</w:t>
      </w:r>
    </w:p>
    <w:p w:rsidR="00DE3E9A" w:rsidRPr="005B0390" w:rsidRDefault="00DE3E9A" w:rsidP="00274FB5">
      <w:pPr>
        <w:pStyle w:val="HChGA"/>
        <w:rPr>
          <w:rFonts w:hint="cs"/>
          <w:sz w:val="38"/>
          <w:rtl/>
        </w:rPr>
      </w:pPr>
      <w:r w:rsidRPr="005B0390">
        <w:rPr>
          <w:sz w:val="38"/>
          <w:lang w:val="es-ES_tradnl"/>
        </w:rPr>
        <w:tab/>
      </w:r>
      <w:r w:rsidRPr="005B0390">
        <w:rPr>
          <w:sz w:val="38"/>
          <w:lang w:val="es-ES_tradnl"/>
        </w:rPr>
        <w:tab/>
      </w:r>
      <w:r w:rsidRPr="005B0390">
        <w:rPr>
          <w:sz w:val="38"/>
          <w:rtl/>
          <w:lang w:bidi="ar-MA"/>
        </w:rPr>
        <w:t xml:space="preserve">الملاحظات الختامية </w:t>
      </w:r>
      <w:r w:rsidRPr="005B0390">
        <w:rPr>
          <w:rFonts w:hint="cs"/>
          <w:sz w:val="38"/>
          <w:rtl/>
          <w:lang w:bidi="ar-MA"/>
        </w:rPr>
        <w:t xml:space="preserve">التي اعتمدتها </w:t>
      </w:r>
      <w:r w:rsidRPr="005B0390">
        <w:rPr>
          <w:sz w:val="38"/>
          <w:rtl/>
          <w:lang w:bidi="ar-MA"/>
        </w:rPr>
        <w:t>لجنة القضاء على التمييز العنصري</w:t>
      </w:r>
      <w:r w:rsidRPr="005B0390">
        <w:rPr>
          <w:rFonts w:hint="cs"/>
          <w:sz w:val="38"/>
          <w:rtl/>
        </w:rPr>
        <w:t xml:space="preserve"> في دورتها الحادية والثمانين (6-31 آب/أغسطس 2012)</w:t>
      </w:r>
      <w:r w:rsidR="00274FB5" w:rsidRPr="005B0390">
        <w:rPr>
          <w:rFonts w:hint="cs"/>
          <w:sz w:val="38"/>
          <w:rtl/>
          <w:lang w:bidi="ar-MA"/>
        </w:rPr>
        <w:t xml:space="preserve"> بشأن </w:t>
      </w:r>
      <w:r w:rsidRPr="005B0390">
        <w:rPr>
          <w:rFonts w:hint="cs"/>
          <w:sz w:val="38"/>
          <w:rtl/>
          <w:lang w:bidi="ar-MA"/>
        </w:rPr>
        <w:t xml:space="preserve">التقارير الدورية من الرابع إلى السادس </w:t>
      </w:r>
      <w:r w:rsidRPr="005B0390">
        <w:rPr>
          <w:rStyle w:val="SingleTxtGAChar"/>
          <w:sz w:val="38"/>
          <w:szCs w:val="38"/>
          <w:rtl/>
        </w:rPr>
        <w:t xml:space="preserve">المقدمة </w:t>
      </w:r>
      <w:r w:rsidRPr="005B0390">
        <w:rPr>
          <w:rStyle w:val="SingleTxtGAChar"/>
          <w:rFonts w:hint="cs"/>
          <w:sz w:val="38"/>
          <w:szCs w:val="38"/>
          <w:rtl/>
        </w:rPr>
        <w:t xml:space="preserve">من </w:t>
      </w:r>
      <w:r w:rsidRPr="005B0390">
        <w:rPr>
          <w:rFonts w:hint="cs"/>
          <w:sz w:val="38"/>
          <w:rtl/>
          <w:lang w:bidi="ar-MA"/>
        </w:rPr>
        <w:t xml:space="preserve">ليختنشتاين </w:t>
      </w:r>
    </w:p>
    <w:p w:rsidR="00DE3E9A" w:rsidRDefault="00DE3E9A" w:rsidP="009C66D4">
      <w:pPr>
        <w:pStyle w:val="SingleTxtGA"/>
      </w:pPr>
      <w:r>
        <w:rPr>
          <w:rFonts w:hint="cs"/>
          <w:rtl/>
          <w:lang w:val="fr-CH"/>
        </w:rPr>
        <w:t>1-</w:t>
      </w:r>
      <w:r>
        <w:rPr>
          <w:rFonts w:hint="cs"/>
          <w:rtl/>
          <w:lang w:val="fr-CH"/>
        </w:rPr>
        <w:tab/>
        <w:t xml:space="preserve">نظرت اللجنة في التقارير الدورية من الرابع إلى السادس المقدمة من ليختنشتاين </w:t>
      </w:r>
      <w:r>
        <w:t>(CERD/C/LIE/4-6)</w:t>
      </w:r>
      <w:r>
        <w:rPr>
          <w:rFonts w:hint="cs"/>
          <w:rtl/>
        </w:rPr>
        <w:t xml:space="preserve"> في وثيقة واحدة، في جلستيها 2194 و2195 (</w:t>
      </w:r>
      <w:r>
        <w:t>CERD/C/SR.2194</w:t>
      </w:r>
      <w:r>
        <w:rPr>
          <w:rFonts w:hint="cs"/>
          <w:rtl/>
        </w:rPr>
        <w:t xml:space="preserve"> و</w:t>
      </w:r>
      <w:r>
        <w:t>2195</w:t>
      </w:r>
      <w:r>
        <w:rPr>
          <w:rFonts w:hint="cs"/>
          <w:rtl/>
        </w:rPr>
        <w:t xml:space="preserve">)، المعقودتين في 27 آب/أغسطس 2012. واعتمدت اللجنة في جلستها 2202 </w:t>
      </w:r>
      <w:r>
        <w:t>(CERD/C/SR.2202)</w:t>
      </w:r>
      <w:r>
        <w:rPr>
          <w:rFonts w:hint="cs"/>
          <w:rtl/>
        </w:rPr>
        <w:t>، المعقودة في 31 آب/أغسطس 2012، الملاحظات الختامية التالية.</w:t>
      </w:r>
    </w:p>
    <w:p w:rsidR="00DE3E9A" w:rsidRDefault="009C66D4" w:rsidP="009C66D4">
      <w:pPr>
        <w:pStyle w:val="H1GA"/>
        <w:rPr>
          <w:rFonts w:hint="cs"/>
          <w:rtl/>
        </w:rPr>
      </w:pPr>
      <w:r>
        <w:rPr>
          <w:rFonts w:hint="cs"/>
          <w:rtl/>
        </w:rPr>
        <w:tab/>
      </w:r>
      <w:r w:rsidR="00DE3E9A">
        <w:rPr>
          <w:rFonts w:hint="cs"/>
          <w:rtl/>
        </w:rPr>
        <w:t>ألف-</w:t>
      </w:r>
      <w:r w:rsidR="00DE3E9A">
        <w:rPr>
          <w:rFonts w:hint="cs"/>
          <w:rtl/>
        </w:rPr>
        <w:tab/>
        <w:t>مقدمة</w:t>
      </w:r>
    </w:p>
    <w:p w:rsidR="00DE3E9A" w:rsidRDefault="00DE3E9A" w:rsidP="00EB63BB">
      <w:pPr>
        <w:pStyle w:val="SingleTxtGA"/>
        <w:rPr>
          <w:rFonts w:hint="cs"/>
          <w:rtl/>
        </w:rPr>
      </w:pPr>
      <w:r>
        <w:rPr>
          <w:rFonts w:hint="cs"/>
          <w:rtl/>
        </w:rPr>
        <w:t>2-</w:t>
      </w:r>
      <w:r>
        <w:rPr>
          <w:rFonts w:hint="cs"/>
          <w:rtl/>
        </w:rPr>
        <w:tab/>
        <w:t xml:space="preserve">ترحب اللجنة بتقديم الدولة الطرف تقريراً جامعاً للتقارير الدورية من الرابع إلى السادس، يتسق مع المبادئ التوجيهية لتقديم التقارير التي وضعتها اللجنة </w:t>
      </w:r>
      <w:r>
        <w:t>(CERD/C/2007/1)</w:t>
      </w:r>
      <w:r>
        <w:rPr>
          <w:rFonts w:hint="cs"/>
          <w:rtl/>
        </w:rPr>
        <w:t xml:space="preserve">. وترحب اللجنة أيضاً بتقديم الدولة الطرف وثيقة أساسية موحدة </w:t>
      </w:r>
      <w:r>
        <w:t>(HRI/CORE/LIE/2012)</w:t>
      </w:r>
      <w:r>
        <w:rPr>
          <w:rFonts w:hint="cs"/>
          <w:rtl/>
        </w:rPr>
        <w:t>.</w:t>
      </w:r>
    </w:p>
    <w:p w:rsidR="00DE3E9A" w:rsidRDefault="00DE3E9A" w:rsidP="00EB63BB">
      <w:pPr>
        <w:pStyle w:val="SingleTxtGA"/>
        <w:rPr>
          <w:rFonts w:hint="cs"/>
          <w:rtl/>
        </w:rPr>
      </w:pPr>
      <w:r>
        <w:rPr>
          <w:rFonts w:hint="cs"/>
          <w:rtl/>
        </w:rPr>
        <w:t>3-</w:t>
      </w:r>
      <w:r>
        <w:rPr>
          <w:rFonts w:hint="cs"/>
          <w:rtl/>
        </w:rPr>
        <w:tab/>
        <w:t>وتثني اللجنة على الدولة الطرف لعرضها الشفوي وللحوار المفتوح والبنّاء والمركّز مع وفد</w:t>
      </w:r>
      <w:r w:rsidR="00EB63BB">
        <w:rPr>
          <w:rFonts w:hint="cs"/>
          <w:rtl/>
        </w:rPr>
        <w:t>ها</w:t>
      </w:r>
      <w:r>
        <w:rPr>
          <w:rFonts w:hint="cs"/>
          <w:rtl/>
        </w:rPr>
        <w:t xml:space="preserve"> </w:t>
      </w:r>
      <w:r w:rsidR="00EB63BB">
        <w:rPr>
          <w:rFonts w:hint="cs"/>
          <w:rtl/>
        </w:rPr>
        <w:t>ال</w:t>
      </w:r>
      <w:r>
        <w:rPr>
          <w:rFonts w:hint="cs"/>
          <w:rtl/>
        </w:rPr>
        <w:t>متعدد القطاعات.</w:t>
      </w:r>
    </w:p>
    <w:p w:rsidR="00DE3E9A" w:rsidRDefault="00EB63BB" w:rsidP="00EB63BB">
      <w:pPr>
        <w:pStyle w:val="H1GA"/>
        <w:rPr>
          <w:rFonts w:hint="cs"/>
          <w:rtl/>
        </w:rPr>
      </w:pPr>
      <w:r>
        <w:rPr>
          <w:rFonts w:hint="cs"/>
          <w:rtl/>
        </w:rPr>
        <w:tab/>
      </w:r>
      <w:r w:rsidR="00DE3E9A">
        <w:rPr>
          <w:rFonts w:hint="cs"/>
          <w:rtl/>
        </w:rPr>
        <w:t>باء-</w:t>
      </w:r>
      <w:r w:rsidR="00DE3E9A">
        <w:rPr>
          <w:rFonts w:hint="cs"/>
          <w:rtl/>
        </w:rPr>
        <w:tab/>
        <w:t>الجوانب الإيجابية</w:t>
      </w:r>
    </w:p>
    <w:p w:rsidR="00DE3E9A" w:rsidRDefault="00DE3E9A" w:rsidP="00D06755">
      <w:pPr>
        <w:pStyle w:val="SingleTxtGA"/>
        <w:rPr>
          <w:rFonts w:hint="cs"/>
          <w:rtl/>
        </w:rPr>
      </w:pPr>
      <w:r>
        <w:rPr>
          <w:rFonts w:hint="cs"/>
          <w:rtl/>
        </w:rPr>
        <w:t>4-</w:t>
      </w:r>
      <w:r>
        <w:rPr>
          <w:rFonts w:hint="cs"/>
          <w:rtl/>
        </w:rPr>
        <w:tab/>
        <w:t>تلاحظ اللجنة استمرار الجهود التي تبذلها الدولة الطرف لمراجعة تشريعاتها في مجالات تتصل بالاتفاقية، بما في ذلك ما يلي:</w:t>
      </w:r>
    </w:p>
    <w:p w:rsidR="00DE3E9A" w:rsidRDefault="00DE3E9A" w:rsidP="00D06755">
      <w:pPr>
        <w:pStyle w:val="SingleTxtGA"/>
        <w:rPr>
          <w:rFonts w:hint="cs"/>
          <w:rtl/>
        </w:rPr>
      </w:pPr>
      <w:r>
        <w:rPr>
          <w:rFonts w:hint="cs"/>
          <w:rtl/>
        </w:rPr>
        <w:tab/>
        <w:t>(أ)</w:t>
      </w:r>
      <w:r>
        <w:rPr>
          <w:rFonts w:hint="cs"/>
          <w:rtl/>
        </w:rPr>
        <w:tab/>
        <w:t>بدء نفاذ القانون المتعلق بحرية تنقل الأشخاص والمرسوم ذي الص</w:t>
      </w:r>
      <w:r w:rsidR="001D6DD6">
        <w:rPr>
          <w:rFonts w:hint="cs"/>
          <w:rtl/>
        </w:rPr>
        <w:t>لة في 1 كانون الثاني/يناير 2010</w:t>
      </w:r>
      <w:r w:rsidR="00D06755">
        <w:rPr>
          <w:rFonts w:hint="cs"/>
          <w:rtl/>
        </w:rPr>
        <w:t>،</w:t>
      </w:r>
      <w:r w:rsidR="001D6DD6">
        <w:rPr>
          <w:rFonts w:hint="cs"/>
          <w:rtl/>
        </w:rPr>
        <w:t xml:space="preserve"> </w:t>
      </w:r>
      <w:r>
        <w:rPr>
          <w:rFonts w:hint="cs"/>
          <w:rtl/>
        </w:rPr>
        <w:t>الذي ينطبق على مواطني بلدان المنطقة الاقتصادية الأوروبية وسويسرا؛</w:t>
      </w:r>
    </w:p>
    <w:p w:rsidR="00DE3E9A" w:rsidRDefault="00DE3E9A" w:rsidP="00D06755">
      <w:pPr>
        <w:pStyle w:val="SingleTxtGA"/>
        <w:rPr>
          <w:rFonts w:hint="cs"/>
          <w:rtl/>
        </w:rPr>
      </w:pPr>
      <w:r>
        <w:rPr>
          <w:rFonts w:hint="cs"/>
          <w:rtl/>
        </w:rPr>
        <w:tab/>
        <w:t>(ب)</w:t>
      </w:r>
      <w:r>
        <w:rPr>
          <w:rFonts w:hint="cs"/>
          <w:rtl/>
        </w:rPr>
        <w:tab/>
        <w:t>بدء نفاذ القانون الجديد المتعلق بالأجانب والمرسوم ذي الصلة في 1 كانون الثاني/يناير 2009، الذي ينطبق على غير مواطني المنطقة الاقتصادية الأوروبية أو سويسرا؛</w:t>
      </w:r>
    </w:p>
    <w:p w:rsidR="00DE3E9A" w:rsidRDefault="00DE3E9A" w:rsidP="00D06755">
      <w:pPr>
        <w:pStyle w:val="SingleTxtGA"/>
        <w:rPr>
          <w:rFonts w:hint="cs"/>
          <w:rtl/>
        </w:rPr>
      </w:pPr>
      <w:r>
        <w:rPr>
          <w:rFonts w:hint="cs"/>
          <w:rtl/>
        </w:rPr>
        <w:tab/>
        <w:t>(ج)</w:t>
      </w:r>
      <w:r>
        <w:rPr>
          <w:rFonts w:hint="cs"/>
          <w:rtl/>
        </w:rPr>
        <w:tab/>
        <w:t xml:space="preserve">مراجعة القانون المتعلق باكتساب جنسية ليختنشتاين وفقدانها (قانون الجنسية) في عام 2008 </w:t>
      </w:r>
      <w:r>
        <w:t>(LGBI. 2008 No. 306)</w:t>
      </w:r>
      <w:r>
        <w:rPr>
          <w:rFonts w:hint="cs"/>
          <w:rtl/>
        </w:rPr>
        <w:t>، والذي يمنح الجنسية عند طلبها إلى الأشخاص عديمي الجنسية واللقطاء.</w:t>
      </w:r>
    </w:p>
    <w:p w:rsidR="00DE3E9A" w:rsidRDefault="00DE3E9A" w:rsidP="00AF5F4A">
      <w:pPr>
        <w:pStyle w:val="SingleTxtGA"/>
        <w:rPr>
          <w:rFonts w:hint="cs"/>
          <w:rtl/>
        </w:rPr>
      </w:pPr>
      <w:r>
        <w:rPr>
          <w:rFonts w:hint="cs"/>
          <w:rtl/>
        </w:rPr>
        <w:t>5-</w:t>
      </w:r>
      <w:r>
        <w:rPr>
          <w:rFonts w:hint="cs"/>
          <w:rtl/>
        </w:rPr>
        <w:tab/>
        <w:t>وترحب اللجنة بتصديق الدولة الطرف على الصكوك الدولية التالية</w:t>
      </w:r>
      <w:r w:rsidRPr="002478CF">
        <w:rPr>
          <w:rFonts w:hint="cs"/>
          <w:rtl/>
        </w:rPr>
        <w:t xml:space="preserve"> </w:t>
      </w:r>
      <w:r>
        <w:rPr>
          <w:rFonts w:hint="cs"/>
          <w:rtl/>
        </w:rPr>
        <w:t>أو انضمامها إليها، منذ النظر في تقريرها الدوري الثالث:</w:t>
      </w:r>
    </w:p>
    <w:p w:rsidR="00DE3E9A" w:rsidRDefault="00DE3E9A" w:rsidP="00AF5F4A">
      <w:pPr>
        <w:pStyle w:val="SingleTxtGA"/>
        <w:rPr>
          <w:rFonts w:hint="cs"/>
          <w:rtl/>
        </w:rPr>
      </w:pPr>
      <w:r>
        <w:rPr>
          <w:rFonts w:hint="cs"/>
          <w:rtl/>
        </w:rPr>
        <w:tab/>
        <w:t>(أ)</w:t>
      </w:r>
      <w:r>
        <w:rPr>
          <w:rFonts w:hint="cs"/>
          <w:rtl/>
        </w:rPr>
        <w:tab/>
        <w:t>اتفاقية وضع الأشخاص عديمي الجنسية لعام 1954 (25 أيلول/</w:t>
      </w:r>
      <w:r w:rsidR="007C03B9">
        <w:rPr>
          <w:rFonts w:hint="cs"/>
          <w:rtl/>
        </w:rPr>
        <w:t xml:space="preserve">          </w:t>
      </w:r>
      <w:r>
        <w:rPr>
          <w:rFonts w:hint="cs"/>
          <w:rtl/>
        </w:rPr>
        <w:t>سبتمبر 2009)؛</w:t>
      </w:r>
    </w:p>
    <w:p w:rsidR="00DE3E9A" w:rsidRDefault="00DE3E9A" w:rsidP="00AF5F4A">
      <w:pPr>
        <w:pStyle w:val="SingleTxtGA"/>
        <w:rPr>
          <w:rFonts w:hint="cs"/>
          <w:rtl/>
        </w:rPr>
      </w:pPr>
      <w:r>
        <w:rPr>
          <w:rFonts w:hint="cs"/>
          <w:rtl/>
        </w:rPr>
        <w:tab/>
        <w:t>(ب)</w:t>
      </w:r>
      <w:r>
        <w:rPr>
          <w:rFonts w:hint="cs"/>
          <w:rtl/>
        </w:rPr>
        <w:tab/>
        <w:t>اتفاقية خفض حالات انعدام الجنسية لعام 1961 (25 أيلول/</w:t>
      </w:r>
      <w:r w:rsidR="007C03B9">
        <w:rPr>
          <w:rFonts w:hint="cs"/>
          <w:rtl/>
        </w:rPr>
        <w:t xml:space="preserve">        </w:t>
      </w:r>
      <w:r>
        <w:rPr>
          <w:rFonts w:hint="cs"/>
          <w:rtl/>
        </w:rPr>
        <w:t>سبتمبر 2009)؛</w:t>
      </w:r>
    </w:p>
    <w:p w:rsidR="00DE3E9A" w:rsidRDefault="00DE3E9A" w:rsidP="00C94A09">
      <w:pPr>
        <w:pStyle w:val="SingleTxtGA"/>
        <w:rPr>
          <w:rFonts w:hint="cs"/>
          <w:rtl/>
        </w:rPr>
      </w:pPr>
      <w:r>
        <w:rPr>
          <w:rFonts w:hint="cs"/>
          <w:rtl/>
        </w:rPr>
        <w:tab/>
        <w:t>(ج)</w:t>
      </w:r>
      <w:r>
        <w:rPr>
          <w:rFonts w:hint="cs"/>
          <w:rtl/>
        </w:rPr>
        <w:tab/>
        <w:t>اتفاقية الأمم المتحدة لمكافحة الجريمة المنظمة عبر الوطنية</w:t>
      </w:r>
      <w:r w:rsidR="007C03B9">
        <w:rPr>
          <w:rFonts w:hint="cs"/>
          <w:rtl/>
        </w:rPr>
        <w:t xml:space="preserve"> لعام 2000</w:t>
      </w:r>
      <w:r>
        <w:rPr>
          <w:rFonts w:hint="cs"/>
          <w:rtl/>
        </w:rPr>
        <w:t xml:space="preserve"> (20 شباط/فبراير 2008)، وبروتوكول منع الاتجار بالأشخاص، وبخاصة النساء والأطفال، وقمعه والمعاقبة عليه المكمّل لاتفاقية الأمم المتحدة لمكافحة الجريمة المنظمة عبر الوطنية،</w:t>
      </w:r>
      <w:r w:rsidR="0030670D">
        <w:rPr>
          <w:rFonts w:hint="cs"/>
          <w:rtl/>
        </w:rPr>
        <w:t xml:space="preserve"> لعام</w:t>
      </w:r>
      <w:r>
        <w:rPr>
          <w:rFonts w:hint="cs"/>
          <w:rtl/>
        </w:rPr>
        <w:t xml:space="preserve"> 2000 (بروتوكول باليرمو) (20 شباط/فبراير 2008) وبروتوكول مكافحة تهريب المهاجرين عن طريق البر والبحر والجو، المكمِّل لاتفاقية الأمم المتحدة لمكافحة الجريمة المنظمة عبر الوطنية</w:t>
      </w:r>
      <w:r w:rsidR="00C94A09">
        <w:rPr>
          <w:rFonts w:hint="cs"/>
          <w:rtl/>
        </w:rPr>
        <w:t xml:space="preserve"> لعام</w:t>
      </w:r>
      <w:r>
        <w:rPr>
          <w:rFonts w:hint="cs"/>
          <w:rtl/>
        </w:rPr>
        <w:t xml:space="preserve"> 2000 (20 شباط/فبراير 2008).</w:t>
      </w:r>
    </w:p>
    <w:p w:rsidR="00DE3E9A" w:rsidRDefault="00DE3E9A" w:rsidP="00F5040E">
      <w:pPr>
        <w:pStyle w:val="SingleTxtGA"/>
        <w:rPr>
          <w:rFonts w:hint="cs"/>
          <w:rtl/>
        </w:rPr>
      </w:pPr>
      <w:r>
        <w:rPr>
          <w:rFonts w:hint="cs"/>
          <w:rtl/>
        </w:rPr>
        <w:t>6-</w:t>
      </w:r>
      <w:r>
        <w:rPr>
          <w:rFonts w:hint="cs"/>
          <w:rtl/>
        </w:rPr>
        <w:tab/>
        <w:t xml:space="preserve">وترحب اللجنة أيضاً بعدد من التطورات والأنشطة الإيجابية </w:t>
      </w:r>
      <w:r w:rsidR="00526F49">
        <w:rPr>
          <w:rFonts w:hint="cs"/>
          <w:rtl/>
        </w:rPr>
        <w:t xml:space="preserve">وكذلك </w:t>
      </w:r>
      <w:r w:rsidR="00717122">
        <w:rPr>
          <w:rFonts w:hint="cs"/>
          <w:rtl/>
        </w:rPr>
        <w:t xml:space="preserve">              </w:t>
      </w:r>
      <w:r>
        <w:rPr>
          <w:rFonts w:hint="cs"/>
          <w:rtl/>
        </w:rPr>
        <w:t>التدابير الإدارية التي اتخذتها الدولة الطرف لمكافحة التمييز العنصري وتعزيز التنوع، بما في ذلك</w:t>
      </w:r>
      <w:r w:rsidR="001218F1">
        <w:rPr>
          <w:rFonts w:hint="cs"/>
          <w:rtl/>
        </w:rPr>
        <w:t xml:space="preserve"> </w:t>
      </w:r>
      <w:r>
        <w:rPr>
          <w:rFonts w:hint="cs"/>
          <w:rtl/>
        </w:rPr>
        <w:t>ما يلي:</w:t>
      </w:r>
    </w:p>
    <w:p w:rsidR="00DE3E9A" w:rsidRDefault="00DE3E9A" w:rsidP="004155B9">
      <w:pPr>
        <w:pStyle w:val="SingleTxtGA"/>
        <w:rPr>
          <w:rFonts w:hint="cs"/>
          <w:rtl/>
        </w:rPr>
      </w:pPr>
      <w:r>
        <w:rPr>
          <w:rFonts w:hint="cs"/>
          <w:rtl/>
        </w:rPr>
        <w:tab/>
        <w:t>(أ)</w:t>
      </w:r>
      <w:r>
        <w:rPr>
          <w:rFonts w:hint="cs"/>
          <w:rtl/>
        </w:rPr>
        <w:tab/>
        <w:t>إنشاء اللجنة المعنية بقضايا الإدماج في عام 2009 واعتماد الحكومة في كانون الأول/ديسمبر 2010 مفهوماً جديداً شاملاً للإدماج؛</w:t>
      </w:r>
    </w:p>
    <w:p w:rsidR="00DE3E9A" w:rsidRDefault="00DE3E9A" w:rsidP="004155B9">
      <w:pPr>
        <w:pStyle w:val="SingleTxtGA"/>
        <w:rPr>
          <w:rFonts w:hint="cs"/>
          <w:rtl/>
        </w:rPr>
      </w:pPr>
      <w:r>
        <w:rPr>
          <w:rFonts w:hint="cs"/>
          <w:rtl/>
        </w:rPr>
        <w:tab/>
        <w:t>(ب)</w:t>
      </w:r>
      <w:r>
        <w:rPr>
          <w:rFonts w:hint="cs"/>
          <w:rtl/>
        </w:rPr>
        <w:tab/>
        <w:t>اعتماد الحكومة في عام 2010 مجموعة تدابير ضد الحركات اليمينية المتطرفة وتنظيم حملة توعية في عام 2010 معنونة "معاً من أجل التصدي للحركات اليمينية المتطرفة".</w:t>
      </w:r>
    </w:p>
    <w:p w:rsidR="00DE3E9A" w:rsidRDefault="00DE3E9A" w:rsidP="004155B9">
      <w:pPr>
        <w:pStyle w:val="SingleTxtGA"/>
        <w:rPr>
          <w:rFonts w:hint="cs"/>
          <w:rtl/>
        </w:rPr>
      </w:pPr>
      <w:r>
        <w:rPr>
          <w:rFonts w:hint="cs"/>
          <w:rtl/>
        </w:rPr>
        <w:t>7-</w:t>
      </w:r>
      <w:r>
        <w:rPr>
          <w:rFonts w:hint="cs"/>
          <w:rtl/>
        </w:rPr>
        <w:tab/>
        <w:t>وتلاحظ اللجنة</w:t>
      </w:r>
      <w:r w:rsidR="004155B9">
        <w:rPr>
          <w:rFonts w:hint="cs"/>
          <w:rtl/>
        </w:rPr>
        <w:t>،</w:t>
      </w:r>
      <w:r>
        <w:rPr>
          <w:rFonts w:hint="cs"/>
          <w:rtl/>
        </w:rPr>
        <w:t xml:space="preserve"> </w:t>
      </w:r>
      <w:r w:rsidR="004155B9">
        <w:rPr>
          <w:rFonts w:hint="cs"/>
          <w:rtl/>
        </w:rPr>
        <w:t>ب</w:t>
      </w:r>
      <w:r>
        <w:rPr>
          <w:rFonts w:hint="cs"/>
          <w:rtl/>
        </w:rPr>
        <w:t>ارتياح</w:t>
      </w:r>
      <w:r w:rsidR="004155B9">
        <w:rPr>
          <w:rFonts w:hint="cs"/>
          <w:rtl/>
        </w:rPr>
        <w:t>،</w:t>
      </w:r>
      <w:r>
        <w:rPr>
          <w:rFonts w:hint="cs"/>
          <w:rtl/>
        </w:rPr>
        <w:t xml:space="preserve"> تعيين أول أمين مظالم للأطفال في تشرين الأول/</w:t>
      </w:r>
      <w:r w:rsidR="00453710">
        <w:rPr>
          <w:rFonts w:hint="cs"/>
          <w:rtl/>
        </w:rPr>
        <w:t xml:space="preserve">         </w:t>
      </w:r>
      <w:r>
        <w:rPr>
          <w:rFonts w:hint="cs"/>
          <w:rtl/>
        </w:rPr>
        <w:t>أكتوبر 2009 لفترة أربع سنوات.</w:t>
      </w:r>
    </w:p>
    <w:p w:rsidR="00453710" w:rsidRDefault="00453710" w:rsidP="004155B9">
      <w:pPr>
        <w:pStyle w:val="SingleTxtGA"/>
        <w:rPr>
          <w:rFonts w:hint="cs"/>
          <w:rtl/>
        </w:rPr>
      </w:pPr>
    </w:p>
    <w:p w:rsidR="00DE3E9A" w:rsidRDefault="00453710" w:rsidP="00453710">
      <w:pPr>
        <w:pStyle w:val="H1GA"/>
        <w:rPr>
          <w:rFonts w:hint="cs"/>
          <w:rtl/>
        </w:rPr>
      </w:pPr>
      <w:r>
        <w:rPr>
          <w:rFonts w:hint="cs"/>
          <w:rtl/>
        </w:rPr>
        <w:tab/>
      </w:r>
      <w:r w:rsidR="00DE3E9A">
        <w:rPr>
          <w:rFonts w:hint="cs"/>
          <w:rtl/>
        </w:rPr>
        <w:t>جيم-</w:t>
      </w:r>
      <w:r w:rsidR="00DE3E9A">
        <w:rPr>
          <w:rFonts w:hint="cs"/>
          <w:rtl/>
        </w:rPr>
        <w:tab/>
        <w:t>دواعي القلق الرئيسية والتوصيات</w:t>
      </w:r>
    </w:p>
    <w:p w:rsidR="00DE3E9A" w:rsidRDefault="00453710" w:rsidP="00453710">
      <w:pPr>
        <w:pStyle w:val="H23GA"/>
        <w:rPr>
          <w:rFonts w:hint="cs"/>
          <w:rtl/>
        </w:rPr>
      </w:pPr>
      <w:r>
        <w:rPr>
          <w:rFonts w:hint="cs"/>
          <w:rtl/>
        </w:rPr>
        <w:tab/>
      </w:r>
      <w:r>
        <w:rPr>
          <w:rFonts w:hint="cs"/>
          <w:rtl/>
        </w:rPr>
        <w:tab/>
      </w:r>
      <w:r w:rsidR="00DE3E9A">
        <w:rPr>
          <w:rFonts w:hint="cs"/>
          <w:rtl/>
        </w:rPr>
        <w:t>التشريعات الوطنية ضد التمييز العنصري</w:t>
      </w:r>
    </w:p>
    <w:p w:rsidR="00DE3E9A" w:rsidRDefault="00DE3E9A" w:rsidP="008D3482">
      <w:pPr>
        <w:pStyle w:val="SingleTxtGA"/>
        <w:rPr>
          <w:rFonts w:hint="cs"/>
          <w:rtl/>
        </w:rPr>
      </w:pPr>
      <w:r>
        <w:rPr>
          <w:rFonts w:hint="cs"/>
          <w:rtl/>
        </w:rPr>
        <w:t>8-</w:t>
      </w:r>
      <w:r>
        <w:rPr>
          <w:rFonts w:hint="cs"/>
          <w:rtl/>
        </w:rPr>
        <w:tab/>
        <w:t>بينما تحيط اللجنة علماً بأن</w:t>
      </w:r>
      <w:r w:rsidR="004C5F38">
        <w:rPr>
          <w:rFonts w:hint="cs"/>
          <w:rtl/>
        </w:rPr>
        <w:t xml:space="preserve"> للدولة الطرف نظاماً </w:t>
      </w:r>
      <w:r w:rsidR="008D3482">
        <w:rPr>
          <w:rFonts w:hint="cs"/>
          <w:rtl/>
        </w:rPr>
        <w:t>أحادياً</w:t>
      </w:r>
      <w:r>
        <w:rPr>
          <w:rFonts w:hint="cs"/>
          <w:rtl/>
        </w:rPr>
        <w:t xml:space="preserve">، تصبح بموجبه أي معاهدة دولية جزءاً من التشريع الوطني </w:t>
      </w:r>
      <w:r w:rsidR="004C5F38">
        <w:rPr>
          <w:rFonts w:hint="cs"/>
          <w:rtl/>
        </w:rPr>
        <w:t>لدى</w:t>
      </w:r>
      <w:r>
        <w:rPr>
          <w:rFonts w:hint="cs"/>
          <w:rtl/>
        </w:rPr>
        <w:t xml:space="preserve"> التصديق عليها وبدء نفاذها دون الحاجة إلى تشريع خاص بتنفيذها، يساورها القلق إزاء عدم وجود تشريع شامل ضد التمييز العنصري</w:t>
      </w:r>
      <w:r w:rsidR="004C5F38">
        <w:rPr>
          <w:rFonts w:hint="cs"/>
          <w:rtl/>
        </w:rPr>
        <w:t xml:space="preserve">          </w:t>
      </w:r>
      <w:r>
        <w:rPr>
          <w:rFonts w:hint="cs"/>
          <w:rtl/>
        </w:rPr>
        <w:t xml:space="preserve"> (المادة 1).</w:t>
      </w:r>
    </w:p>
    <w:p w:rsidR="00DE3E9A" w:rsidRPr="00626E56" w:rsidRDefault="00DE3E9A" w:rsidP="00626E56">
      <w:pPr>
        <w:pStyle w:val="SingleTxtGA"/>
        <w:rPr>
          <w:rFonts w:hint="cs"/>
          <w:b/>
          <w:bCs/>
          <w:rtl/>
        </w:rPr>
      </w:pPr>
      <w:r w:rsidRPr="00626E56">
        <w:rPr>
          <w:rFonts w:hint="cs"/>
          <w:b/>
          <w:bCs/>
          <w:rtl/>
        </w:rPr>
        <w:tab/>
        <w:t>تذكّر اللجنة بتوصيتها العامة رقم 14(1993) بشأن تعريف التمييز، وتوصي الدولة الطرف بالنظر في سنّ تشريع خاص يحظر التمييز العنصري حظراً صريحاً.</w:t>
      </w:r>
    </w:p>
    <w:p w:rsidR="00DE3E9A" w:rsidRDefault="004C3255" w:rsidP="004C3255">
      <w:pPr>
        <w:pStyle w:val="H23GA"/>
        <w:rPr>
          <w:rFonts w:hint="cs"/>
          <w:rtl/>
        </w:rPr>
      </w:pPr>
      <w:r>
        <w:rPr>
          <w:rFonts w:hint="cs"/>
          <w:rtl/>
        </w:rPr>
        <w:tab/>
      </w:r>
      <w:r>
        <w:rPr>
          <w:rFonts w:hint="cs"/>
          <w:rtl/>
        </w:rPr>
        <w:tab/>
      </w:r>
      <w:r w:rsidR="00DE3E9A">
        <w:rPr>
          <w:rFonts w:hint="cs"/>
          <w:rtl/>
        </w:rPr>
        <w:t>تجريم التمييز العنصري</w:t>
      </w:r>
    </w:p>
    <w:p w:rsidR="00DE3E9A" w:rsidRDefault="00DE3E9A" w:rsidP="00626E56">
      <w:pPr>
        <w:pStyle w:val="SingleTxtGA"/>
        <w:rPr>
          <w:rFonts w:hint="cs"/>
          <w:rtl/>
        </w:rPr>
      </w:pPr>
      <w:r>
        <w:rPr>
          <w:rFonts w:hint="cs"/>
          <w:rtl/>
        </w:rPr>
        <w:t>9-</w:t>
      </w:r>
      <w:r>
        <w:rPr>
          <w:rFonts w:hint="cs"/>
          <w:rtl/>
        </w:rPr>
        <w:tab/>
        <w:t xml:space="preserve">بينما تلاحظ اللجنة أن الفقرة 1(7) من المادة 283 من القانون الجنائي تقضي بتجريم الانتماء إلى المنظمات التي تشجع التمييز العنصري أو تحرض عليه، لا يزال القلق يساورها إزاء عدم وجود تشريع يحظر المنظمات </w:t>
      </w:r>
      <w:r w:rsidRPr="002B4E52">
        <w:rPr>
          <w:rFonts w:hint="cs"/>
          <w:rtl/>
        </w:rPr>
        <w:t>العنصرية حظراً صريحاً</w:t>
      </w:r>
      <w:r>
        <w:rPr>
          <w:rFonts w:hint="cs"/>
          <w:rtl/>
        </w:rPr>
        <w:t xml:space="preserve"> (المادة 4).</w:t>
      </w:r>
    </w:p>
    <w:p w:rsidR="00DE3E9A" w:rsidRPr="00B54E49" w:rsidRDefault="00DE3E9A" w:rsidP="007C7D91">
      <w:pPr>
        <w:pStyle w:val="SingleTxtGA"/>
        <w:rPr>
          <w:rFonts w:hint="cs"/>
          <w:b/>
          <w:bCs/>
          <w:rtl/>
        </w:rPr>
      </w:pPr>
      <w:r w:rsidRPr="00B54E49">
        <w:rPr>
          <w:rFonts w:hint="cs"/>
          <w:b/>
          <w:bCs/>
          <w:rtl/>
        </w:rPr>
        <w:tab/>
        <w:t xml:space="preserve">تذكّر اللجنة بتوصيتها العامة رقم 15(1993) </w:t>
      </w:r>
      <w:r w:rsidR="007C7D91">
        <w:rPr>
          <w:rFonts w:hint="cs"/>
          <w:b/>
          <w:bCs/>
          <w:rtl/>
        </w:rPr>
        <w:t>بشأن</w:t>
      </w:r>
      <w:r w:rsidRPr="00B54E49">
        <w:rPr>
          <w:rFonts w:hint="cs"/>
          <w:b/>
          <w:bCs/>
          <w:rtl/>
        </w:rPr>
        <w:t xml:space="preserve"> المادة 4، وتوصي الدولة الطرف باعتماد تشريع يحظر </w:t>
      </w:r>
      <w:r w:rsidR="007C7D91">
        <w:rPr>
          <w:rFonts w:hint="cs"/>
          <w:b/>
          <w:bCs/>
          <w:rtl/>
        </w:rPr>
        <w:t xml:space="preserve">تحديداً </w:t>
      </w:r>
      <w:r w:rsidRPr="00B54E49">
        <w:rPr>
          <w:rFonts w:hint="cs"/>
          <w:b/>
          <w:bCs/>
          <w:rtl/>
        </w:rPr>
        <w:t>المنظمات التي تشجع التمييز العنصري، وفقاً للنطاق الكامل للمادة 4 من الاتفاقية.</w:t>
      </w:r>
    </w:p>
    <w:p w:rsidR="00DE3E9A" w:rsidRDefault="00E96AC9" w:rsidP="00E96AC9">
      <w:pPr>
        <w:pStyle w:val="H23GA"/>
        <w:rPr>
          <w:rFonts w:hint="cs"/>
          <w:rtl/>
        </w:rPr>
      </w:pPr>
      <w:r>
        <w:rPr>
          <w:rFonts w:hint="cs"/>
          <w:rtl/>
        </w:rPr>
        <w:tab/>
      </w:r>
      <w:r>
        <w:rPr>
          <w:rFonts w:hint="cs"/>
          <w:rtl/>
        </w:rPr>
        <w:tab/>
      </w:r>
      <w:r w:rsidR="00DE3E9A">
        <w:rPr>
          <w:rFonts w:hint="cs"/>
          <w:rtl/>
        </w:rPr>
        <w:t>المؤسسة الوطنية لحقوق الإنسان</w:t>
      </w:r>
    </w:p>
    <w:p w:rsidR="00DE3E9A" w:rsidRDefault="00DE3E9A" w:rsidP="00D03AAC">
      <w:pPr>
        <w:pStyle w:val="SingleTxtGA"/>
        <w:rPr>
          <w:rFonts w:hint="cs"/>
          <w:rtl/>
        </w:rPr>
      </w:pPr>
      <w:r>
        <w:rPr>
          <w:rFonts w:hint="cs"/>
          <w:rtl/>
        </w:rPr>
        <w:t>10-</w:t>
      </w:r>
      <w:r>
        <w:rPr>
          <w:rFonts w:hint="cs"/>
          <w:rtl/>
        </w:rPr>
        <w:tab/>
        <w:t>تحيط اللجنة علماً بقرار الدولة الطرف حلّ مكتب تكافؤ الفرص والاستعاضة عنه بهيئة مستقلة تماماً معنية بحقوق الإنسان تتمتع بولاية واسعة النطاق لتعزيز وحماية حقوق الإنسان، بما في ذلك تلقي شكاوى الأفراد ومعالجتها (المادة 2).</w:t>
      </w:r>
    </w:p>
    <w:p w:rsidR="00DE3E9A" w:rsidRPr="00774680" w:rsidRDefault="00D03AAC" w:rsidP="00774680">
      <w:pPr>
        <w:pStyle w:val="SingleTxtGA"/>
        <w:rPr>
          <w:rFonts w:hint="cs"/>
          <w:b/>
          <w:bCs/>
          <w:rtl/>
        </w:rPr>
      </w:pPr>
      <w:r w:rsidRPr="00774680">
        <w:rPr>
          <w:rFonts w:hint="cs"/>
          <w:b/>
          <w:bCs/>
          <w:rtl/>
        </w:rPr>
        <w:tab/>
      </w:r>
      <w:r w:rsidR="00DE3E9A" w:rsidRPr="00774680">
        <w:rPr>
          <w:rFonts w:hint="cs"/>
          <w:b/>
          <w:bCs/>
          <w:rtl/>
        </w:rPr>
        <w:t>توصي اللجنة الدولة الطرف</w:t>
      </w:r>
      <w:r w:rsidR="00774680" w:rsidRPr="00774680">
        <w:rPr>
          <w:rFonts w:hint="cs"/>
          <w:b/>
          <w:bCs/>
          <w:rtl/>
        </w:rPr>
        <w:t xml:space="preserve">، في ضوء توصيتها العامة رقم 17(1993) بشأن إنشاء مؤسسات وطنية لتيسير تنفيذ الاتفاقية، </w:t>
      </w:r>
      <w:r w:rsidR="00DE3E9A" w:rsidRPr="00774680">
        <w:rPr>
          <w:rFonts w:hint="cs"/>
          <w:b/>
          <w:bCs/>
          <w:rtl/>
        </w:rPr>
        <w:t>بإنشاء مؤسسة وطنية واحدة مستقلة لحقوق الإنسان تتمتع بولاية واسعة النطاق، تتسق مع المبادئ المتعلقة بمركز المؤسسات الوطنية لتعزيز حقوق الإنسان وحمايتها (مبادئ باريس)، وتغطي كذلك خصوصية ولايات جميع المؤسسات القائمة.</w:t>
      </w:r>
    </w:p>
    <w:p w:rsidR="00DE3E9A" w:rsidRDefault="0097700C" w:rsidP="0097700C">
      <w:pPr>
        <w:pStyle w:val="H23GA"/>
        <w:rPr>
          <w:rFonts w:hint="cs"/>
          <w:rtl/>
        </w:rPr>
      </w:pPr>
      <w:r>
        <w:rPr>
          <w:rFonts w:hint="cs"/>
          <w:rtl/>
        </w:rPr>
        <w:tab/>
      </w:r>
      <w:r>
        <w:rPr>
          <w:rFonts w:hint="cs"/>
          <w:rtl/>
        </w:rPr>
        <w:tab/>
      </w:r>
      <w:r w:rsidR="00DE3E9A">
        <w:rPr>
          <w:rFonts w:hint="cs"/>
          <w:rtl/>
        </w:rPr>
        <w:t>اكتساب الجنسية</w:t>
      </w:r>
    </w:p>
    <w:p w:rsidR="00DE3E9A" w:rsidRDefault="00DE3E9A" w:rsidP="00D03E87">
      <w:pPr>
        <w:pStyle w:val="SingleTxtGA"/>
        <w:rPr>
          <w:rFonts w:hint="cs"/>
          <w:rtl/>
        </w:rPr>
      </w:pPr>
      <w:r>
        <w:rPr>
          <w:rFonts w:hint="cs"/>
          <w:rtl/>
        </w:rPr>
        <w:t>11-</w:t>
      </w:r>
      <w:r>
        <w:rPr>
          <w:rFonts w:hint="cs"/>
          <w:rtl/>
        </w:rPr>
        <w:tab/>
        <w:t xml:space="preserve">بينما تلاحظ اللجنة بدء نفاذ </w:t>
      </w:r>
      <w:r w:rsidR="008E6691">
        <w:rPr>
          <w:rFonts w:hint="cs"/>
          <w:rtl/>
        </w:rPr>
        <w:t>تنقيح</w:t>
      </w:r>
      <w:r>
        <w:rPr>
          <w:rFonts w:hint="cs"/>
          <w:rtl/>
        </w:rPr>
        <w:t xml:space="preserve"> القانون المتعلق باكتساب جنسية ليخت</w:t>
      </w:r>
      <w:r w:rsidR="009B65E1">
        <w:rPr>
          <w:rFonts w:hint="cs"/>
          <w:rtl/>
        </w:rPr>
        <w:t>ن</w:t>
      </w:r>
      <w:r>
        <w:rPr>
          <w:rFonts w:hint="cs"/>
          <w:rtl/>
        </w:rPr>
        <w:t>شتاين وفقدانها (قانون الجنسية) في عام 2008، يساورها القلق من عدم إدخال تغييرات على إجراء اكتساب الجنسية الميسَّر الذي يتضمن شرط الإقامة لمدة 30 عاماً وعلى إجراءات التجنّ</w:t>
      </w:r>
      <w:r w:rsidR="00BE46C9">
        <w:rPr>
          <w:rFonts w:hint="cs"/>
          <w:rtl/>
        </w:rPr>
        <w:t>س العاد</w:t>
      </w:r>
      <w:r w:rsidR="00D03E87">
        <w:rPr>
          <w:rFonts w:hint="cs"/>
          <w:rtl/>
        </w:rPr>
        <w:t>ي</w:t>
      </w:r>
      <w:r w:rsidR="00BE46C9">
        <w:rPr>
          <w:rFonts w:hint="cs"/>
          <w:rtl/>
        </w:rPr>
        <w:t>ة</w:t>
      </w:r>
      <w:r>
        <w:rPr>
          <w:rFonts w:hint="cs"/>
          <w:rtl/>
        </w:rPr>
        <w:t xml:space="preserve"> التي تخضع للتصويت الشعبي على مستوى البلديات (المادة 2).</w:t>
      </w:r>
    </w:p>
    <w:p w:rsidR="00DE3E9A" w:rsidRPr="0014324C" w:rsidRDefault="00DE3E9A" w:rsidP="0014324C">
      <w:pPr>
        <w:pStyle w:val="SingleTxtGA"/>
        <w:rPr>
          <w:rFonts w:hint="cs"/>
          <w:b/>
          <w:bCs/>
          <w:rtl/>
        </w:rPr>
      </w:pPr>
      <w:r w:rsidRPr="0014324C">
        <w:rPr>
          <w:rFonts w:hint="cs"/>
          <w:b/>
          <w:bCs/>
          <w:rtl/>
        </w:rPr>
        <w:tab/>
      </w:r>
      <w:r w:rsidR="000057EB" w:rsidRPr="0014324C">
        <w:rPr>
          <w:rFonts w:hint="cs"/>
          <w:b/>
          <w:bCs/>
          <w:rtl/>
        </w:rPr>
        <w:t xml:space="preserve">توصي اللجنة الدولة الطرف، </w:t>
      </w:r>
      <w:r w:rsidRPr="0014324C">
        <w:rPr>
          <w:rFonts w:hint="cs"/>
          <w:b/>
          <w:bCs/>
          <w:rtl/>
        </w:rPr>
        <w:t xml:space="preserve">في ضوء </w:t>
      </w:r>
      <w:r w:rsidR="000057EB" w:rsidRPr="0014324C">
        <w:rPr>
          <w:rFonts w:hint="cs"/>
          <w:b/>
          <w:bCs/>
          <w:rtl/>
        </w:rPr>
        <w:t>توصيتها</w:t>
      </w:r>
      <w:r w:rsidRPr="0014324C">
        <w:rPr>
          <w:rFonts w:hint="cs"/>
          <w:b/>
          <w:bCs/>
          <w:rtl/>
        </w:rPr>
        <w:t xml:space="preserve"> العامة رقم 30(2004) بشأن التمييز ضد غير المواطنين، بالنظر في تعديل قانونها المتعلق بالتجنس الميسَّر، بهدف تقليص فترة الإقامة المطلوبة لاكتساب الجنسية، والنظر في اعتماد حق </w:t>
      </w:r>
      <w:r w:rsidR="0014324C" w:rsidRPr="0014324C">
        <w:rPr>
          <w:rFonts w:hint="cs"/>
          <w:b/>
          <w:bCs/>
          <w:rtl/>
        </w:rPr>
        <w:t>الطعن</w:t>
      </w:r>
      <w:r w:rsidRPr="0014324C">
        <w:rPr>
          <w:rFonts w:hint="cs"/>
          <w:b/>
          <w:bCs/>
          <w:rtl/>
        </w:rPr>
        <w:t xml:space="preserve"> والمراجعة القانونية بموجب إجراء التجنس العادي الخاضع للتصويت الشعبي على مستوى البلديات.</w:t>
      </w:r>
    </w:p>
    <w:p w:rsidR="00DE3E9A" w:rsidRDefault="0014324C" w:rsidP="0014324C">
      <w:pPr>
        <w:pStyle w:val="H23GA"/>
        <w:rPr>
          <w:rFonts w:hint="cs"/>
          <w:rtl/>
        </w:rPr>
      </w:pPr>
      <w:r>
        <w:rPr>
          <w:rFonts w:hint="cs"/>
          <w:rtl/>
        </w:rPr>
        <w:tab/>
      </w:r>
      <w:r>
        <w:rPr>
          <w:rFonts w:hint="cs"/>
          <w:rtl/>
        </w:rPr>
        <w:tab/>
      </w:r>
      <w:r w:rsidR="00DE3E9A">
        <w:rPr>
          <w:rFonts w:hint="cs"/>
          <w:rtl/>
        </w:rPr>
        <w:t>إدماج الأجانب</w:t>
      </w:r>
    </w:p>
    <w:p w:rsidR="00DE3E9A" w:rsidRDefault="00DE3E9A" w:rsidP="00B91A20">
      <w:pPr>
        <w:pStyle w:val="SingleTxtGA"/>
        <w:rPr>
          <w:rtl/>
        </w:rPr>
      </w:pPr>
      <w:r>
        <w:rPr>
          <w:rFonts w:hint="cs"/>
          <w:rtl/>
        </w:rPr>
        <w:t>12-</w:t>
      </w:r>
      <w:r>
        <w:rPr>
          <w:rFonts w:hint="cs"/>
          <w:rtl/>
        </w:rPr>
        <w:tab/>
        <w:t xml:space="preserve">بينما تلاحظ اللجنة مطالبة الوافدين من "بلدان ثالثة" غير مواطني سويسرا أو بلدان المنطقة الاقتصادية الأوروبية، التوقيع على اتفاق إدماج مع السلطات يتضمّن الأهداف المحددة لإدماجهم، يساورها القلق إزاء عدم إبلاغ هؤلاء الأشخاص مسبقاً </w:t>
      </w:r>
      <w:r w:rsidR="00B91A20">
        <w:rPr>
          <w:rFonts w:hint="cs"/>
          <w:rtl/>
        </w:rPr>
        <w:t>بوضعهم</w:t>
      </w:r>
      <w:r>
        <w:rPr>
          <w:rFonts w:hint="cs"/>
          <w:rtl/>
        </w:rPr>
        <w:t xml:space="preserve"> وبحقوقهم وبالتزاماتهم أو بتبعات عدم التوقيع على هذا الاتفاق، وبالتالي عدم حمايتهم ضد التمييز العنصري بصورة كافية (المادتان 2 و5).</w:t>
      </w:r>
    </w:p>
    <w:p w:rsidR="00DE3E9A" w:rsidRPr="009627A9" w:rsidRDefault="00DE3E9A" w:rsidP="00160C3C">
      <w:pPr>
        <w:pStyle w:val="SingleTxtGA"/>
        <w:rPr>
          <w:b/>
          <w:bCs/>
          <w:lang w:val="fr-CH"/>
        </w:rPr>
      </w:pPr>
      <w:r w:rsidRPr="009627A9">
        <w:rPr>
          <w:rFonts w:hint="cs"/>
          <w:b/>
          <w:bCs/>
          <w:rtl/>
          <w:lang w:val="fr-CH"/>
        </w:rPr>
        <w:tab/>
        <w:t xml:space="preserve">إذ تذكِّر اللجنة بتوصيتها العامة رقم 20(1996) بشأن ضمان التمتع بالحقوق والحريات من دون تمييز عنصري، توصي الدولة الطرف بإبلاغ الأجانب من "بلدان ثالثة"، الذين يزمعون التوقيع على اتفاق إدماج، بهذا الاتفاق مسبقاً وبحمايتهم من التمييز العنصري أثناء الوفاء بشروطه، ولا سيما فيما يتعلق </w:t>
      </w:r>
      <w:r w:rsidR="00160C3C">
        <w:rPr>
          <w:rFonts w:hint="cs"/>
          <w:b/>
          <w:bCs/>
          <w:rtl/>
          <w:lang w:val="fr-CH"/>
        </w:rPr>
        <w:t>بوضع إقامتهم وحرية تنقلهم،</w:t>
      </w:r>
      <w:r w:rsidRPr="009627A9">
        <w:rPr>
          <w:rFonts w:hint="cs"/>
          <w:b/>
          <w:bCs/>
          <w:rtl/>
          <w:lang w:val="fr-CH"/>
        </w:rPr>
        <w:t xml:space="preserve"> وفي مجالات العمالة والتعليم والرعاية الصحية والسكن. </w:t>
      </w:r>
    </w:p>
    <w:p w:rsidR="00DE3E9A" w:rsidRDefault="00DE3E9A" w:rsidP="007A3E78">
      <w:pPr>
        <w:pStyle w:val="H23GA"/>
        <w:rPr>
          <w:rFonts w:hint="cs"/>
          <w:rtl/>
          <w:lang w:val="fr-CH"/>
        </w:rPr>
      </w:pPr>
      <w:r>
        <w:rPr>
          <w:rFonts w:hint="cs"/>
          <w:rtl/>
          <w:lang w:val="fr-CH"/>
        </w:rPr>
        <w:tab/>
      </w:r>
      <w:r>
        <w:rPr>
          <w:rFonts w:hint="cs"/>
          <w:rtl/>
          <w:lang w:val="fr-CH"/>
        </w:rPr>
        <w:tab/>
        <w:t>أوضاع النساء المنتميات للفئات الضعيفة</w:t>
      </w:r>
    </w:p>
    <w:p w:rsidR="00DE3E9A" w:rsidRDefault="00DE3E9A" w:rsidP="005C67F1">
      <w:pPr>
        <w:pStyle w:val="SingleTxtGA"/>
        <w:rPr>
          <w:rFonts w:hint="cs"/>
          <w:rtl/>
          <w:lang w:val="fr-CH"/>
        </w:rPr>
      </w:pPr>
      <w:r>
        <w:rPr>
          <w:rFonts w:hint="cs"/>
          <w:rtl/>
          <w:lang w:val="fr-CH"/>
        </w:rPr>
        <w:t>13-</w:t>
      </w:r>
      <w:r>
        <w:rPr>
          <w:rFonts w:hint="cs"/>
          <w:rtl/>
          <w:lang w:val="fr-CH"/>
        </w:rPr>
        <w:tab/>
        <w:t xml:space="preserve">تشعر اللجنة </w:t>
      </w:r>
      <w:r w:rsidR="005C67F1">
        <w:rPr>
          <w:rFonts w:hint="cs"/>
          <w:rtl/>
          <w:lang w:val="fr-CH"/>
        </w:rPr>
        <w:t>ب</w:t>
      </w:r>
      <w:r>
        <w:rPr>
          <w:rFonts w:hint="cs"/>
          <w:rtl/>
          <w:lang w:val="fr-CH"/>
        </w:rPr>
        <w:t xml:space="preserve">القلق إزاء احتمال التمييز ضد بعض فئات المهاجرات، بمن فيهن ضحايا الاتجار أو العنف المنزلي أو المطلقات من بلدان تقع خارج المنطقة الاقتصادية الأوروبية وسويسرا، فيما يتعلق </w:t>
      </w:r>
      <w:r w:rsidR="005C67F1">
        <w:rPr>
          <w:rFonts w:hint="cs"/>
          <w:rtl/>
          <w:lang w:val="fr-CH"/>
        </w:rPr>
        <w:t>بوضع</w:t>
      </w:r>
      <w:r>
        <w:rPr>
          <w:rFonts w:hint="cs"/>
          <w:rtl/>
          <w:lang w:val="fr-CH"/>
        </w:rPr>
        <w:t xml:space="preserve"> إقامتهن ووضعهن الاجتماعي - الاقتصادي (المادة 5). </w:t>
      </w:r>
    </w:p>
    <w:p w:rsidR="00DE3E9A" w:rsidRPr="001F7AE5" w:rsidRDefault="00DE3E9A" w:rsidP="00173584">
      <w:pPr>
        <w:pStyle w:val="SingleTxtGA"/>
        <w:rPr>
          <w:rFonts w:hint="cs"/>
          <w:b/>
          <w:bCs/>
          <w:rtl/>
          <w:lang w:val="fr-CH"/>
        </w:rPr>
      </w:pPr>
      <w:r w:rsidRPr="001F7AE5">
        <w:rPr>
          <w:rFonts w:hint="cs"/>
          <w:b/>
          <w:bCs/>
          <w:rtl/>
          <w:lang w:val="fr-CH"/>
        </w:rPr>
        <w:tab/>
      </w:r>
      <w:r w:rsidR="001F7AE5">
        <w:rPr>
          <w:rFonts w:hint="cs"/>
          <w:b/>
          <w:bCs/>
          <w:rtl/>
          <w:lang w:val="fr-CH"/>
        </w:rPr>
        <w:t xml:space="preserve">توصي اللجنة الدولة الطرف، </w:t>
      </w:r>
      <w:r w:rsidRPr="001F7AE5">
        <w:rPr>
          <w:rFonts w:hint="cs"/>
          <w:b/>
          <w:bCs/>
          <w:rtl/>
          <w:lang w:val="fr-CH"/>
        </w:rPr>
        <w:t xml:space="preserve">في ضوء </w:t>
      </w:r>
      <w:r w:rsidR="001F7AE5">
        <w:rPr>
          <w:rFonts w:hint="cs"/>
          <w:b/>
          <w:bCs/>
          <w:rtl/>
          <w:lang w:val="fr-CH"/>
        </w:rPr>
        <w:t xml:space="preserve">توصيتيها </w:t>
      </w:r>
      <w:r w:rsidRPr="001F7AE5">
        <w:rPr>
          <w:rFonts w:hint="cs"/>
          <w:b/>
          <w:bCs/>
          <w:rtl/>
          <w:lang w:val="fr-CH"/>
        </w:rPr>
        <w:t xml:space="preserve">العامتين رقم 25(2000) بشأن أبعاد التمييز العنصري المتعلقة بنوع الجنس ورقم 30(2004) </w:t>
      </w:r>
      <w:r w:rsidR="00137D3D">
        <w:rPr>
          <w:rFonts w:hint="cs"/>
          <w:b/>
          <w:bCs/>
          <w:rtl/>
          <w:lang w:val="fr-CH"/>
        </w:rPr>
        <w:t>بشأن</w:t>
      </w:r>
      <w:r w:rsidRPr="001F7AE5">
        <w:rPr>
          <w:rFonts w:hint="cs"/>
          <w:b/>
          <w:bCs/>
          <w:rtl/>
          <w:lang w:val="fr-CH"/>
        </w:rPr>
        <w:t xml:space="preserve"> التمييز ضد غير المواطنين، </w:t>
      </w:r>
      <w:r w:rsidR="00137D3D">
        <w:rPr>
          <w:rFonts w:hint="cs"/>
          <w:b/>
          <w:bCs/>
          <w:rtl/>
          <w:lang w:val="fr-CH"/>
        </w:rPr>
        <w:t xml:space="preserve">بضمان تمكين </w:t>
      </w:r>
      <w:r w:rsidRPr="001F7AE5">
        <w:rPr>
          <w:rFonts w:hint="cs"/>
          <w:b/>
          <w:bCs/>
          <w:rtl/>
          <w:lang w:val="fr-CH"/>
        </w:rPr>
        <w:t xml:space="preserve">المهاجرات وغيرهن من النساء المستضعفات، بمن فيهن اللاتي تعرضن للاتجار أو للعنف المنزلي أو المطلقات، من الاحتفاظ </w:t>
      </w:r>
      <w:r w:rsidR="00DB6647">
        <w:rPr>
          <w:rFonts w:hint="cs"/>
          <w:b/>
          <w:bCs/>
          <w:rtl/>
          <w:lang w:val="fr-CH"/>
        </w:rPr>
        <w:t>بوضع</w:t>
      </w:r>
      <w:r w:rsidRPr="001F7AE5">
        <w:rPr>
          <w:rFonts w:hint="cs"/>
          <w:b/>
          <w:bCs/>
          <w:rtl/>
          <w:lang w:val="fr-CH"/>
        </w:rPr>
        <w:t xml:space="preserve"> إقامتهن ووضعهن الاجتماعي - الاقتصادي وعدم تعرّضهن لتمييز مزدوج.</w:t>
      </w:r>
    </w:p>
    <w:p w:rsidR="00DE3E9A" w:rsidRDefault="00DE3E9A" w:rsidP="001F7AE5">
      <w:pPr>
        <w:pStyle w:val="H23GA"/>
        <w:rPr>
          <w:rFonts w:hint="cs"/>
          <w:rtl/>
          <w:lang w:val="fr-CH"/>
        </w:rPr>
      </w:pPr>
      <w:r>
        <w:rPr>
          <w:rFonts w:hint="cs"/>
          <w:rtl/>
          <w:lang w:val="fr-CH"/>
        </w:rPr>
        <w:tab/>
      </w:r>
      <w:r>
        <w:rPr>
          <w:rFonts w:hint="cs"/>
          <w:rtl/>
          <w:lang w:val="fr-CH"/>
        </w:rPr>
        <w:tab/>
        <w:t>أوضاع اللاجئين وملتمسي اللجوء</w:t>
      </w:r>
    </w:p>
    <w:p w:rsidR="00DE3E9A" w:rsidRDefault="00DE3E9A" w:rsidP="00FF06BB">
      <w:pPr>
        <w:pStyle w:val="SingleTxtGA"/>
        <w:rPr>
          <w:rFonts w:hint="cs"/>
          <w:rtl/>
          <w:lang w:val="fr-CH"/>
        </w:rPr>
      </w:pPr>
      <w:r>
        <w:rPr>
          <w:rFonts w:hint="cs"/>
          <w:rtl/>
          <w:lang w:val="fr-CH"/>
        </w:rPr>
        <w:t>14-</w:t>
      </w:r>
      <w:r>
        <w:rPr>
          <w:rFonts w:hint="cs"/>
          <w:rtl/>
          <w:lang w:val="fr-CH"/>
        </w:rPr>
        <w:tab/>
        <w:t>بينما تلاحظ اللجنة بدء نفاذ القانون الجديد المتعلق باللجوء في حزيران/</w:t>
      </w:r>
      <w:r w:rsidR="00C91ABC">
        <w:rPr>
          <w:rFonts w:hint="cs"/>
          <w:rtl/>
          <w:lang w:val="fr-CH"/>
        </w:rPr>
        <w:t xml:space="preserve">             </w:t>
      </w:r>
      <w:r>
        <w:rPr>
          <w:rFonts w:hint="cs"/>
          <w:rtl/>
          <w:lang w:val="fr-CH"/>
        </w:rPr>
        <w:t>يونيه 2012، يساورها القلق إزاء عدم تضمُّن هذا القانون تيسير تجنّس اللاجئين وعديمي الجنسية (المادة 5).</w:t>
      </w:r>
    </w:p>
    <w:p w:rsidR="00DE3E9A" w:rsidRPr="001100CF" w:rsidRDefault="00DE3E9A" w:rsidP="00C604F8">
      <w:pPr>
        <w:pStyle w:val="SingleTxtGA"/>
        <w:rPr>
          <w:rFonts w:hint="cs"/>
          <w:b/>
          <w:bCs/>
          <w:rtl/>
          <w:lang w:val="fr-CH"/>
        </w:rPr>
      </w:pPr>
      <w:r w:rsidRPr="001100CF">
        <w:rPr>
          <w:rFonts w:hint="cs"/>
          <w:b/>
          <w:bCs/>
          <w:rtl/>
          <w:lang w:val="fr-CH"/>
        </w:rPr>
        <w:tab/>
        <w:t xml:space="preserve">تذكِّر اللجنة بتوصيتها العامة رقم 22(1996) </w:t>
      </w:r>
      <w:r w:rsidRPr="001100CF">
        <w:rPr>
          <w:rFonts w:hint="cs"/>
          <w:b/>
          <w:bCs/>
          <w:rtl/>
        </w:rPr>
        <w:t xml:space="preserve">بشأن المادة 5 </w:t>
      </w:r>
      <w:r w:rsidR="00FF06BB" w:rsidRPr="001100CF">
        <w:rPr>
          <w:rFonts w:hint="cs"/>
          <w:b/>
          <w:bCs/>
          <w:rtl/>
        </w:rPr>
        <w:t>و</w:t>
      </w:r>
      <w:r w:rsidRPr="001100CF">
        <w:rPr>
          <w:rFonts w:hint="cs"/>
          <w:b/>
          <w:bCs/>
          <w:rtl/>
        </w:rPr>
        <w:t>اللاجئين والمشردين</w:t>
      </w:r>
      <w:r w:rsidRPr="001100CF">
        <w:rPr>
          <w:rFonts w:hint="cs"/>
          <w:b/>
          <w:bCs/>
          <w:rtl/>
          <w:lang w:val="fr-CH"/>
        </w:rPr>
        <w:t xml:space="preserve">، وتوصي الدولة الطرف بالنظر في تعديل قانون اللجوء </w:t>
      </w:r>
      <w:r w:rsidR="00C604F8" w:rsidRPr="001100CF">
        <w:rPr>
          <w:rFonts w:hint="cs"/>
          <w:b/>
          <w:bCs/>
          <w:rtl/>
          <w:lang w:val="fr-CH"/>
        </w:rPr>
        <w:t>لينص على</w:t>
      </w:r>
      <w:r w:rsidRPr="001100CF">
        <w:rPr>
          <w:rFonts w:hint="cs"/>
          <w:b/>
          <w:bCs/>
          <w:rtl/>
          <w:lang w:val="fr-CH"/>
        </w:rPr>
        <w:t xml:space="preserve"> تيسير تجنُّس اللاجئين وعديمي الجنسية.</w:t>
      </w:r>
    </w:p>
    <w:p w:rsidR="00DE3E9A" w:rsidRDefault="00DE3E9A" w:rsidP="004C27F3">
      <w:pPr>
        <w:pStyle w:val="H1GA"/>
        <w:rPr>
          <w:rFonts w:hint="cs"/>
          <w:rtl/>
          <w:lang w:val="fr-CH"/>
        </w:rPr>
      </w:pPr>
      <w:r>
        <w:rPr>
          <w:rFonts w:hint="cs"/>
          <w:rtl/>
          <w:lang w:val="fr-CH"/>
        </w:rPr>
        <w:tab/>
        <w:t>دال-</w:t>
      </w:r>
      <w:r>
        <w:rPr>
          <w:rFonts w:hint="cs"/>
          <w:rtl/>
          <w:lang w:val="fr-CH"/>
        </w:rPr>
        <w:tab/>
        <w:t>توصيات أخرى</w:t>
      </w:r>
    </w:p>
    <w:p w:rsidR="00DE3E9A" w:rsidRDefault="00DE3E9A" w:rsidP="004C27F3">
      <w:pPr>
        <w:pStyle w:val="H23GA"/>
        <w:rPr>
          <w:rFonts w:hint="cs"/>
          <w:rtl/>
          <w:lang w:val="fr-CH"/>
        </w:rPr>
      </w:pPr>
      <w:r>
        <w:rPr>
          <w:rFonts w:hint="cs"/>
          <w:rtl/>
          <w:lang w:val="fr-CH"/>
        </w:rPr>
        <w:tab/>
      </w:r>
      <w:r>
        <w:rPr>
          <w:rFonts w:hint="cs"/>
          <w:rtl/>
          <w:lang w:val="fr-CH"/>
        </w:rPr>
        <w:tab/>
        <w:t>التصديق على معاهدات أخرى</w:t>
      </w:r>
    </w:p>
    <w:p w:rsidR="00DE3E9A" w:rsidRDefault="00DE3E9A" w:rsidP="00705CD0">
      <w:pPr>
        <w:pStyle w:val="SingleTxtGA"/>
        <w:rPr>
          <w:rFonts w:hint="cs"/>
          <w:rtl/>
          <w:lang w:val="fr-CH"/>
        </w:rPr>
      </w:pPr>
      <w:r>
        <w:rPr>
          <w:rFonts w:hint="cs"/>
          <w:rtl/>
          <w:lang w:val="fr-CH"/>
        </w:rPr>
        <w:t>15-</w:t>
      </w:r>
      <w:r>
        <w:rPr>
          <w:rFonts w:hint="cs"/>
          <w:rtl/>
          <w:lang w:val="fr-CH"/>
        </w:rPr>
        <w:tab/>
      </w:r>
      <w:r>
        <w:rPr>
          <w:rFonts w:hint="cs"/>
          <w:rtl/>
          <w:lang w:bidi="ar"/>
        </w:rPr>
        <w:t>إن اللجنة، إذ تضع في اعتبارها عدم قابلية حقوق الإنسان كافة</w:t>
      </w:r>
      <w:r w:rsidR="00705CD0">
        <w:rPr>
          <w:rFonts w:hint="cs"/>
          <w:rtl/>
          <w:lang w:bidi="ar"/>
        </w:rPr>
        <w:t xml:space="preserve"> للتجزئة</w:t>
      </w:r>
      <w:r>
        <w:rPr>
          <w:rFonts w:hint="cs"/>
          <w:rtl/>
          <w:lang w:bidi="ar"/>
        </w:rPr>
        <w:t>، تشجع الدولة الطرف على النظر في التصديق على المعاهدات الدولية لحقوق الإنسان التي لم تصدق عليها بعد، ولا سيما المعاهدات التي تؤثر أحكامها بصورة مباشرة في موضوع التمييز العنصري</w:t>
      </w:r>
      <w:r w:rsidR="002508A4">
        <w:rPr>
          <w:rFonts w:hint="cs"/>
          <w:rtl/>
          <w:lang w:val="fr-CH"/>
        </w:rPr>
        <w:t>،</w:t>
      </w:r>
      <w:r>
        <w:rPr>
          <w:rFonts w:hint="cs"/>
          <w:rtl/>
          <w:lang w:val="fr-CH"/>
        </w:rPr>
        <w:t xml:space="preserve"> كالاتفاقية الدولية لحماية حقوق جميع العمال المهاجرين وأفراد أسرهم.</w:t>
      </w:r>
    </w:p>
    <w:p w:rsidR="00DE3E9A" w:rsidRDefault="00DE3E9A" w:rsidP="002508A4">
      <w:pPr>
        <w:pStyle w:val="H23GA"/>
        <w:rPr>
          <w:rFonts w:hint="cs"/>
          <w:rtl/>
          <w:lang w:val="fr-CH"/>
        </w:rPr>
      </w:pPr>
      <w:r>
        <w:rPr>
          <w:rFonts w:hint="cs"/>
          <w:rtl/>
          <w:lang w:val="fr-CH"/>
        </w:rPr>
        <w:tab/>
      </w:r>
      <w:r>
        <w:rPr>
          <w:rFonts w:hint="cs"/>
          <w:rtl/>
          <w:lang w:val="fr-CH"/>
        </w:rPr>
        <w:tab/>
        <w:t>متابعة إعلان وبرنامج عمل ديربان</w:t>
      </w:r>
    </w:p>
    <w:p w:rsidR="00DE3E9A" w:rsidRPr="00C46CA8" w:rsidRDefault="00DE3E9A" w:rsidP="00652029">
      <w:pPr>
        <w:pStyle w:val="SingleTxtGA"/>
        <w:rPr>
          <w:rFonts w:hint="cs"/>
          <w:rtl/>
        </w:rPr>
      </w:pPr>
      <w:r>
        <w:rPr>
          <w:rFonts w:hint="cs"/>
          <w:rtl/>
          <w:lang w:val="fr-CH"/>
        </w:rPr>
        <w:t>16-</w:t>
      </w:r>
      <w:r w:rsidR="00AA4453">
        <w:rPr>
          <w:rFonts w:hint="cs"/>
          <w:rtl/>
          <w:lang w:bidi="ar-MA"/>
        </w:rPr>
        <w:tab/>
      </w:r>
      <w:r w:rsidR="007C2A54">
        <w:rPr>
          <w:rFonts w:hint="cs"/>
          <w:rtl/>
          <w:lang w:bidi="ar-MA"/>
        </w:rPr>
        <w:t xml:space="preserve">توصي اللجنة الدولة الطرف، </w:t>
      </w:r>
      <w:r>
        <w:rPr>
          <w:rtl/>
          <w:lang w:bidi="ar-MA"/>
        </w:rPr>
        <w:t xml:space="preserve">في ضوء </w:t>
      </w:r>
      <w:r w:rsidR="007C2A54">
        <w:rPr>
          <w:rFonts w:hint="cs"/>
          <w:rtl/>
          <w:lang w:bidi="ar-MA"/>
        </w:rPr>
        <w:t xml:space="preserve">توصيتها </w:t>
      </w:r>
      <w:r>
        <w:rPr>
          <w:rtl/>
          <w:lang w:bidi="ar-MA"/>
        </w:rPr>
        <w:t>العامة رقم 33</w:t>
      </w:r>
      <w:r w:rsidRPr="0069179D">
        <w:rPr>
          <w:rtl/>
          <w:lang w:bidi="ar-MA"/>
        </w:rPr>
        <w:t xml:space="preserve">(2009) بشأن متابعة مؤتمر استعراض نتائج ديربان، </w:t>
      </w:r>
      <w:r>
        <w:rPr>
          <w:rFonts w:hint="cs"/>
          <w:rtl/>
          <w:lang w:bidi="ar-MA"/>
        </w:rPr>
        <w:t>ب</w:t>
      </w:r>
      <w:r w:rsidRPr="0069179D">
        <w:rPr>
          <w:rtl/>
          <w:lang w:bidi="ar-MA"/>
        </w:rPr>
        <w:t xml:space="preserve">أن </w:t>
      </w:r>
      <w:r w:rsidR="004C41E1">
        <w:rPr>
          <w:rFonts w:hint="cs"/>
          <w:rtl/>
          <w:lang w:bidi="ar-MA"/>
        </w:rPr>
        <w:t xml:space="preserve">تضع موضع التنفيذ </w:t>
      </w:r>
      <w:r w:rsidRPr="0069179D">
        <w:rPr>
          <w:rtl/>
          <w:lang w:bidi="ar-MA"/>
        </w:rPr>
        <w:t>إعلان وبرنامج عمل ديربان ا</w:t>
      </w:r>
      <w:r>
        <w:rPr>
          <w:rFonts w:hint="cs"/>
          <w:rtl/>
          <w:lang w:bidi="ar-MA"/>
        </w:rPr>
        <w:t>ل</w:t>
      </w:r>
      <w:r w:rsidRPr="0069179D">
        <w:rPr>
          <w:rtl/>
          <w:lang w:bidi="ar-MA"/>
        </w:rPr>
        <w:t>لذين اعتمدهما في أيلول/سبتمبر 2001 المؤتمر العالمي لمناهضة العنصرية والتمييز العنصري</w:t>
      </w:r>
      <w:r w:rsidR="00236FEE">
        <w:rPr>
          <w:rtl/>
          <w:lang w:bidi="ar-MA"/>
        </w:rPr>
        <w:t xml:space="preserve"> وكر</w:t>
      </w:r>
      <w:r w:rsidR="00236FEE">
        <w:rPr>
          <w:rFonts w:hint="cs"/>
          <w:rtl/>
          <w:lang w:bidi="ar-MA"/>
        </w:rPr>
        <w:t>ه</w:t>
      </w:r>
      <w:r w:rsidRPr="0069179D">
        <w:rPr>
          <w:rtl/>
          <w:lang w:bidi="ar-MA"/>
        </w:rPr>
        <w:t xml:space="preserve"> الأجانـب ومـا يتصل بذلك من تعصب، مع مراعاة الوثيقة الختامية لمؤتمر استعراض نتائج ديربان، الذي </w:t>
      </w:r>
      <w:r w:rsidR="00652029">
        <w:rPr>
          <w:rtl/>
          <w:lang w:bidi="ar-MA"/>
        </w:rPr>
        <w:t>عقد في جنيف في نيسان/أبريل 2009</w:t>
      </w:r>
      <w:r w:rsidR="00652029">
        <w:rPr>
          <w:rFonts w:hint="cs"/>
          <w:rtl/>
          <w:lang w:bidi="ar-MA"/>
        </w:rPr>
        <w:t>، لدى تنفيذ الاتفاقية في نظامها القانوني المحلي.</w:t>
      </w:r>
      <w:r w:rsidRPr="0069179D">
        <w:rPr>
          <w:rtl/>
          <w:lang w:bidi="ar-MA"/>
        </w:rPr>
        <w:t xml:space="preserve"> </w:t>
      </w:r>
      <w:r w:rsidR="00652029">
        <w:rPr>
          <w:rFonts w:hint="cs"/>
          <w:rtl/>
          <w:lang w:bidi="ar-MA"/>
        </w:rPr>
        <w:t>و</w:t>
      </w:r>
      <w:r w:rsidRPr="0069179D">
        <w:rPr>
          <w:rtl/>
          <w:lang w:bidi="ar-MA"/>
        </w:rPr>
        <w:t xml:space="preserve">تطلب اللجنة </w:t>
      </w:r>
      <w:r>
        <w:rPr>
          <w:rFonts w:hint="cs"/>
          <w:rtl/>
          <w:lang w:bidi="ar-MA"/>
        </w:rPr>
        <w:t>إلى</w:t>
      </w:r>
      <w:r w:rsidRPr="0069179D">
        <w:rPr>
          <w:rtl/>
          <w:lang w:bidi="ar-MA"/>
        </w:rPr>
        <w:t xml:space="preserve"> الدولة الطرف أن تُضمِّن تقريرها الدوري المقبل معلومات محددة بشأن خطط العمل وغيرها من التدابير المتخذة لتنفيذ إعلان وبرنامج عمل ديربان على الصعيد الوطني. </w:t>
      </w:r>
    </w:p>
    <w:p w:rsidR="00DE3E9A" w:rsidRDefault="00DE3E9A" w:rsidP="003E4973">
      <w:pPr>
        <w:pStyle w:val="H23GA"/>
        <w:rPr>
          <w:rFonts w:hint="cs"/>
          <w:rtl/>
          <w:lang w:val="fr-CH"/>
        </w:rPr>
      </w:pPr>
      <w:r>
        <w:rPr>
          <w:rFonts w:hint="cs"/>
          <w:rtl/>
          <w:lang w:val="fr-CH"/>
        </w:rPr>
        <w:tab/>
      </w:r>
      <w:r>
        <w:rPr>
          <w:rFonts w:hint="cs"/>
          <w:rtl/>
          <w:lang w:val="fr-CH"/>
        </w:rPr>
        <w:tab/>
        <w:t xml:space="preserve">النشر </w:t>
      </w:r>
    </w:p>
    <w:p w:rsidR="00DE3E9A" w:rsidRDefault="00DE3E9A" w:rsidP="00381F28">
      <w:pPr>
        <w:pStyle w:val="SingleTxtGA"/>
        <w:rPr>
          <w:rFonts w:hint="cs"/>
          <w:rtl/>
          <w:lang w:val="fr-CH" w:bidi="ar"/>
        </w:rPr>
      </w:pPr>
      <w:r>
        <w:rPr>
          <w:rFonts w:hint="cs"/>
          <w:rtl/>
          <w:lang w:val="fr-CH"/>
        </w:rPr>
        <w:t>17-</w:t>
      </w:r>
      <w:r>
        <w:rPr>
          <w:rFonts w:hint="cs"/>
          <w:rtl/>
          <w:lang w:val="fr-CH"/>
        </w:rPr>
        <w:tab/>
      </w:r>
      <w:r>
        <w:rPr>
          <w:rFonts w:hint="cs"/>
          <w:rtl/>
          <w:lang w:bidi="ar"/>
        </w:rPr>
        <w:t>توصي اللجنة الدولة الطرف بأن تيسّر إتاحة تقاريرها، عند تقديمها، لعامة الجمهور</w:t>
      </w:r>
      <w:r w:rsidR="00F60ABB">
        <w:rPr>
          <w:rFonts w:hint="cs"/>
          <w:rtl/>
          <w:lang w:bidi="ar"/>
        </w:rPr>
        <w:t>،</w:t>
      </w:r>
      <w:r>
        <w:rPr>
          <w:rFonts w:hint="cs"/>
          <w:rtl/>
          <w:lang w:bidi="ar"/>
        </w:rPr>
        <w:t xml:space="preserve"> كما توصيها بنشر ملاحظات اللجنة على هذه التقارير باللغة الرسمية وغيرها من اللغات التي يشيع استخدامها، حسب مقتضى الحال</w:t>
      </w:r>
      <w:r>
        <w:rPr>
          <w:rFonts w:hint="cs"/>
          <w:rtl/>
          <w:lang w:val="fr-CH" w:bidi="ar"/>
        </w:rPr>
        <w:t>.</w:t>
      </w:r>
    </w:p>
    <w:p w:rsidR="00DE3E9A" w:rsidRDefault="00DE3E9A" w:rsidP="003E4973">
      <w:pPr>
        <w:pStyle w:val="H23GA"/>
        <w:rPr>
          <w:rFonts w:hint="cs"/>
          <w:rtl/>
          <w:lang w:val="fr-CH"/>
        </w:rPr>
      </w:pPr>
      <w:r>
        <w:rPr>
          <w:rFonts w:hint="cs"/>
          <w:rtl/>
          <w:lang w:val="fr-CH"/>
        </w:rPr>
        <w:tab/>
      </w:r>
      <w:r>
        <w:rPr>
          <w:rFonts w:hint="cs"/>
          <w:rtl/>
          <w:lang w:val="fr-CH"/>
        </w:rPr>
        <w:tab/>
        <w:t>متابعة الملاحظات الختامية</w:t>
      </w:r>
    </w:p>
    <w:p w:rsidR="00DE3E9A" w:rsidRDefault="00DE3E9A" w:rsidP="003E4973">
      <w:pPr>
        <w:pStyle w:val="SingleTxtGA"/>
        <w:rPr>
          <w:rFonts w:hint="cs"/>
          <w:rtl/>
          <w:lang w:val="fr-CH" w:bidi="ar-MA"/>
        </w:rPr>
      </w:pPr>
      <w:r>
        <w:rPr>
          <w:rFonts w:hint="cs"/>
          <w:rtl/>
          <w:lang w:val="fr-CH"/>
        </w:rPr>
        <w:t>18-</w:t>
      </w:r>
      <w:r>
        <w:rPr>
          <w:rFonts w:hint="cs"/>
          <w:rtl/>
          <w:lang w:val="fr-CH"/>
        </w:rPr>
        <w:tab/>
      </w:r>
      <w:r w:rsidRPr="00EB46AF">
        <w:rPr>
          <w:rtl/>
          <w:lang w:bidi="ar-MA"/>
        </w:rPr>
        <w:t xml:space="preserve">تـطلب اللجنة </w:t>
      </w:r>
      <w:r>
        <w:rPr>
          <w:rFonts w:hint="cs"/>
          <w:rtl/>
          <w:lang w:bidi="ar-MA"/>
        </w:rPr>
        <w:t>إلى</w:t>
      </w:r>
      <w:r w:rsidRPr="00EB46AF">
        <w:rPr>
          <w:rFonts w:hint="cs"/>
          <w:rtl/>
          <w:lang w:bidi="ar-MA"/>
        </w:rPr>
        <w:t xml:space="preserve"> </w:t>
      </w:r>
      <w:r w:rsidRPr="00EB46AF">
        <w:rPr>
          <w:rtl/>
          <w:lang w:bidi="ar-MA"/>
        </w:rPr>
        <w:t xml:space="preserve">الدولة الطرف، عـملاً بالفقرة 1 من المادة 9 من الاتفاقية والمادة 65 من نظامها الداخلي المعدل، أن توافيها في غضون سنة واحدة من اعتماد </w:t>
      </w:r>
      <w:r>
        <w:rPr>
          <w:rFonts w:hint="cs"/>
          <w:rtl/>
          <w:lang w:bidi="ar-MA"/>
        </w:rPr>
        <w:t xml:space="preserve">هذه </w:t>
      </w:r>
      <w:r w:rsidRPr="00EB46AF">
        <w:rPr>
          <w:rtl/>
          <w:lang w:bidi="ar-MA"/>
        </w:rPr>
        <w:t>الملاحظات الختامية بمعلومات عن متابعتها للتوصيات المدرجة في الفقر</w:t>
      </w:r>
      <w:r>
        <w:rPr>
          <w:rFonts w:hint="cs"/>
          <w:rtl/>
          <w:lang w:val="fr-CH" w:bidi="ar-MA"/>
        </w:rPr>
        <w:t>تين 10 و12 أعلاه.</w:t>
      </w:r>
    </w:p>
    <w:p w:rsidR="00381F28" w:rsidRDefault="00381F28" w:rsidP="003E4973">
      <w:pPr>
        <w:pStyle w:val="SingleTxtGA"/>
        <w:rPr>
          <w:rFonts w:hint="cs"/>
          <w:rtl/>
          <w:lang w:val="fr-CH" w:bidi="ar-MA"/>
        </w:rPr>
      </w:pPr>
    </w:p>
    <w:p w:rsidR="00DE3E9A" w:rsidRDefault="00381F28" w:rsidP="00381F28">
      <w:pPr>
        <w:pStyle w:val="H23GA"/>
        <w:rPr>
          <w:rFonts w:hint="cs"/>
          <w:rtl/>
        </w:rPr>
      </w:pPr>
      <w:r>
        <w:rPr>
          <w:rFonts w:hint="cs"/>
          <w:rtl/>
        </w:rPr>
        <w:tab/>
      </w:r>
      <w:r>
        <w:rPr>
          <w:rFonts w:hint="cs"/>
          <w:rtl/>
        </w:rPr>
        <w:tab/>
      </w:r>
      <w:r w:rsidR="00DE3E9A">
        <w:rPr>
          <w:rFonts w:hint="cs"/>
          <w:rtl/>
        </w:rPr>
        <w:t>فقرات ذات أهمية خاصة</w:t>
      </w:r>
    </w:p>
    <w:p w:rsidR="00DE3E9A" w:rsidRDefault="00DE3E9A" w:rsidP="00211D96">
      <w:pPr>
        <w:pStyle w:val="SingleTxtGA"/>
        <w:rPr>
          <w:rFonts w:hint="cs"/>
          <w:rtl/>
          <w:lang w:bidi="ar-MA"/>
        </w:rPr>
      </w:pPr>
      <w:r>
        <w:rPr>
          <w:rFonts w:hint="cs"/>
          <w:rtl/>
        </w:rPr>
        <w:t>19</w:t>
      </w:r>
      <w:r w:rsidRPr="00EB46AF">
        <w:rPr>
          <w:spacing w:val="-2"/>
          <w:rtl/>
        </w:rPr>
        <w:t>-</w:t>
      </w:r>
      <w:r w:rsidR="00211D96">
        <w:rPr>
          <w:rFonts w:hint="cs"/>
          <w:rtl/>
          <w:lang w:bidi="ar-MA"/>
        </w:rPr>
        <w:tab/>
      </w:r>
      <w:r w:rsidRPr="0069179D">
        <w:rPr>
          <w:rtl/>
          <w:lang w:bidi="ar-MA"/>
        </w:rPr>
        <w:t xml:space="preserve">تود اللجنة </w:t>
      </w:r>
      <w:r>
        <w:rPr>
          <w:rFonts w:hint="cs"/>
          <w:rtl/>
          <w:lang w:bidi="ar-MA"/>
        </w:rPr>
        <w:t xml:space="preserve">أيضاً </w:t>
      </w:r>
      <w:r w:rsidRPr="0069179D">
        <w:rPr>
          <w:rtl/>
          <w:lang w:bidi="ar-MA"/>
        </w:rPr>
        <w:t>أن ت</w:t>
      </w:r>
      <w:r>
        <w:rPr>
          <w:rFonts w:hint="cs"/>
          <w:rtl/>
          <w:lang w:bidi="ar-MA"/>
        </w:rPr>
        <w:t xml:space="preserve">وجه </w:t>
      </w:r>
      <w:r w:rsidRPr="0069179D">
        <w:rPr>
          <w:rtl/>
          <w:lang w:bidi="ar-MA"/>
        </w:rPr>
        <w:t>انتباه الدولة الطرف إلى الأهمية الخاصة للتو</w:t>
      </w:r>
      <w:r>
        <w:rPr>
          <w:rtl/>
          <w:lang w:bidi="ar-MA"/>
        </w:rPr>
        <w:t xml:space="preserve">صيات الواردة في </w:t>
      </w:r>
      <w:r w:rsidR="00211D96">
        <w:rPr>
          <w:rFonts w:hint="cs"/>
          <w:rtl/>
          <w:lang w:bidi="ar-MA"/>
        </w:rPr>
        <w:t>الفقرات</w:t>
      </w:r>
      <w:r>
        <w:rPr>
          <w:rFonts w:hint="cs"/>
          <w:rtl/>
          <w:lang w:bidi="ar-MA"/>
        </w:rPr>
        <w:t xml:space="preserve"> 9</w:t>
      </w:r>
      <w:r>
        <w:rPr>
          <w:rtl/>
          <w:lang w:bidi="ar-MA"/>
        </w:rPr>
        <w:t xml:space="preserve"> </w:t>
      </w:r>
      <w:r>
        <w:rPr>
          <w:rFonts w:hint="cs"/>
          <w:rtl/>
          <w:lang w:bidi="ar-MA"/>
        </w:rPr>
        <w:t>و</w:t>
      </w:r>
      <w:r>
        <w:rPr>
          <w:rtl/>
          <w:lang w:bidi="ar-MA"/>
        </w:rPr>
        <w:t>11 و13</w:t>
      </w:r>
      <w:r w:rsidRPr="0069179D">
        <w:rPr>
          <w:rtl/>
          <w:lang w:bidi="ar-MA"/>
        </w:rPr>
        <w:t xml:space="preserve"> وتطلب </w:t>
      </w:r>
      <w:r>
        <w:rPr>
          <w:rFonts w:hint="cs"/>
          <w:rtl/>
          <w:lang w:bidi="ar-MA"/>
        </w:rPr>
        <w:t>إليها</w:t>
      </w:r>
      <w:r w:rsidRPr="0069179D">
        <w:rPr>
          <w:rtl/>
          <w:lang w:bidi="ar-MA"/>
        </w:rPr>
        <w:t xml:space="preserve"> أن تقدم في تقريرها الدوري المقبل معلومات مفصلة عن </w:t>
      </w:r>
      <w:r>
        <w:rPr>
          <w:rFonts w:hint="cs"/>
          <w:rtl/>
          <w:lang w:bidi="ar-MA"/>
        </w:rPr>
        <w:t>ال</w:t>
      </w:r>
      <w:r w:rsidRPr="0069179D">
        <w:rPr>
          <w:rtl/>
          <w:lang w:bidi="ar-MA"/>
        </w:rPr>
        <w:t xml:space="preserve">تدابير </w:t>
      </w:r>
      <w:r>
        <w:rPr>
          <w:rFonts w:hint="cs"/>
          <w:rtl/>
          <w:lang w:bidi="ar-MA"/>
        </w:rPr>
        <w:t>ال</w:t>
      </w:r>
      <w:r w:rsidRPr="0069179D">
        <w:rPr>
          <w:rtl/>
          <w:lang w:bidi="ar-MA"/>
        </w:rPr>
        <w:t>ملموسة</w:t>
      </w:r>
      <w:r>
        <w:rPr>
          <w:rFonts w:hint="cs"/>
          <w:rtl/>
          <w:lang w:bidi="ar-MA"/>
        </w:rPr>
        <w:t xml:space="preserve"> المتخذة</w:t>
      </w:r>
      <w:r w:rsidRPr="0069179D">
        <w:rPr>
          <w:rtl/>
          <w:lang w:bidi="ar-MA"/>
        </w:rPr>
        <w:t xml:space="preserve"> لتنفيذ هذه التوصيات</w:t>
      </w:r>
      <w:r>
        <w:rPr>
          <w:rFonts w:hint="cs"/>
          <w:rtl/>
          <w:lang w:bidi="ar-MA"/>
        </w:rPr>
        <w:t>.</w:t>
      </w:r>
    </w:p>
    <w:p w:rsidR="00E31D39" w:rsidRDefault="00E31D39" w:rsidP="00E31D39">
      <w:pPr>
        <w:pStyle w:val="H23GA"/>
        <w:rPr>
          <w:rFonts w:hint="cs"/>
          <w:rtl/>
          <w:lang w:bidi="ar-MA"/>
        </w:rPr>
      </w:pPr>
      <w:r>
        <w:rPr>
          <w:rFonts w:hint="cs"/>
          <w:rtl/>
          <w:lang w:bidi="ar-MA"/>
        </w:rPr>
        <w:tab/>
      </w:r>
      <w:r>
        <w:rPr>
          <w:rFonts w:hint="cs"/>
          <w:rtl/>
          <w:lang w:bidi="ar-MA"/>
        </w:rPr>
        <w:tab/>
        <w:t>إعداد التقرير الدوري المقبل</w:t>
      </w:r>
    </w:p>
    <w:p w:rsidR="00DE3E9A" w:rsidRPr="0069179D" w:rsidRDefault="00E31D39" w:rsidP="00687AC8">
      <w:pPr>
        <w:pStyle w:val="SingleTxtGA"/>
        <w:rPr>
          <w:rtl/>
        </w:rPr>
      </w:pPr>
      <w:r>
        <w:rPr>
          <w:rFonts w:hint="cs"/>
          <w:rtl/>
          <w:lang w:bidi="ar-MA"/>
        </w:rPr>
        <w:t>20-</w:t>
      </w:r>
      <w:r>
        <w:rPr>
          <w:rFonts w:hint="cs"/>
          <w:rtl/>
          <w:lang w:bidi="ar-MA"/>
        </w:rPr>
        <w:tab/>
      </w:r>
      <w:r w:rsidR="00DE3E9A">
        <w:rPr>
          <w:rtl/>
          <w:lang w:bidi="ar-MA"/>
        </w:rPr>
        <w:t xml:space="preserve">وتوصي اللجنة </w:t>
      </w:r>
      <w:r w:rsidR="00DE3E9A" w:rsidRPr="0069179D">
        <w:rPr>
          <w:rtl/>
          <w:lang w:bidi="ar-MA"/>
        </w:rPr>
        <w:t>الدولة الطرف بأن تقدم تقرير</w:t>
      </w:r>
      <w:r w:rsidR="00DE3E9A">
        <w:rPr>
          <w:rFonts w:hint="cs"/>
          <w:rtl/>
          <w:lang w:bidi="ar-MA"/>
        </w:rPr>
        <w:t>ي</w:t>
      </w:r>
      <w:r w:rsidR="00DE3E9A" w:rsidRPr="0069179D">
        <w:rPr>
          <w:rtl/>
          <w:lang w:bidi="ar-MA"/>
        </w:rPr>
        <w:t>ها الدوري</w:t>
      </w:r>
      <w:r w:rsidR="00DE3E9A">
        <w:rPr>
          <w:rFonts w:hint="cs"/>
          <w:rtl/>
          <w:lang w:bidi="ar-MA"/>
        </w:rPr>
        <w:t>ين</w:t>
      </w:r>
      <w:r w:rsidR="00DE3E9A" w:rsidRPr="0069179D">
        <w:rPr>
          <w:rtl/>
          <w:lang w:bidi="ar-MA"/>
        </w:rPr>
        <w:t xml:space="preserve"> </w:t>
      </w:r>
      <w:r w:rsidR="00DE3E9A">
        <w:rPr>
          <w:rFonts w:hint="cs"/>
          <w:rtl/>
          <w:lang w:bidi="ar-MA"/>
        </w:rPr>
        <w:t>السابع والثامن</w:t>
      </w:r>
      <w:r w:rsidR="00DE3E9A" w:rsidRPr="0069179D">
        <w:rPr>
          <w:rtl/>
          <w:lang w:bidi="ar-MA"/>
        </w:rPr>
        <w:t xml:space="preserve"> في وثيقةٍ واحدة </w:t>
      </w:r>
      <w:r w:rsidR="00DE3E9A">
        <w:rPr>
          <w:rFonts w:hint="cs"/>
          <w:rtl/>
          <w:lang w:bidi="ar-MA"/>
        </w:rPr>
        <w:t>بحلول 10 شباط/فبراير 2016</w:t>
      </w:r>
      <w:r w:rsidR="00DE3E9A" w:rsidRPr="0069179D">
        <w:rPr>
          <w:rtl/>
          <w:lang w:bidi="ar-MA"/>
        </w:rPr>
        <w:t xml:space="preserve">، </w:t>
      </w:r>
      <w:r w:rsidR="00570795">
        <w:rPr>
          <w:rFonts w:hint="cs"/>
          <w:rtl/>
          <w:lang w:bidi="ar-MA"/>
        </w:rPr>
        <w:t xml:space="preserve">مراعية </w:t>
      </w:r>
      <w:r w:rsidR="00DE3E9A" w:rsidRPr="0069179D">
        <w:rPr>
          <w:rtl/>
          <w:lang w:bidi="ar-MA"/>
        </w:rPr>
        <w:t xml:space="preserve">المبادئ التوجيهية </w:t>
      </w:r>
      <w:r w:rsidR="00C045B1">
        <w:rPr>
          <w:rFonts w:hint="cs"/>
          <w:rtl/>
          <w:lang w:bidi="ar-MA"/>
        </w:rPr>
        <w:t xml:space="preserve">المحددة </w:t>
      </w:r>
      <w:r w:rsidR="00DE3E9A" w:rsidRPr="0069179D">
        <w:rPr>
          <w:rtl/>
          <w:lang w:bidi="ar-MA"/>
        </w:rPr>
        <w:t>التي اعتمدتها اللجنة في دورتها الحادية والسبعين (</w:t>
      </w:r>
      <w:r w:rsidR="00DE3E9A" w:rsidRPr="0069179D">
        <w:rPr>
          <w:lang w:bidi="ar-MA"/>
        </w:rPr>
        <w:t>CERD/C/2007/1</w:t>
      </w:r>
      <w:r w:rsidR="002A37C7">
        <w:rPr>
          <w:rtl/>
          <w:lang w:bidi="ar-MA"/>
        </w:rPr>
        <w:t>)، و</w:t>
      </w:r>
      <w:r w:rsidR="002A37C7">
        <w:rPr>
          <w:rFonts w:hint="cs"/>
          <w:rtl/>
          <w:lang w:bidi="ar-MA"/>
        </w:rPr>
        <w:t>بأ</w:t>
      </w:r>
      <w:r w:rsidR="00DE3E9A" w:rsidRPr="0069179D">
        <w:rPr>
          <w:rtl/>
          <w:lang w:bidi="ar-MA"/>
        </w:rPr>
        <w:t xml:space="preserve">ن </w:t>
      </w:r>
      <w:r w:rsidR="002A37C7">
        <w:rPr>
          <w:rFonts w:hint="cs"/>
          <w:rtl/>
          <w:lang w:bidi="ar-MA"/>
        </w:rPr>
        <w:t xml:space="preserve">تتناول </w:t>
      </w:r>
      <w:r w:rsidR="00DE3E9A" w:rsidRPr="0069179D">
        <w:rPr>
          <w:rtl/>
          <w:lang w:bidi="ar-MA"/>
        </w:rPr>
        <w:t xml:space="preserve">في </w:t>
      </w:r>
      <w:r w:rsidR="00DE3E9A">
        <w:rPr>
          <w:rFonts w:hint="cs"/>
          <w:rtl/>
          <w:lang w:bidi="ar-MA"/>
        </w:rPr>
        <w:t>هذه</w:t>
      </w:r>
      <w:r w:rsidR="00DE3E9A" w:rsidRPr="0069179D">
        <w:rPr>
          <w:rtl/>
          <w:lang w:bidi="ar-MA"/>
        </w:rPr>
        <w:t xml:space="preserve"> الوثيقة جميع النقاط التي أُثيرت في هذه الملاحظات الختامية.</w:t>
      </w:r>
      <w:r w:rsidR="00DE3E9A">
        <w:rPr>
          <w:rFonts w:hint="cs"/>
          <w:color w:val="000000"/>
          <w:rtl/>
        </w:rPr>
        <w:t xml:space="preserve"> </w:t>
      </w:r>
      <w:r w:rsidR="00DE3E9A">
        <w:rPr>
          <w:rFonts w:hint="cs"/>
          <w:color w:val="000000"/>
          <w:rtl/>
          <w:lang w:bidi="ar-MA"/>
        </w:rPr>
        <w:t>وتوصي</w:t>
      </w:r>
      <w:r w:rsidR="00DE3E9A" w:rsidRPr="0069179D">
        <w:rPr>
          <w:color w:val="000000"/>
          <w:rtl/>
          <w:lang w:bidi="ar-MA"/>
        </w:rPr>
        <w:t xml:space="preserve"> اللجنة الدولة الطرف أيضا</w:t>
      </w:r>
      <w:r w:rsidR="00DE3E9A">
        <w:rPr>
          <w:rFonts w:hint="cs"/>
          <w:color w:val="000000"/>
          <w:rtl/>
          <w:lang w:bidi="ar-MA"/>
        </w:rPr>
        <w:t>ً</w:t>
      </w:r>
      <w:r w:rsidR="00DE3E9A" w:rsidRPr="0069179D">
        <w:rPr>
          <w:color w:val="000000"/>
          <w:rtl/>
          <w:lang w:bidi="ar-MA"/>
        </w:rPr>
        <w:t xml:space="preserve"> </w:t>
      </w:r>
      <w:r w:rsidR="00DE3E9A">
        <w:rPr>
          <w:rFonts w:hint="cs"/>
          <w:color w:val="000000"/>
          <w:rtl/>
          <w:lang w:bidi="ar-MA"/>
        </w:rPr>
        <w:t xml:space="preserve">بمواصلة </w:t>
      </w:r>
      <w:r w:rsidR="00687AC8">
        <w:rPr>
          <w:rFonts w:hint="cs"/>
          <w:color w:val="000000"/>
          <w:rtl/>
          <w:lang w:bidi="ar-MA"/>
        </w:rPr>
        <w:t>مراعاة</w:t>
      </w:r>
      <w:r w:rsidR="00DE3E9A" w:rsidRPr="0069179D">
        <w:rPr>
          <w:color w:val="000000"/>
          <w:rtl/>
          <w:lang w:bidi="ar-MA"/>
        </w:rPr>
        <w:t xml:space="preserve"> اقتصار التقارير الموجهة لهيئات المعاهدات على 40 صفحة و</w:t>
      </w:r>
      <w:r w:rsidR="00DE3E9A">
        <w:rPr>
          <w:rFonts w:hint="cs"/>
          <w:color w:val="000000"/>
          <w:rtl/>
          <w:lang w:bidi="ar-MA"/>
        </w:rPr>
        <w:t xml:space="preserve">عدم </w:t>
      </w:r>
      <w:r w:rsidR="00DE3E9A" w:rsidRPr="0069179D">
        <w:rPr>
          <w:color w:val="000000"/>
          <w:rtl/>
          <w:lang w:bidi="ar-MA"/>
        </w:rPr>
        <w:t>تجاوز الوثيقة الأساسية المشتركة ما بين60 و80 صفحة (</w:t>
      </w:r>
      <w:r w:rsidR="00DE3E9A" w:rsidRPr="0069179D">
        <w:rPr>
          <w:color w:val="000000"/>
          <w:lang w:bidi="ar-MA"/>
        </w:rPr>
        <w:t>HRI/GEN.2/Rev.6</w:t>
      </w:r>
      <w:r w:rsidR="00DE3E9A" w:rsidRPr="0069179D">
        <w:rPr>
          <w:color w:val="000000"/>
          <w:rtl/>
          <w:lang w:bidi="ar-MA"/>
        </w:rPr>
        <w:t xml:space="preserve">، </w:t>
      </w:r>
      <w:r w:rsidR="00DE3E9A">
        <w:rPr>
          <w:rFonts w:hint="cs"/>
          <w:color w:val="000000"/>
          <w:rtl/>
        </w:rPr>
        <w:t xml:space="preserve">الفصل الأول، </w:t>
      </w:r>
      <w:r w:rsidR="00DE3E9A" w:rsidRPr="0069179D">
        <w:rPr>
          <w:color w:val="000000"/>
          <w:rtl/>
          <w:lang w:bidi="ar-MA"/>
        </w:rPr>
        <w:t>الفقرة 19).</w:t>
      </w:r>
    </w:p>
    <w:p w:rsidR="008B4BC6" w:rsidRPr="001B0081" w:rsidRDefault="001B0081" w:rsidP="001B0081">
      <w:pPr>
        <w:spacing w:before="120"/>
        <w:jc w:val="center"/>
        <w:rPr>
          <w:rFonts w:hint="cs"/>
          <w:u w:val="single"/>
          <w:rtl/>
        </w:rPr>
      </w:pPr>
      <w:r>
        <w:rPr>
          <w:u w:val="single"/>
          <w:rtl/>
        </w:rPr>
        <w:tab/>
      </w:r>
      <w:r>
        <w:rPr>
          <w:u w:val="single"/>
          <w:rtl/>
        </w:rPr>
        <w:tab/>
      </w:r>
      <w:r>
        <w:rPr>
          <w:u w:val="single"/>
          <w:rtl/>
        </w:rPr>
        <w:tab/>
      </w:r>
    </w:p>
    <w:sectPr w:rsidR="008B4BC6" w:rsidRPr="001B008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32F" w:rsidRPr="00FE6865" w:rsidRDefault="0055032F" w:rsidP="00FE6865">
      <w:pPr>
        <w:pStyle w:val="Footer"/>
      </w:pPr>
    </w:p>
  </w:endnote>
  <w:endnote w:type="continuationSeparator" w:id="0">
    <w:p w:rsidR="0055032F" w:rsidRDefault="00550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88B" w:rsidRPr="0095488B" w:rsidRDefault="0095488B" w:rsidP="0095488B">
    <w:pPr>
      <w:pStyle w:val="Footer"/>
      <w:tabs>
        <w:tab w:val="right" w:pos="9598"/>
      </w:tabs>
    </w:pPr>
    <w:r>
      <w:t>GE.12-46858</w:t>
    </w:r>
    <w:r>
      <w:tab/>
    </w:r>
    <w:r w:rsidRPr="0095488B">
      <w:rPr>
        <w:b/>
        <w:sz w:val="18"/>
      </w:rPr>
      <w:fldChar w:fldCharType="begin"/>
    </w:r>
    <w:r w:rsidRPr="0095488B">
      <w:rPr>
        <w:b/>
        <w:sz w:val="18"/>
      </w:rPr>
      <w:instrText xml:space="preserve"> PAGE  \* MERGEFORMAT </w:instrText>
    </w:r>
    <w:r w:rsidRPr="0095488B">
      <w:rPr>
        <w:b/>
        <w:sz w:val="18"/>
      </w:rPr>
      <w:fldChar w:fldCharType="separate"/>
    </w:r>
    <w:r w:rsidR="009E30D1">
      <w:rPr>
        <w:b/>
        <w:noProof/>
        <w:sz w:val="18"/>
      </w:rPr>
      <w:t>4</w:t>
    </w:r>
    <w:r w:rsidRPr="009548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88B" w:rsidRPr="0095488B" w:rsidRDefault="0095488B" w:rsidP="0095488B">
    <w:pPr>
      <w:pStyle w:val="Footer"/>
      <w:tabs>
        <w:tab w:val="right" w:pos="9598"/>
      </w:tabs>
      <w:rPr>
        <w:b/>
        <w:sz w:val="18"/>
      </w:rPr>
    </w:pPr>
    <w:r w:rsidRPr="0095488B">
      <w:rPr>
        <w:b/>
        <w:sz w:val="18"/>
      </w:rPr>
      <w:fldChar w:fldCharType="begin"/>
    </w:r>
    <w:r w:rsidRPr="0095488B">
      <w:rPr>
        <w:b/>
        <w:sz w:val="18"/>
      </w:rPr>
      <w:instrText xml:space="preserve"> PAGE  \* MERGEFORMAT </w:instrText>
    </w:r>
    <w:r w:rsidRPr="0095488B">
      <w:rPr>
        <w:b/>
        <w:sz w:val="18"/>
      </w:rPr>
      <w:fldChar w:fldCharType="separate"/>
    </w:r>
    <w:r w:rsidR="009E30D1">
      <w:rPr>
        <w:b/>
        <w:noProof/>
        <w:sz w:val="18"/>
      </w:rPr>
      <w:t>5</w:t>
    </w:r>
    <w:r w:rsidRPr="0095488B">
      <w:rPr>
        <w:b/>
        <w:sz w:val="18"/>
      </w:rPr>
      <w:fldChar w:fldCharType="end"/>
    </w:r>
    <w:r>
      <w:rPr>
        <w:b/>
        <w:sz w:val="18"/>
      </w:rPr>
      <w:tab/>
    </w:r>
    <w:r>
      <w:t>GE.12-46858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4FB" w:rsidRDefault="0095488B" w:rsidP="005C3215">
    <w:pPr>
      <w:pStyle w:val="Footer"/>
      <w:jc w:val="right"/>
    </w:pPr>
    <w:r>
      <w:rPr>
        <w:sz w:val="20"/>
      </w:rPr>
      <w:t>(A)   GE.12-4685</w:t>
    </w:r>
    <w:r w:rsidR="005C3215">
      <w:rPr>
        <w:sz w:val="20"/>
      </w:rPr>
      <w:t>8    091112    131112</w:t>
    </w:r>
    <w:r w:rsidR="00C174F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32F" w:rsidRDefault="0055032F" w:rsidP="00300142">
      <w:pPr>
        <w:pStyle w:val="Footer"/>
        <w:bidi/>
        <w:spacing w:after="80" w:line="200" w:lineRule="exact"/>
        <w:ind w:left="680"/>
      </w:pPr>
      <w:r>
        <w:rPr>
          <w:rFonts w:hint="cs"/>
          <w:rtl/>
        </w:rPr>
        <w:t>__________</w:t>
      </w:r>
    </w:p>
  </w:footnote>
  <w:footnote w:type="continuationSeparator" w:id="0">
    <w:p w:rsidR="0055032F" w:rsidRDefault="0055032F"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88B" w:rsidRPr="0095488B" w:rsidRDefault="0095488B" w:rsidP="0095488B">
    <w:pPr>
      <w:pStyle w:val="Header"/>
      <w:jc w:val="right"/>
    </w:pPr>
    <w:r w:rsidRPr="0095488B">
      <w:t>CERD/C/LIE/CO/4-6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4FB" w:rsidRPr="0095488B" w:rsidRDefault="0095488B" w:rsidP="0095488B">
    <w:pPr>
      <w:pStyle w:val="Header"/>
      <w:jc w:val="left"/>
    </w:pPr>
    <w:r w:rsidRPr="0095488B">
      <w:t>CERD/C/LIE/CO/4-6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4FB" w:rsidRDefault="00C174F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C174FB" w:rsidRPr="00A85A54" w:rsidRDefault="00C174FB"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4FB"/>
    <w:rsid w:val="000057EB"/>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00CF"/>
    <w:rsid w:val="00113FA5"/>
    <w:rsid w:val="001218F1"/>
    <w:rsid w:val="00137D3D"/>
    <w:rsid w:val="0014324C"/>
    <w:rsid w:val="001455A0"/>
    <w:rsid w:val="001602A3"/>
    <w:rsid w:val="00160C3C"/>
    <w:rsid w:val="00173584"/>
    <w:rsid w:val="001A5161"/>
    <w:rsid w:val="001A60BD"/>
    <w:rsid w:val="001B0081"/>
    <w:rsid w:val="001D6DD6"/>
    <w:rsid w:val="001F7AE5"/>
    <w:rsid w:val="00211D96"/>
    <w:rsid w:val="00232277"/>
    <w:rsid w:val="00236FEE"/>
    <w:rsid w:val="0023736D"/>
    <w:rsid w:val="002508A4"/>
    <w:rsid w:val="00257225"/>
    <w:rsid w:val="00274FB5"/>
    <w:rsid w:val="002A37C7"/>
    <w:rsid w:val="00300142"/>
    <w:rsid w:val="0030670D"/>
    <w:rsid w:val="00310160"/>
    <w:rsid w:val="00341A8C"/>
    <w:rsid w:val="003519E6"/>
    <w:rsid w:val="00355F81"/>
    <w:rsid w:val="00381DDF"/>
    <w:rsid w:val="00381F28"/>
    <w:rsid w:val="003A0805"/>
    <w:rsid w:val="003B4356"/>
    <w:rsid w:val="003E4973"/>
    <w:rsid w:val="003F08A8"/>
    <w:rsid w:val="004155B9"/>
    <w:rsid w:val="004250E3"/>
    <w:rsid w:val="00450332"/>
    <w:rsid w:val="00453710"/>
    <w:rsid w:val="00472A81"/>
    <w:rsid w:val="004A20A6"/>
    <w:rsid w:val="004B2C92"/>
    <w:rsid w:val="004C27F3"/>
    <w:rsid w:val="004C3255"/>
    <w:rsid w:val="004C41E1"/>
    <w:rsid w:val="004C5F38"/>
    <w:rsid w:val="004D6A3A"/>
    <w:rsid w:val="004F4AD7"/>
    <w:rsid w:val="00526F49"/>
    <w:rsid w:val="00543BB8"/>
    <w:rsid w:val="0054755A"/>
    <w:rsid w:val="0055032F"/>
    <w:rsid w:val="00557CD3"/>
    <w:rsid w:val="00570795"/>
    <w:rsid w:val="00571432"/>
    <w:rsid w:val="005732A2"/>
    <w:rsid w:val="005762A5"/>
    <w:rsid w:val="00590BA3"/>
    <w:rsid w:val="005B0390"/>
    <w:rsid w:val="005B46D9"/>
    <w:rsid w:val="005B7AE0"/>
    <w:rsid w:val="005C3215"/>
    <w:rsid w:val="005C67F1"/>
    <w:rsid w:val="005E23F5"/>
    <w:rsid w:val="005F146F"/>
    <w:rsid w:val="005F71B6"/>
    <w:rsid w:val="00626E56"/>
    <w:rsid w:val="00652029"/>
    <w:rsid w:val="00654786"/>
    <w:rsid w:val="00660FD4"/>
    <w:rsid w:val="00665BE4"/>
    <w:rsid w:val="00687AC8"/>
    <w:rsid w:val="006A4425"/>
    <w:rsid w:val="006B00A4"/>
    <w:rsid w:val="006B4669"/>
    <w:rsid w:val="006D3CFA"/>
    <w:rsid w:val="006F6BF8"/>
    <w:rsid w:val="00705CD0"/>
    <w:rsid w:val="00707BDF"/>
    <w:rsid w:val="00710727"/>
    <w:rsid w:val="00715F45"/>
    <w:rsid w:val="00717122"/>
    <w:rsid w:val="00731815"/>
    <w:rsid w:val="00731B84"/>
    <w:rsid w:val="00734AE7"/>
    <w:rsid w:val="00774680"/>
    <w:rsid w:val="0079344E"/>
    <w:rsid w:val="007A3E78"/>
    <w:rsid w:val="007C03B9"/>
    <w:rsid w:val="007C2A54"/>
    <w:rsid w:val="007C7D91"/>
    <w:rsid w:val="007E197F"/>
    <w:rsid w:val="007F68C4"/>
    <w:rsid w:val="008153DE"/>
    <w:rsid w:val="00852A10"/>
    <w:rsid w:val="00862634"/>
    <w:rsid w:val="00866C59"/>
    <w:rsid w:val="00877306"/>
    <w:rsid w:val="00885524"/>
    <w:rsid w:val="008A6242"/>
    <w:rsid w:val="008B4BC6"/>
    <w:rsid w:val="008D3482"/>
    <w:rsid w:val="008E6691"/>
    <w:rsid w:val="008F6743"/>
    <w:rsid w:val="00901E57"/>
    <w:rsid w:val="009070DF"/>
    <w:rsid w:val="00935F0E"/>
    <w:rsid w:val="00945899"/>
    <w:rsid w:val="0095208F"/>
    <w:rsid w:val="0095488B"/>
    <w:rsid w:val="009627A9"/>
    <w:rsid w:val="0097700C"/>
    <w:rsid w:val="00977B3F"/>
    <w:rsid w:val="009814AE"/>
    <w:rsid w:val="009901D3"/>
    <w:rsid w:val="00996BBE"/>
    <w:rsid w:val="009B2C03"/>
    <w:rsid w:val="009B65E1"/>
    <w:rsid w:val="009C66D4"/>
    <w:rsid w:val="009D17B9"/>
    <w:rsid w:val="009D1DD5"/>
    <w:rsid w:val="009E30D1"/>
    <w:rsid w:val="009F722C"/>
    <w:rsid w:val="00A26157"/>
    <w:rsid w:val="00A265C3"/>
    <w:rsid w:val="00A43F9A"/>
    <w:rsid w:val="00A53F38"/>
    <w:rsid w:val="00A543D4"/>
    <w:rsid w:val="00A85A54"/>
    <w:rsid w:val="00AA4453"/>
    <w:rsid w:val="00AD0014"/>
    <w:rsid w:val="00AD4CF2"/>
    <w:rsid w:val="00AF0BBA"/>
    <w:rsid w:val="00AF5F4A"/>
    <w:rsid w:val="00B25159"/>
    <w:rsid w:val="00B30468"/>
    <w:rsid w:val="00B44E31"/>
    <w:rsid w:val="00B54E49"/>
    <w:rsid w:val="00B74E44"/>
    <w:rsid w:val="00B91A20"/>
    <w:rsid w:val="00BA4F7E"/>
    <w:rsid w:val="00BB2C41"/>
    <w:rsid w:val="00BC55C8"/>
    <w:rsid w:val="00BC5C10"/>
    <w:rsid w:val="00BE2964"/>
    <w:rsid w:val="00BE46C9"/>
    <w:rsid w:val="00C045B1"/>
    <w:rsid w:val="00C174FB"/>
    <w:rsid w:val="00C21623"/>
    <w:rsid w:val="00C24FBD"/>
    <w:rsid w:val="00C473BA"/>
    <w:rsid w:val="00C604F8"/>
    <w:rsid w:val="00C611ED"/>
    <w:rsid w:val="00C6490A"/>
    <w:rsid w:val="00C64FE1"/>
    <w:rsid w:val="00C726D2"/>
    <w:rsid w:val="00C74296"/>
    <w:rsid w:val="00C8345E"/>
    <w:rsid w:val="00C91ABC"/>
    <w:rsid w:val="00C94A09"/>
    <w:rsid w:val="00CA5F7C"/>
    <w:rsid w:val="00CB2B95"/>
    <w:rsid w:val="00D03AAC"/>
    <w:rsid w:val="00D03E87"/>
    <w:rsid w:val="00D06755"/>
    <w:rsid w:val="00D51067"/>
    <w:rsid w:val="00D75657"/>
    <w:rsid w:val="00D960AD"/>
    <w:rsid w:val="00DA0E0E"/>
    <w:rsid w:val="00DB0885"/>
    <w:rsid w:val="00DB0C39"/>
    <w:rsid w:val="00DB6647"/>
    <w:rsid w:val="00DB7679"/>
    <w:rsid w:val="00DC5058"/>
    <w:rsid w:val="00DE3E9A"/>
    <w:rsid w:val="00DF1702"/>
    <w:rsid w:val="00DF4DD8"/>
    <w:rsid w:val="00DF668E"/>
    <w:rsid w:val="00E04826"/>
    <w:rsid w:val="00E14D2B"/>
    <w:rsid w:val="00E20DBA"/>
    <w:rsid w:val="00E31D39"/>
    <w:rsid w:val="00E33F77"/>
    <w:rsid w:val="00E6524A"/>
    <w:rsid w:val="00E660D6"/>
    <w:rsid w:val="00E771AB"/>
    <w:rsid w:val="00E96AC9"/>
    <w:rsid w:val="00EA796F"/>
    <w:rsid w:val="00EB077B"/>
    <w:rsid w:val="00EB63BB"/>
    <w:rsid w:val="00EC50B9"/>
    <w:rsid w:val="00ED26A0"/>
    <w:rsid w:val="00F1727A"/>
    <w:rsid w:val="00F34764"/>
    <w:rsid w:val="00F5040E"/>
    <w:rsid w:val="00F54E3C"/>
    <w:rsid w:val="00F60ABB"/>
    <w:rsid w:val="00F73227"/>
    <w:rsid w:val="00F874BD"/>
    <w:rsid w:val="00F87D40"/>
    <w:rsid w:val="00F91CE0"/>
    <w:rsid w:val="00FB1D0B"/>
    <w:rsid w:val="00FE55A3"/>
    <w:rsid w:val="00FE6865"/>
    <w:rsid w:val="00FF0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DE3E9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6</Pages>
  <Words>1474</Words>
  <Characters>7565</Characters>
  <Application>Microsoft Office Word</Application>
  <DocSecurity>4</DocSecurity>
  <Lines>302</Lines>
  <Paragraphs>177</Paragraphs>
  <ScaleCrop>false</ScaleCrop>
  <HeadingPairs>
    <vt:vector size="2" baseType="variant">
      <vt:variant>
        <vt:lpstr>العنوان</vt:lpstr>
      </vt:variant>
      <vt:variant>
        <vt:i4>1</vt:i4>
      </vt:variant>
    </vt:vector>
  </HeadingPairs>
  <TitlesOfParts>
    <vt:vector size="1" baseType="lpstr">
      <vt:lpstr>CERD/C/LIE/CO/4-6</vt:lpstr>
    </vt:vector>
  </TitlesOfParts>
  <Company>CSD</Company>
  <LinksUpToDate>false</LinksUpToDate>
  <CharactersWithSpaces>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CERD/C/LIE/CO/4-6</dc:title>
  <dc:subject/>
  <dc:creator>Mervat</dc:creator>
  <cp:keywords/>
  <dc:description/>
  <cp:lastModifiedBy>Mervat</cp:lastModifiedBy>
  <cp:revision>2</cp:revision>
  <cp:lastPrinted>2009-10-16T12:18:00Z</cp:lastPrinted>
  <dcterms:created xsi:type="dcterms:W3CDTF">2012-11-13T09:36:00Z</dcterms:created>
  <dcterms:modified xsi:type="dcterms:W3CDTF">2012-11-13T09:36:00Z</dcterms:modified>
</cp:coreProperties>
</file>