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3F98598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AACB51D" w14:textId="77777777" w:rsidR="002D5AAC" w:rsidRPr="0069488A" w:rsidRDefault="002D5AAC" w:rsidP="00F1547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n-US"/>
              </w:rPr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EACEF08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B5AC30C" w14:textId="7074C90D" w:rsidR="002D5AAC" w:rsidRDefault="00F15476" w:rsidP="00F15476">
            <w:pPr>
              <w:jc w:val="right"/>
            </w:pPr>
            <w:r w:rsidRPr="00F15476">
              <w:rPr>
                <w:sz w:val="40"/>
              </w:rPr>
              <w:t>CCPR</w:t>
            </w:r>
            <w:r>
              <w:t>/C/ECU/CO/7</w:t>
            </w:r>
          </w:p>
        </w:tc>
      </w:tr>
      <w:tr w:rsidR="002D5AAC" w:rsidRPr="00846729" w14:paraId="4EA143A9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86D0B7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7FA365" wp14:editId="54AC40D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01D4AB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6DD5B6" w14:textId="77777777" w:rsidR="002D5AAC" w:rsidRPr="00F15476" w:rsidRDefault="00F15476" w:rsidP="00BC3629">
            <w:pPr>
              <w:spacing w:before="240"/>
              <w:rPr>
                <w:lang w:val="en-US"/>
              </w:rPr>
            </w:pPr>
            <w:r w:rsidRPr="00F15476">
              <w:rPr>
                <w:lang w:val="en-US"/>
              </w:rPr>
              <w:t>Distr.: General</w:t>
            </w:r>
          </w:p>
          <w:p w14:paraId="08A30590" w14:textId="60F32FC0" w:rsidR="00F15476" w:rsidRPr="00F15476" w:rsidRDefault="00F15476" w:rsidP="00F1547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F15476">
              <w:rPr>
                <w:lang w:val="en-US"/>
              </w:rPr>
              <w:t xml:space="preserve"> December 2024</w:t>
            </w:r>
          </w:p>
          <w:p w14:paraId="74D6696C" w14:textId="77777777" w:rsidR="00F15476" w:rsidRPr="00F15476" w:rsidRDefault="00F15476" w:rsidP="00F15476">
            <w:pPr>
              <w:spacing w:line="240" w:lineRule="exact"/>
              <w:rPr>
                <w:lang w:val="en-US"/>
              </w:rPr>
            </w:pPr>
            <w:r w:rsidRPr="00F15476">
              <w:rPr>
                <w:lang w:val="en-US"/>
              </w:rPr>
              <w:t>Russian</w:t>
            </w:r>
          </w:p>
          <w:p w14:paraId="7A489C4E" w14:textId="27784B0E" w:rsidR="00F15476" w:rsidRPr="00F15476" w:rsidRDefault="00F15476" w:rsidP="00F15476">
            <w:pPr>
              <w:spacing w:line="240" w:lineRule="exact"/>
              <w:rPr>
                <w:lang w:val="en-US"/>
              </w:rPr>
            </w:pPr>
            <w:r w:rsidRPr="00F15476">
              <w:rPr>
                <w:lang w:val="en-US"/>
              </w:rPr>
              <w:t>Original: Spanish</w:t>
            </w:r>
          </w:p>
        </w:tc>
      </w:tr>
    </w:tbl>
    <w:p w14:paraId="4D3B244B" w14:textId="77777777" w:rsidR="00F15476" w:rsidRPr="00456A3C" w:rsidRDefault="00F15476" w:rsidP="00F15476">
      <w:pPr>
        <w:spacing w:before="120"/>
        <w:rPr>
          <w:rFonts w:ascii="Times New Roman Bold" w:hAnsi="Times New Roman Bold"/>
          <w:b/>
          <w:color w:val="000000"/>
          <w:sz w:val="24"/>
          <w:szCs w:val="24"/>
        </w:rPr>
      </w:pPr>
      <w:r w:rsidRPr="00456A3C">
        <w:rPr>
          <w:b/>
          <w:bCs/>
          <w:sz w:val="24"/>
          <w:szCs w:val="24"/>
        </w:rPr>
        <w:t>Комитет по правам человека</w:t>
      </w:r>
    </w:p>
    <w:p w14:paraId="70EC33C6" w14:textId="77777777" w:rsidR="00F15476" w:rsidRDefault="00F15476" w:rsidP="00F15476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седьмому периодическому докладу Эквадора</w:t>
      </w:r>
      <w:r w:rsidRPr="00F15476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308B2DAA" w14:textId="092B94BB" w:rsidR="00F15476" w:rsidRPr="00337CA3" w:rsidRDefault="00F15476" w:rsidP="00F15476">
      <w:pPr>
        <w:pStyle w:val="SingleTxtG"/>
      </w:pPr>
      <w:r>
        <w:t>1.</w:t>
      </w:r>
      <w:r>
        <w:tab/>
        <w:t>Комитет рассмотрел седьмой периодический доклад Эквадора</w:t>
      </w:r>
      <w:r w:rsidRPr="002B7A88">
        <w:rPr>
          <w:rStyle w:val="aa"/>
        </w:rPr>
        <w:footnoteReference w:id="2"/>
      </w:r>
      <w:r>
        <w:t xml:space="preserve"> на своих </w:t>
      </w:r>
      <w:r w:rsidRPr="00846729">
        <w:br/>
      </w:r>
      <w:r>
        <w:t>4168-м и 4170-м заседаниях</w:t>
      </w:r>
      <w:r w:rsidRPr="002775CB">
        <w:rPr>
          <w:rStyle w:val="aa"/>
          <w:szCs w:val="18"/>
        </w:rPr>
        <w:footnoteReference w:id="3"/>
      </w:r>
      <w:r>
        <w:t xml:space="preserve">, состоявшихся 28 и 29 октября 2024 года. На своем </w:t>
      </w:r>
      <w:r w:rsidRPr="00846729">
        <w:br/>
      </w:r>
      <w:r>
        <w:t>4179-м заседании, состоявшемся 5 ноября 2024 года, Комитет принял настоящие заключительные замечания.</w:t>
      </w:r>
    </w:p>
    <w:p w14:paraId="66639A9D" w14:textId="77777777" w:rsidR="00F15476" w:rsidRDefault="00F15476" w:rsidP="00F15476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162F5A4C" w14:textId="77777777" w:rsidR="00F15476" w:rsidRPr="007B4B71" w:rsidRDefault="00F15476" w:rsidP="00F15476">
      <w:pPr>
        <w:ind w:left="1134" w:right="1178"/>
        <w:jc w:val="both"/>
      </w:pPr>
      <w:r>
        <w:t>2.</w:t>
      </w:r>
      <w:r>
        <w:tab/>
        <w:t>Комитет признателен государству-участнику за согласие следовать упрощенной процедуре представления докладов и за представление его седьмого периодического доклада в ответ на перечень вопросов, направляемый до получения доклада, который был подготовлен в рамках этой процедуры</w:t>
      </w:r>
      <w:r>
        <w:rPr>
          <w:rStyle w:val="aa"/>
        </w:rPr>
        <w:footnoteReference w:id="4"/>
      </w:r>
      <w:r>
        <w:t>. Он выражает признательность за возможность возобновления с делегацией высокого уровня государства-участника конструктивного диалога по вопросу о мерах, принятых в течение отчетного периода с целью осуществления положений Пакта. Комитет благодарит государство-участник за устные ответы членов делегации, а также за дополнительную информацию, представленную ему в письменном виде.</w:t>
      </w:r>
    </w:p>
    <w:p w14:paraId="31A7C03F" w14:textId="77777777" w:rsidR="00F15476" w:rsidRDefault="00F15476" w:rsidP="00F15476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0B86F1EE" w14:textId="77777777" w:rsidR="00F15476" w:rsidRPr="00615869" w:rsidRDefault="00F15476" w:rsidP="00F15476">
      <w:pPr>
        <w:pStyle w:val="SingleTxtG"/>
      </w:pPr>
      <w:r>
        <w:t>3.</w:t>
      </w:r>
      <w:r>
        <w:tab/>
        <w:t>Комитет приветствует следующие законодательные и политические меры, принятые государством-участником:</w:t>
      </w:r>
    </w:p>
    <w:p w14:paraId="52FBDE0C" w14:textId="77777777" w:rsidR="00F15476" w:rsidRDefault="00F15476" w:rsidP="00F15476">
      <w:pPr>
        <w:pStyle w:val="SingleTxtG"/>
      </w:pPr>
      <w:r>
        <w:tab/>
        <w:t>a)</w:t>
      </w:r>
      <w:r>
        <w:tab/>
        <w:t>утверждение в 2024 году Органического закона о сопровождении и преобразовательном и комплексном возмещении ущерба дочерям, сыновьям, матерям, отцам и другим членам семей жертв фемицида и других гендерно мотивированных убийств;</w:t>
      </w:r>
      <w:bookmarkStart w:id="0" w:name="_Hlk183702163"/>
      <w:bookmarkEnd w:id="0"/>
    </w:p>
    <w:p w14:paraId="2382611B" w14:textId="77777777" w:rsidR="00F15476" w:rsidRDefault="00F15476" w:rsidP="00F15476">
      <w:pPr>
        <w:pStyle w:val="SingleTxtG"/>
      </w:pPr>
      <w:r>
        <w:tab/>
        <w:t>b)</w:t>
      </w:r>
      <w:r>
        <w:tab/>
        <w:t>утверждение в 2024 году Органического закона о равной оплате труда женщин и мужчин;</w:t>
      </w:r>
    </w:p>
    <w:p w14:paraId="5BD40E1E" w14:textId="77777777" w:rsidR="00F15476" w:rsidRDefault="00F15476" w:rsidP="00F15476">
      <w:pPr>
        <w:pStyle w:val="SingleTxtG"/>
      </w:pPr>
      <w:r>
        <w:tab/>
        <w:t>c)</w:t>
      </w:r>
      <w:r>
        <w:tab/>
        <w:t>принятие в 2023 году Органического закона о борьбе с торговлей людьми и незаконным ввозом мигрантов;</w:t>
      </w:r>
    </w:p>
    <w:p w14:paraId="712E6F69" w14:textId="77777777" w:rsidR="00F15476" w:rsidRDefault="00F15476" w:rsidP="00F15476">
      <w:pPr>
        <w:pStyle w:val="SingleTxtG"/>
      </w:pPr>
      <w:r>
        <w:tab/>
        <w:t>d)</w:t>
      </w:r>
      <w:r>
        <w:tab/>
        <w:t>принятие в 2022 году Органического закона о пересмотре Закона о связи, а также его последний пересмотр в 2024 году и создание в 2023 году Механизма по предупреждению нарушений в отношении журналистской работы и по ее защите;</w:t>
      </w:r>
    </w:p>
    <w:p w14:paraId="1D74F92C" w14:textId="77777777" w:rsidR="00F15476" w:rsidRDefault="00F15476" w:rsidP="00F15476">
      <w:pPr>
        <w:pStyle w:val="SingleTxtG"/>
      </w:pPr>
      <w:r>
        <w:lastRenderedPageBreak/>
        <w:tab/>
        <w:t>e)</w:t>
      </w:r>
      <w:r>
        <w:tab/>
        <w:t>реформирование в 2020 и 2023 годах Кодекса демократии и нормативных актов Национального избирательного совета, включая Положение о внутренней демократии политических организаций, Положение об избирательных объединениях и Положение о регистрации кандидатов;</w:t>
      </w:r>
    </w:p>
    <w:p w14:paraId="2B87C15C" w14:textId="77777777" w:rsidR="00F15476" w:rsidRDefault="00F15476" w:rsidP="00F15476">
      <w:pPr>
        <w:pStyle w:val="SingleTxtG"/>
      </w:pPr>
      <w:r>
        <w:tab/>
        <w:t>f)</w:t>
      </w:r>
      <w:r>
        <w:tab/>
        <w:t>утверждение в 2022 году Органического закона, регулирующего добровольное прерывание беременности для девочек, подростков и женщин в случае изнасилования;</w:t>
      </w:r>
      <w:bookmarkStart w:id="1" w:name="_Hlk183765544"/>
      <w:bookmarkEnd w:id="1"/>
    </w:p>
    <w:p w14:paraId="1211BEFE" w14:textId="77777777" w:rsidR="00F15476" w:rsidRDefault="00F15476" w:rsidP="00F15476">
      <w:pPr>
        <w:pStyle w:val="SingleTxtG"/>
      </w:pPr>
      <w:r>
        <w:tab/>
        <w:t>g)</w:t>
      </w:r>
      <w:r>
        <w:tab/>
        <w:t>принятие в 2019 году Органического закона об Управлении омбудсмена;</w:t>
      </w:r>
    </w:p>
    <w:p w14:paraId="4DD8BE36" w14:textId="77777777" w:rsidR="00F15476" w:rsidRPr="00D45D1A" w:rsidRDefault="00F15476" w:rsidP="00F15476">
      <w:pPr>
        <w:pStyle w:val="SingleTxtG"/>
      </w:pPr>
      <w:r>
        <w:tab/>
        <w:t>h)</w:t>
      </w:r>
      <w:r>
        <w:tab/>
        <w:t>принятие Национальной программы по обеспечению равенства в рамках мобильности населения (2021–2025 годы);</w:t>
      </w:r>
    </w:p>
    <w:p w14:paraId="0F05F057" w14:textId="77777777" w:rsidR="00F15476" w:rsidRPr="000C2137" w:rsidRDefault="00F15476" w:rsidP="00F15476">
      <w:pPr>
        <w:pStyle w:val="SingleTxtG"/>
      </w:pPr>
      <w:r>
        <w:tab/>
        <w:t>i)</w:t>
      </w:r>
      <w:r>
        <w:tab/>
        <w:t>создание в 2020 году Сети служб защиты и поддержки жертв;</w:t>
      </w:r>
    </w:p>
    <w:p w14:paraId="71E20175" w14:textId="573B3BAE" w:rsidR="00F15476" w:rsidRPr="00F74BF7" w:rsidRDefault="00F15476" w:rsidP="00F15476">
      <w:pPr>
        <w:pStyle w:val="SingleTxtG"/>
      </w:pPr>
      <w:r>
        <w:tab/>
        <w:t>j)</w:t>
      </w:r>
      <w:r>
        <w:tab/>
        <w:t>утверждение в 2018 году Всеобъемлющего органического закона о предупреждении и искоренении насилия в отношении женщин</w:t>
      </w:r>
      <w:r w:rsidR="00F74BF7" w:rsidRPr="00F74BF7">
        <w:t>.</w:t>
      </w:r>
    </w:p>
    <w:p w14:paraId="065EED21" w14:textId="77777777" w:rsidR="00F15476" w:rsidRDefault="00F15476" w:rsidP="00F15476">
      <w:pPr>
        <w:pStyle w:val="SingleTxtG"/>
      </w:pPr>
      <w:r>
        <w:t>4.</w:t>
      </w:r>
      <w:r>
        <w:tab/>
        <w:t>Комитет приветствует также ратификацию государством-участником следующих международных договоров по правам человека или его присоединение к ним:</w:t>
      </w:r>
    </w:p>
    <w:p w14:paraId="02BBB5C7" w14:textId="77777777" w:rsidR="00F15476" w:rsidRDefault="00F15476" w:rsidP="00F15476">
      <w:pPr>
        <w:pStyle w:val="SingleTxtG"/>
      </w:pPr>
      <w:r>
        <w:tab/>
        <w:t>a)</w:t>
      </w:r>
      <w:r>
        <w:tab/>
        <w:t>Конвенции Международной организации труда об искоренении насилия и домогательств в сфере труда 2019 года (№ 190), 2021 год;</w:t>
      </w:r>
    </w:p>
    <w:p w14:paraId="76393BE7" w14:textId="77777777" w:rsidR="00F15476" w:rsidRDefault="00F15476" w:rsidP="00F15476">
      <w:pPr>
        <w:pStyle w:val="SingleTxtG"/>
      </w:pPr>
      <w:r>
        <w:tab/>
        <w:t>b)</w:t>
      </w:r>
      <w:r>
        <w:tab/>
        <w:t>Регионального соглашения о доступе к информации, участии общественности и правосудии по вопросам окружающей среды в Латинской Америке и Карибском бассейне (Соглашение Эскаcу), 2020 год;</w:t>
      </w:r>
    </w:p>
    <w:p w14:paraId="0CBBF7FF" w14:textId="77777777" w:rsidR="00F15476" w:rsidRDefault="00F15476" w:rsidP="00F15476">
      <w:pPr>
        <w:pStyle w:val="SingleTxtG"/>
      </w:pPr>
      <w:r>
        <w:tab/>
        <w:t>c)</w:t>
      </w:r>
      <w:r>
        <w:tab/>
        <w:t>Факультативного протокола к Конвенции о правах ребенка, касающегося процедуры сообщений, 2018 год.</w:t>
      </w:r>
    </w:p>
    <w:p w14:paraId="2225AB69" w14:textId="43CE135D" w:rsidR="00F15476" w:rsidRPr="009F5500" w:rsidRDefault="00F15476" w:rsidP="00F15476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846729">
        <w:rPr>
          <w:bCs/>
        </w:rPr>
        <w:br/>
      </w:r>
      <w:r>
        <w:rPr>
          <w:bCs/>
        </w:rPr>
        <w:t>и рекомендации</w:t>
      </w:r>
    </w:p>
    <w:p w14:paraId="1A2D9059" w14:textId="77777777" w:rsidR="00F15476" w:rsidRDefault="00F15476" w:rsidP="00F15476">
      <w:pPr>
        <w:pStyle w:val="H23G"/>
      </w:pPr>
      <w:r>
        <w:tab/>
      </w:r>
      <w:r>
        <w:tab/>
      </w:r>
      <w:r>
        <w:rPr>
          <w:bCs/>
        </w:rPr>
        <w:t>Конституционная и правовая основа применения Пакта</w:t>
      </w:r>
    </w:p>
    <w:p w14:paraId="61075875" w14:textId="77777777" w:rsidR="00F15476" w:rsidRDefault="00F15476" w:rsidP="00F15476">
      <w:pPr>
        <w:pStyle w:val="SingleTxtG"/>
        <w:rPr>
          <w:rFonts w:eastAsia="SimSun"/>
        </w:rPr>
      </w:pPr>
      <w:r>
        <w:t>5.</w:t>
      </w:r>
      <w:r>
        <w:tab/>
        <w:t>Комитет с удовлетворением отмечает постановление Министерства по делам женщин и правам человека от 29 августа 2023 года о порядке координации выполнения международных обязательств в области прав человека. Комитет принимает к сведению решения Конституционного суда, в которых содержатся ссылки на Пакт, а также другие инициативы по распространению информации и повышению осведомленности о Пакте, реализованные государством-участником. Вместе с тем он сожалеет, что государство-участник не представило информацию о том, насколько часто на положения Пакта ссылались другие суды и трибуналы государства-участника (статья 2).</w:t>
      </w:r>
    </w:p>
    <w:p w14:paraId="71D96E32" w14:textId="77777777" w:rsidR="00F15476" w:rsidRDefault="00F15476" w:rsidP="00F15476">
      <w:pPr>
        <w:pStyle w:val="SingleTxtG"/>
        <w:rPr>
          <w:rFonts w:eastAsia="SimSun"/>
          <w:b/>
          <w:bCs/>
        </w:rPr>
      </w:pPr>
      <w:r>
        <w:t>6.</w:t>
      </w:r>
      <w:r>
        <w:tab/>
      </w:r>
      <w:r>
        <w:rPr>
          <w:b/>
          <w:bCs/>
        </w:rPr>
        <w:t>Государству-участнику следует принять все необходимые меры для осуществления всех заключительных замечаний и соображений, принятых Комитетом, с использованием адекватных и эффективных механизмов в соответствии с положениями пунктов 2 и 3 статьи 2 Пакта.</w:t>
      </w:r>
      <w:r>
        <w:t xml:space="preserve"> </w:t>
      </w:r>
      <w:r>
        <w:rPr>
          <w:b/>
          <w:bCs/>
        </w:rPr>
        <w:t>В этом смысле он должен принять меры, гарантирующие реальное исполнение решений Комитета, и рассмотреть целесообразность принятия закона, признающего за авторами сообщений, в интересах которых Комитет согласился предоставить ту или иную меру возмещения, право требовать его исполнения судебными органами страны.</w:t>
      </w:r>
      <w:r>
        <w:t xml:space="preserve"> </w:t>
      </w:r>
      <w:r>
        <w:rPr>
          <w:b/>
          <w:bCs/>
        </w:rPr>
        <w:t>Кроме того, государству-участнику следует стремиться к повышению осведомленности судей, прокуроров и адвокатов о Пакте и о его применимости на национальном уровне, с тем чтобы его положения учитывались судами.</w:t>
      </w:r>
    </w:p>
    <w:p w14:paraId="3D65715F" w14:textId="77777777" w:rsidR="00F15476" w:rsidRDefault="00F15476" w:rsidP="00F15476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77BB1111" w14:textId="77777777" w:rsidR="00F15476" w:rsidRDefault="00F15476" w:rsidP="00F15476">
      <w:pPr>
        <w:pStyle w:val="SingleTxtG"/>
        <w:rPr>
          <w:rFonts w:eastAsia="SimSun"/>
        </w:rPr>
      </w:pPr>
      <w:r>
        <w:t>7.</w:t>
      </w:r>
      <w:r>
        <w:tab/>
        <w:t xml:space="preserve">Высоко оценивая работу, проводимую Управлением омбудсмена в рамках возложенного на него широкого мандата, Комитет все же обеспокоен тем, что оно не </w:t>
      </w:r>
      <w:r>
        <w:lastRenderedPageBreak/>
        <w:t>располагает необходимыми кадровыми и финансовыми ресурсами для его эффективного выполнения. Кроме того, Комитет обеспокоен тем, что законы и процедуры отбора и назначения омбудсмена могут быть недостаточно эффективными для того, чтобы гарантировать его независимость. В этой связи Комитет с обеспокоенностью отмечает, что после увольнения в 2021 году прежнего омбудсмена действующий омбудсмен до сих пор не назначен (статья 2).</w:t>
      </w:r>
    </w:p>
    <w:p w14:paraId="5E8AA4EC" w14:textId="77777777" w:rsidR="00F15476" w:rsidRPr="00DF41EB" w:rsidRDefault="00F15476" w:rsidP="00F15476">
      <w:pPr>
        <w:pStyle w:val="SingleTxtG"/>
        <w:rPr>
          <w:rFonts w:eastAsia="SimSun"/>
          <w:b/>
          <w:bCs/>
        </w:rPr>
      </w:pPr>
      <w:r>
        <w:t>8.</w:t>
      </w:r>
      <w:r>
        <w:tab/>
      </w:r>
      <w:r>
        <w:rPr>
          <w:b/>
          <w:bCs/>
        </w:rPr>
        <w:t>Государству-участнику следует выделить Управлению омбудсмена достаточный объем кадровых, финансовых и технических ресурсов, с тем чтобы оно могло эффективно и независимо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принципы),</w:t>
      </w:r>
      <w:r>
        <w:t xml:space="preserve"> </w:t>
      </w:r>
      <w:r>
        <w:rPr>
          <w:b/>
          <w:bCs/>
        </w:rPr>
        <w:t>а также обеспечить прозрачные и партисипативные отбор и назначение омбудсмена, применяя при этом объективные критерии для оценки заслуг и способностей кандидатов.</w:t>
      </w:r>
    </w:p>
    <w:p w14:paraId="07E5D35F" w14:textId="77777777" w:rsidR="00F15476" w:rsidRPr="00A449B9" w:rsidRDefault="00F15476" w:rsidP="00F15476">
      <w:pPr>
        <w:pStyle w:val="H23G"/>
        <w:rPr>
          <w:bCs/>
        </w:rPr>
      </w:pPr>
      <w:r>
        <w:tab/>
      </w:r>
      <w:r>
        <w:tab/>
      </w:r>
      <w:r>
        <w:rPr>
          <w:bCs/>
        </w:rPr>
        <w:t>Чрезвычайное положение</w:t>
      </w:r>
    </w:p>
    <w:p w14:paraId="16EA8AA1" w14:textId="77777777" w:rsidR="00F15476" w:rsidRPr="001B06CA" w:rsidRDefault="00F15476" w:rsidP="00F15476">
      <w:pPr>
        <w:pStyle w:val="SingleTxtG"/>
        <w:rPr>
          <w:b/>
          <w:bCs/>
        </w:rPr>
      </w:pPr>
      <w:r>
        <w:t>9.</w:t>
      </w:r>
      <w:r>
        <w:tab/>
        <w:t>Комитет выражает глубокую обеспокоенность тем, что государство-участник часто вводит чрезвычайное положение и приостанавливает действие некоторых прав, закрепленных в Пакте, а также тем, что чрезвычайное положение, по всей видимости, нормализуется на национальном и местном уровнях, хотя приостановление действия соответствующих прав допускается только в действительно исключительных случаях. Аналогичным образом, он выражает сожаление по поводу неоднократного использования с января 2024 года основания «внутренний вооруженный конфликт» и отсутствия мер, направленных на соблюдение постановлений Конституционного суда по этому вопросу. Кроме того, Комитет обеспокоен сообщениями о значительном и несоразмерном ограничении некоторых прав, таких как права на свободу передвижения, на свободу ассоциации и на свободу собраний, особенно в отношении представителей коренных народов, лиц, живущих в нищете, а также мигрантов, беженцев и просителей убежища (статьи 4, 6, 7, 9, 12, 21 и 22).</w:t>
      </w:r>
    </w:p>
    <w:p w14:paraId="3ED4EEEC" w14:textId="7D8AE3B8" w:rsidR="00F15476" w:rsidRPr="00AD0CB5" w:rsidRDefault="00F15476" w:rsidP="00F15476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Государству-участнику следует ограничить применение чрезвычайного положения и обеспечить строгое соблюдение прав человека, закрепленных в Пакте, и систематическое соблюдение всех условий, установленных в статье 4 Пакта, как они истолкованы Комитетом в его замечании общего порядка № 29 (2001) об отступлении от обязательств в связи с чрезвычайным положением.</w:t>
      </w:r>
      <w:r>
        <w:t xml:space="preserve"> </w:t>
      </w:r>
      <w:r>
        <w:rPr>
          <w:b/>
          <w:bCs/>
        </w:rPr>
        <w:t>Кроме того, ему следует обеспечить, чтобы любые меры, принимаемые для защиты населения в условиях чрезвычайного положения, были временными, соразмерными и строго необходимыми,</w:t>
      </w:r>
      <w:r>
        <w:t xml:space="preserve"> </w:t>
      </w:r>
      <w:r>
        <w:rPr>
          <w:b/>
          <w:bCs/>
        </w:rPr>
        <w:t>чтобы они подлежали оперативному судебному пересмотру</w:t>
      </w:r>
      <w:r>
        <w:t xml:space="preserve"> </w:t>
      </w:r>
      <w:r>
        <w:rPr>
          <w:b/>
          <w:bCs/>
        </w:rPr>
        <w:t>и чтобы они соответствовали гарантиям соблюдения принципов недискриминации и соразмерности</w:t>
      </w:r>
      <w:r>
        <w:t xml:space="preserve"> </w:t>
      </w:r>
      <w:r>
        <w:rPr>
          <w:b/>
          <w:bCs/>
        </w:rPr>
        <w:t>путем полного соблюдения статей</w:t>
      </w:r>
      <w:r w:rsidR="00F74BF7">
        <w:rPr>
          <w:b/>
          <w:bCs/>
          <w:lang w:val="en-US"/>
        </w:rPr>
        <w:t> </w:t>
      </w:r>
      <w:r>
        <w:rPr>
          <w:b/>
          <w:bCs/>
        </w:rPr>
        <w:t>164 и 165 Конституции Эквадора и постановлений Конституционного суда.</w:t>
      </w:r>
    </w:p>
    <w:p w14:paraId="09DEA290" w14:textId="77777777" w:rsidR="00F15476" w:rsidRDefault="00F15476" w:rsidP="00F15476">
      <w:pPr>
        <w:pStyle w:val="H23G"/>
      </w:pPr>
      <w:r>
        <w:tab/>
      </w:r>
      <w:r>
        <w:tab/>
      </w:r>
      <w:r>
        <w:tab/>
      </w:r>
      <w:r>
        <w:rPr>
          <w:bCs/>
        </w:rPr>
        <w:t>Борьба с безнаказанностью и совершенные в прошлом нарушения прав человека</w:t>
      </w:r>
    </w:p>
    <w:p w14:paraId="3D0F2516" w14:textId="77777777" w:rsidR="00F15476" w:rsidRDefault="00F15476" w:rsidP="00F15476">
      <w:pPr>
        <w:pStyle w:val="SingleTxtG"/>
      </w:pPr>
      <w:r>
        <w:t>11.</w:t>
      </w:r>
      <w:r>
        <w:tab/>
        <w:t>Комитет обеспокоен тем, что по 118 делам, задокументированным в итоговом докладе Комиссии по установлению истины, который был подготовлен в 2010 году, было вынесено только 12 обвинительных приговоров, поскольку большинство дел до сих пор находится на стадии предварительного расследования. Отмечая шаги, предпринятые государством-участником для предоставления жертвам возмещения ущерба, Комитет, тем не менее, сожалеет, что Музей памяти был построен и открыт без конструктивного участия жертв (статьи 2, 6, 7 и 14).</w:t>
      </w:r>
    </w:p>
    <w:p w14:paraId="090E8E5E" w14:textId="77777777" w:rsidR="00F15476" w:rsidRPr="00B63E55" w:rsidRDefault="00F15476" w:rsidP="00F15476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Государству-участнику следует:</w:t>
      </w:r>
    </w:p>
    <w:p w14:paraId="0E7869AB" w14:textId="544EF55D" w:rsidR="00F15476" w:rsidRPr="00B63E55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 привлечение к ответственности виновных в совершении всех нарушений прав человека, имевших место в 1984–2008 годах, включая дела, содержащиеся в докладе Комиссии по установлению истины под названием </w:t>
      </w:r>
      <w:r w:rsidR="00F74BF7" w:rsidRPr="00846729">
        <w:rPr>
          <w:b/>
          <w:bCs/>
        </w:rPr>
        <w:br/>
      </w:r>
      <w:r>
        <w:rPr>
          <w:b/>
          <w:bCs/>
        </w:rPr>
        <w:t xml:space="preserve">«Без правды нет правосудия», в том числе путем проведения тщательного </w:t>
      </w:r>
      <w:r>
        <w:rPr>
          <w:b/>
          <w:bCs/>
        </w:rPr>
        <w:lastRenderedPageBreak/>
        <w:t>расследования и осуществления судебного преследования за предполагаемые преступления, гарантирования того, чтобы виновные, в случае признания их вины, были наказаны соразмерно тяжести совершенных деяний, а также принятия всех мер, необходимых для предотвращения их повторения;</w:t>
      </w:r>
    </w:p>
    <w:p w14:paraId="3C7A7D78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b)</w:t>
      </w:r>
      <w:r w:rsidRPr="00F15476">
        <w:rPr>
          <w:b/>
          <w:bCs/>
        </w:rPr>
        <w:tab/>
        <w:t>обеспечить, чтобы все жертвы совершенных в прошлом нарушений прав человека и члены их семей получили полное возмещение ущерба, включая реабилитацию и надлежащую компенсацию, а также обеспечить уважение их права на установление истины и сохранение памяти;</w:t>
      </w:r>
    </w:p>
    <w:p w14:paraId="422C2ED9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обеспечить проведение, без ограничений и угроз, траурных и памятных</w:t>
      </w:r>
      <w:r>
        <w:rPr>
          <w:b/>
          <w:bCs/>
        </w:rPr>
        <w:t xml:space="preserve"> мероприятий, посвященных жертвам, путем осуществления тщательного и оперативного расследования по всем утверждениям о притеснениях или запугивании, преследования ответственных за такие действия лиц по закону и, в случае осуждения, назначения виновным наказания, соразмерного тяжести преступления.</w:t>
      </w:r>
    </w:p>
    <w:p w14:paraId="340E14E6" w14:textId="77777777" w:rsidR="00F15476" w:rsidRPr="00B63E55" w:rsidRDefault="00F15476" w:rsidP="00F15476">
      <w:pPr>
        <w:pStyle w:val="H23G"/>
      </w:pPr>
      <w:r>
        <w:tab/>
      </w:r>
      <w:r>
        <w:tab/>
      </w:r>
      <w:r>
        <w:rPr>
          <w:bCs/>
        </w:rPr>
        <w:t>Меры по борьбе с терроризмом</w:t>
      </w:r>
    </w:p>
    <w:p w14:paraId="1B447BC5" w14:textId="7427E3CC" w:rsidR="00F15476" w:rsidRPr="00B63E55" w:rsidRDefault="00F15476" w:rsidP="00F15476">
      <w:pPr>
        <w:pStyle w:val="SingleTxtG"/>
      </w:pPr>
      <w:r>
        <w:t>13.</w:t>
      </w:r>
      <w:r>
        <w:tab/>
        <w:t xml:space="preserve">Комитет приветствует информацию о сотрудничестве между Организацией Объединенных Наций и государством-участником в целях реформирования статей 366 и 367 Всеобъемлющего органического уголовного кодекса. Тем не менее он обеспокоен тем, что практическое применение законов и политики по борьбе с терроризмом может привести к нарушению надлежащей правовой процедуры, особенно в контексте реализации плана «Феникс». Кроме того, Комитет обеспокоен сообщениями о том, что в период с января по май 2024 года было проведено </w:t>
      </w:r>
      <w:r w:rsidR="00F74BF7" w:rsidRPr="00846729">
        <w:br/>
      </w:r>
      <w:r>
        <w:t>35 000 арестов, в том числе по обвинению в терроризме, что может свидетельствовать о произвольном использовании антитеррористических мер в качестве оправдания для ограничения законного осуществления гарантированных Пактом свобод и прав, включая право не подвергаться произвольному задержанию, и об отсутствии достаточных гарантий в этом отношении (статьи 2, 9 и 14).</w:t>
      </w:r>
      <w:bookmarkStart w:id="2" w:name="_Hlk181126258"/>
      <w:bookmarkStart w:id="3" w:name="_Hlk181373428"/>
      <w:bookmarkEnd w:id="2"/>
      <w:bookmarkEnd w:id="3"/>
    </w:p>
    <w:p w14:paraId="2D4D0198" w14:textId="77777777" w:rsidR="00F15476" w:rsidRPr="00B63E55" w:rsidRDefault="00F15476" w:rsidP="00F15476">
      <w:pPr>
        <w:pStyle w:val="SingleTxtG"/>
        <w:rPr>
          <w:b/>
          <w:bCs/>
          <w:color w:val="1D1B11" w:themeColor="background2" w:themeShade="1A"/>
        </w:rPr>
      </w:pPr>
      <w:r>
        <w:t>14.</w:t>
      </w:r>
      <w:r>
        <w:tab/>
      </w:r>
      <w:r>
        <w:rPr>
          <w:b/>
          <w:bCs/>
        </w:rPr>
        <w:t>Государству-участнику следует:</w:t>
      </w:r>
    </w:p>
    <w:p w14:paraId="7E42F390" w14:textId="7059B2FD" w:rsidR="00F15476" w:rsidRPr="00F15476" w:rsidRDefault="00F15476" w:rsidP="00F15476">
      <w:pPr>
        <w:pStyle w:val="SingleTxtG"/>
        <w:rPr>
          <w:b/>
          <w:bCs/>
        </w:rPr>
      </w:pPr>
      <w:r w:rsidRPr="00D073FF"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обеспечить, чтобы лица, подозреваемые или обвиняемые в террористических актах или связанных с ними преступлениях, в законодательстве и на практике пользовались всеми правовыми гарантиями в соответствии со статьями 9 и 14 Пакта и замечаниями общего порядка Комитета</w:t>
      </w:r>
      <w:r>
        <w:rPr>
          <w:b/>
          <w:bCs/>
          <w:lang w:val="en-US"/>
        </w:rPr>
        <w:t> </w:t>
      </w:r>
      <w:r w:rsidRPr="00F15476">
        <w:rPr>
          <w:b/>
          <w:bCs/>
        </w:rPr>
        <w:t>№ 35 (2014) о свободе и личной неприкосновенности и № 32 (2007) о праве на равенство перед судами и трибуналами и на справедливое судебное разбирательство;</w:t>
      </w:r>
    </w:p>
    <w:p w14:paraId="6986E939" w14:textId="53C99FD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гарантировать, чтобы законопроект о реформировании статей 366 </w:t>
      </w:r>
      <w:r w:rsidRPr="00846729">
        <w:rPr>
          <w:b/>
          <w:bCs/>
        </w:rPr>
        <w:br/>
      </w:r>
      <w:r>
        <w:rPr>
          <w:b/>
          <w:bCs/>
        </w:rPr>
        <w:t>и 367 Всеобъемлющего органического уголовного кодекса полностью соответствовал Пакту и принципам законности, определенности, предсказуемости и соразмерности, а также содержал четкое и ясное определение преступлений терроризма в соответствии с резолюцией 1566 (2004) Совета Безопасности;</w:t>
      </w:r>
    </w:p>
    <w:p w14:paraId="77AE311B" w14:textId="77777777" w:rsidR="00F15476" w:rsidRPr="00B63E55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c)</w:t>
      </w:r>
      <w:r w:rsidRPr="00F15476">
        <w:rPr>
          <w:b/>
          <w:bCs/>
        </w:rPr>
        <w:tab/>
      </w:r>
      <w:r>
        <w:rPr>
          <w:b/>
          <w:bCs/>
        </w:rPr>
        <w:t>гарантировать, чтобы законы о борьбе с терроризмом и организованной преступностью не использовались для необоснованного ограничения каких-либо прав, закрепленных в Пакте, включая право на свободу и личную неприкосновенность, а также осуществления права на мирные собрания, в том числе адвокатов, журналистов, представителей политической оппозиции и правозащитников.</w:t>
      </w:r>
    </w:p>
    <w:p w14:paraId="709ECD3F" w14:textId="3C348162" w:rsidR="00F15476" w:rsidRPr="00675B65" w:rsidRDefault="00F15476" w:rsidP="00F15476">
      <w:pPr>
        <w:pStyle w:val="H23G"/>
      </w:pPr>
      <w:r>
        <w:tab/>
      </w:r>
      <w:r>
        <w:tab/>
      </w:r>
      <w:r>
        <w:rPr>
          <w:bCs/>
        </w:rPr>
        <w:t xml:space="preserve">Дискриминация и насилие по признакам сексуальной ориентации </w:t>
      </w:r>
      <w:r w:rsidRPr="00846729">
        <w:rPr>
          <w:bCs/>
        </w:rPr>
        <w:br/>
      </w:r>
      <w:r>
        <w:rPr>
          <w:bCs/>
        </w:rPr>
        <w:t>или гендерной идентичности</w:t>
      </w:r>
    </w:p>
    <w:p w14:paraId="1734CE38" w14:textId="45544E9D" w:rsidR="00F15476" w:rsidRDefault="00F15476" w:rsidP="00F15476">
      <w:pPr>
        <w:pStyle w:val="SingleTxtG"/>
      </w:pPr>
      <w:r>
        <w:t>15.</w:t>
      </w:r>
      <w:r>
        <w:tab/>
        <w:t xml:space="preserve">Комитет приветствует принятие Плана создания возможностей на </w:t>
      </w:r>
      <w:r w:rsidRPr="00846729">
        <w:br/>
      </w:r>
      <w:r>
        <w:t xml:space="preserve">2021–2025 годы, а также включение конкретных целей в национальные программы по обеспечению равенства и реализацию второго этапа инициативы «Луч света». Тем не менее, несмотря на многочисленные программы профессиональной подготовки и </w:t>
      </w:r>
      <w:r>
        <w:lastRenderedPageBreak/>
        <w:t>принятие соответствующих протоколов и руководств, Комитет обеспокоен стигматизацией, дискриминацией и насилием в отношении лесбиянок, геев, бисексуалов, трансгендеров и интерсексов (ЛГБТИ) в государстве-участнике. Комитет обеспокоен также сообщениями о том, что в государстве-участнике в подпольных центрах по-прежнему практикуется так называемая «конверсионная терапия» ЛГБТИ людей. Кроме того, Комитет с обеспокоенностью отмечает ограниченное число расследований и судебных преследований по фактам преступлений на почве дискриминации и ненависти. Он обеспокоен также отсутствием закона, гарантирующего юридическое признание и защиту однополых пар и семей с однополыми родителями, и выражает сожаление в связи с отсутствием информации от государства-участника по этому поводу (статьи 2, 3, 6, 7, 17, 23 и 26).</w:t>
      </w:r>
      <w:bookmarkStart w:id="4" w:name="_Hlk102487197"/>
      <w:bookmarkEnd w:id="4"/>
    </w:p>
    <w:p w14:paraId="5FD7F636" w14:textId="77777777" w:rsidR="00F15476" w:rsidRDefault="00F15476" w:rsidP="00F15476">
      <w:pPr>
        <w:pStyle w:val="SingleTxtG"/>
        <w:keepNext/>
        <w:keepLines/>
        <w:rPr>
          <w:b/>
          <w:bCs/>
        </w:rPr>
      </w:pPr>
      <w:r>
        <w:t>16.</w:t>
      </w:r>
      <w:r>
        <w:tab/>
      </w:r>
      <w:r>
        <w:rPr>
          <w:b/>
          <w:bCs/>
        </w:rPr>
        <w:t>С учетом вынесенной ранее Комитетом рекомендации</w:t>
      </w:r>
      <w:r w:rsidRPr="002775CB">
        <w:rPr>
          <w:rStyle w:val="aa"/>
          <w:szCs w:val="18"/>
        </w:rPr>
        <w:footnoteReference w:id="5"/>
      </w:r>
      <w:r>
        <w:rPr>
          <w:b/>
          <w:bCs/>
        </w:rPr>
        <w:t xml:space="preserve"> государству-участнику следует:</w:t>
      </w:r>
    </w:p>
    <w:p w14:paraId="7B0D5479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бороться с предрассудками, ненавистническими высказываниями и насилием в отношении ЛГБТИ людей, в том числе путем расширения кампаний по просвещению и повышению информированности общественности, а также организации для судей, прокуроров, сотрудников правоохранительных органов и других должностных лиц соответствующей подготовки по вопросам борьбы с дискриминационным отношением к таким людям;</w:t>
      </w:r>
    </w:p>
    <w:p w14:paraId="496EA483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активизировать усилия и принять необходимые меры для запрета практики так называемой «конверсионной терапии» в отношении ЛГБТИ людей;</w:t>
      </w:r>
    </w:p>
    <w:p w14:paraId="34AA077D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гарантировать тщательное расследование преступлений на почве дискриминации и ненависти, особенно преступлений, мотивированных сексуальной ориентацией или гендерной идентичностью жертв, привлечение правонарушителей к ответственности и, в случае признания их виновными, назначение им соответствующего наказания, а также обеспечить полное возмещение ущерба жертвам;</w:t>
      </w:r>
    </w:p>
    <w:p w14:paraId="79EE0E57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</w:r>
      <w:r>
        <w:rPr>
          <w:b/>
          <w:bCs/>
        </w:rPr>
        <w:t>утвердить или пересмотреть соответствующее законодательство с целью полного признания равенства ЛГБТИ людей в доступе к правам и услугам, а также полностью гарантировать однополым парам равное обращение и все права, признанные в Пакте.</w:t>
      </w:r>
    </w:p>
    <w:p w14:paraId="3CA907D5" w14:textId="77777777" w:rsidR="00F15476" w:rsidRDefault="00F15476" w:rsidP="00F15476">
      <w:pPr>
        <w:pStyle w:val="H23G"/>
      </w:pPr>
      <w:r>
        <w:t xml:space="preserve"> </w:t>
      </w:r>
      <w:r>
        <w:tab/>
      </w:r>
      <w:r>
        <w:tab/>
      </w:r>
      <w:r>
        <w:rPr>
          <w:bCs/>
        </w:rPr>
        <w:t>Гендерное равноправие</w:t>
      </w:r>
    </w:p>
    <w:p w14:paraId="3B9E4355" w14:textId="77777777" w:rsidR="00F15476" w:rsidRPr="00236C36" w:rsidRDefault="00F15476" w:rsidP="00F15476">
      <w:pPr>
        <w:pStyle w:val="SingleTxtG"/>
      </w:pPr>
      <w:r>
        <w:t>17.</w:t>
      </w:r>
      <w:r>
        <w:tab/>
        <w:t>Комитет с удовлетворением отмечает меры, принятые в области гендерного равенства, включая принятие Органического закона о равной оплате труда женщин и мужчин и реформы Кодекса демократии. Тем не менее он по-прежнему обеспокоен сохранением дискриминационных стереотипов и глубоко укоренившихся патриархальных представлений о роли и обязанностях женщин. Отмечая реформы Органического закона о выборах и политических организациях</w:t>
      </w:r>
      <w:r w:rsidRPr="002775CB">
        <w:rPr>
          <w:rStyle w:val="aa"/>
          <w:szCs w:val="18"/>
        </w:rPr>
        <w:footnoteReference w:id="6"/>
      </w:r>
      <w:r>
        <w:t>, Комитет, тем не менее, выражает обеспокоенность по поводу ограниченной представленности женщин на индивидуальных выборных должностях местного уровня и сожалеет о том, что не получил информацию о мерах, принятых для увеличения представленности женщин из числа коренных народов, лиц африканского происхождения и группы монтубио в государственном и частном секторах, в частности на политических должностях. Отмечая включение политического насилия в перечень правонарушений, связанных с выборами, Комитет, тем не менее, с обеспокоенностью отмечает случаи фемицида, преследований и угроз в адрес женщин-политиков (статьи 2, 3, 25 и 26).</w:t>
      </w:r>
      <w:bookmarkStart w:id="5" w:name="_Hlk180680083"/>
      <w:bookmarkEnd w:id="5"/>
    </w:p>
    <w:p w14:paraId="4189DC43" w14:textId="395B0258" w:rsidR="00F15476" w:rsidRDefault="00F15476" w:rsidP="00F15476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В соответствии с рекомендациями, вынесенными Комитетом по ликвидации дискриминации в отношении женщин</w:t>
      </w:r>
      <w:r w:rsidRPr="002775CB">
        <w:rPr>
          <w:rStyle w:val="aa"/>
          <w:szCs w:val="18"/>
        </w:rPr>
        <w:footnoteReference w:id="7"/>
      </w:r>
      <w:r>
        <w:t>,</w:t>
      </w:r>
      <w:r>
        <w:rPr>
          <w:b/>
          <w:bCs/>
        </w:rPr>
        <w:t xml:space="preserve"> государству-участнику следует активизировать усилия по обеспечению реального равенства между </w:t>
      </w:r>
      <w:r>
        <w:rPr>
          <w:b/>
          <w:bCs/>
        </w:rPr>
        <w:lastRenderedPageBreak/>
        <w:t>мужчинами и женщинами во всех сферах и на всей территории страны.</w:t>
      </w:r>
      <w:r>
        <w:t xml:space="preserve"> </w:t>
      </w:r>
      <w:r w:rsidR="00F74BF7" w:rsidRPr="00846729">
        <w:br/>
      </w:r>
      <w:r>
        <w:rPr>
          <w:b/>
          <w:bCs/>
        </w:rPr>
        <w:t>В частности, ему следует:</w:t>
      </w:r>
    </w:p>
    <w:p w14:paraId="60D3BBA6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усилить меры по расширению участия женщин, в том числе женщин из числа коренных народов, лиц африканского происхождения и группы монтубио, в политической и общественной жизни, а также их представленности в государственном и частном секторах, особенно на индивидуальных выборных должностях на местном уровне, в том числе путем обеспечения полного соблюдения временных специальных мер, предусмотренных в Кодексе демократии;</w:t>
      </w:r>
    </w:p>
    <w:p w14:paraId="35D2A9D2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укрепить стратегии информационно-просветительской работы с населением для борьбы с бытующими в обществе гендерными предрассудками и стереотипами в отношении роли и обязанностей женщин и мужчин в семье и обществе;</w:t>
      </w:r>
    </w:p>
    <w:p w14:paraId="6DC9A0F2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предотвращать и пресекать гендерное насилие в отношении женщин-политиков, а также обеспечивать привлечение виновных к ответственности и доступ жертв к эффективным средствам правовой защиты;</w:t>
      </w:r>
    </w:p>
    <w:p w14:paraId="6B3064F0" w14:textId="7375BFE9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>
        <w:tab/>
      </w:r>
      <w:r>
        <w:rPr>
          <w:b/>
          <w:bCs/>
        </w:rPr>
        <w:t>принимать неотложные меры, например продвигать программы обучения для судей, прокуроров и адвокатов, с тем чтобы искоренять гендерные предубеждения и стереотипы.</w:t>
      </w:r>
    </w:p>
    <w:p w14:paraId="3A9D434C" w14:textId="77777777" w:rsidR="00F15476" w:rsidRPr="00A449B9" w:rsidRDefault="00F15476" w:rsidP="00F15476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Насилие в отношении женщин, детей и подростков</w:t>
      </w:r>
    </w:p>
    <w:p w14:paraId="3E2B9B0B" w14:textId="4E58B7D9" w:rsidR="00F15476" w:rsidRPr="00D03057" w:rsidRDefault="00F15476" w:rsidP="00F15476">
      <w:pPr>
        <w:pStyle w:val="SingleTxtG"/>
        <w:rPr>
          <w:b/>
          <w:bCs/>
        </w:rPr>
      </w:pPr>
      <w:r>
        <w:t>19.</w:t>
      </w:r>
      <w:r>
        <w:tab/>
        <w:t xml:space="preserve">Комитет приветствует принятие Всеобъемлющего органического закона о предупреждении и искоренении насилия в отношении женщин, а также представленную государством-участником информацию о том, что Единый реестр данных о насилии вскоре начнет функционировать. Тем не менее Комитет </w:t>
      </w:r>
      <w:r w:rsidRPr="00846729">
        <w:br/>
      </w:r>
      <w:r>
        <w:t>по-прежнему обеспокоен большим количеством случаев фемицида и сексуального насилия в отношении женщин и девочек, незначительным числом обвинительных приговоров за эти преступления</w:t>
      </w:r>
      <w:r w:rsidRPr="002775CB">
        <w:rPr>
          <w:rStyle w:val="aa"/>
          <w:szCs w:val="18"/>
        </w:rPr>
        <w:footnoteReference w:id="8"/>
      </w:r>
      <w:r>
        <w:t xml:space="preserve"> и недостаточностью услуг по защите, поддержке и компенсации для жертв. Комитет выражает сожаление по поводу сообщений, согласно которым сексуальное насилие в отношении женщин и девочек является частым явлением в школе и дома, а также по поводу отсутствия информации о мерах, принятых для поощрения представления жалоб, в частности девочками африканского происхождения, девочками из числа коренных народов и девочками, живущими в сельских и отдаленных районах. С удовлетворением принимая к сведению создание пособия для детей и подростков, осиротевших в результате насильственной смерти их матери или родительницы, а также представленное государством-участником разъяснение относительно его сосуществования в действующем законодательстве с Органическим законом о сопровождении и преобразовательном и комплексном возмещении ущерба дочерям, сыновьям, матерям, отцам и другим членам семей жертв фемицида и других гендерно мотивированных убийств, Комитет, тем не менее, выражает обеспокоенность по поводу неадекватности и недостаточного охвата этого пособия (статьи 2, 3, 6, 24 и 26).</w:t>
      </w:r>
    </w:p>
    <w:p w14:paraId="29E7C612" w14:textId="0750349A" w:rsidR="00F15476" w:rsidRPr="00B63E55" w:rsidRDefault="00F15476" w:rsidP="00F15476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Государству-участнику следует активизировать усилия по предотвращению, пресечению и искоренению всех форм насилия, включая домашнее и сексуальное насилие, в отношении женщин и девочек, уделяя особое внимание женщинам из числа меньшинств и маргинализированных групп, </w:t>
      </w:r>
      <w:r w:rsidR="00F74BF7" w:rsidRPr="00846729">
        <w:rPr>
          <w:b/>
          <w:bCs/>
        </w:rPr>
        <w:br/>
      </w:r>
      <w:r>
        <w:rPr>
          <w:b/>
          <w:bCs/>
        </w:rPr>
        <w:t>в частности путем:</w:t>
      </w:r>
    </w:p>
    <w:p w14:paraId="3BA6688C" w14:textId="77777777" w:rsidR="00F15476" w:rsidRPr="004D5E55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</w:r>
      <w:r>
        <w:rPr>
          <w:b/>
          <w:bCs/>
        </w:rPr>
        <w:t>ускорения реализации Всеобъемлющего органического закона о предотвращении и искоренении насилия в отношении женщин, в том числе путем обеспечения необходимых кадровых, финансовых и технических ресурсов для его эффективного и согласованного применения, а также для внедрения Единого реестра данных о насилии и системы раннего предупреждения;</w:t>
      </w:r>
    </w:p>
    <w:p w14:paraId="7A058BB0" w14:textId="77777777" w:rsidR="00F15476" w:rsidRPr="00F15476" w:rsidRDefault="00F15476" w:rsidP="00F15476">
      <w:pPr>
        <w:pStyle w:val="SingleTxtG"/>
        <w:rPr>
          <w:b/>
          <w:bCs/>
        </w:rPr>
      </w:pPr>
      <w:r>
        <w:lastRenderedPageBreak/>
        <w:tab/>
      </w:r>
      <w:r w:rsidRPr="00F15476">
        <w:rPr>
          <w:b/>
          <w:bCs/>
        </w:rPr>
        <w:t>b)</w:t>
      </w:r>
      <w:r w:rsidRPr="00F15476">
        <w:rPr>
          <w:b/>
          <w:bCs/>
        </w:rPr>
        <w:tab/>
        <w:t>обеспечения тщательного расследования всех случаев насилия в отношении женщин, привлечения виновных к ответственности и, в случае признания их вины, вынесения им приговоров, соразмерных тяжести совершенных преступлений; а также гарантирования того, чтобы жертвы имели доступ к эффективным средствам правовой защиты, получали полное возмещение ущерба, включая адекватную компенсацию, и имели доступ к соответствующей защите и помощи по всей стране, такой как приюты и услуги по оказанию медицинской, психосоциальной, юридической и реабилитационной поддержки;</w:t>
      </w:r>
    </w:p>
    <w:p w14:paraId="41CCCE0E" w14:textId="2AFE9B3D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поощрения подачи женщинами и девочками жалоб на насилие над ними, в том числе в образовательных центрах, например путем информирования женщин и девочек об их правах и о доступных им мерах защиты, поддержки и возмещения ущерба, а также путем предоставления им необходимых средств для подачи таких жалоб, и дальнейшей борьбы с социальной стигматизацией жертв, в частности жертв сексуального насилия;</w:t>
      </w:r>
    </w:p>
    <w:p w14:paraId="6909D74F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 xml:space="preserve">организации эффективного обучения государственных служащих, включая судей, адвокатов, прокуроров, сотрудников правоохранительных органов, а также медицинских и социальных работников, методам работы со случаями насилия в отношении женщин; </w:t>
      </w:r>
    </w:p>
    <w:p w14:paraId="3995E4F1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e)</w:t>
      </w:r>
      <w:r w:rsidRPr="00F15476">
        <w:rPr>
          <w:b/>
          <w:bCs/>
        </w:rPr>
        <w:tab/>
        <w:t>укрепления информационно-просветительских кампаний, ориентированных на общество в целом, с целью предотвращения и пресечения насилия, включая домашнее насилие, в отношении женщин во всех его формах и проявлениях, в частности путем повышения осведомленности о его пагубных последствиях, а также борьбы с социальными и культурными моделями и стереотипами, поощряющими терпимость к гендерному насилию;</w:t>
      </w:r>
    </w:p>
    <w:p w14:paraId="467CB2F7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f)</w:t>
      </w:r>
      <w:r>
        <w:tab/>
      </w:r>
      <w:r>
        <w:rPr>
          <w:b/>
          <w:bCs/>
        </w:rPr>
        <w:t>обеспечения своевременной и всеобъемлющей выплаты пособия для детей и подростков, осиротевших в результате насильственной смерти их матери или родительницы, и увеличения объема бюджетных ресурсов, выделяемых на это пособие, с тем чтобы все бенефициары получали надлежащую компенсацию, а также справедливо и активно оповещались о своем праве.</w:t>
      </w:r>
    </w:p>
    <w:p w14:paraId="38EA7729" w14:textId="77777777" w:rsidR="00F15476" w:rsidRPr="00110348" w:rsidRDefault="00F15476" w:rsidP="00F15476">
      <w:pPr>
        <w:pStyle w:val="H23G"/>
      </w:pPr>
      <w:r>
        <w:tab/>
      </w:r>
      <w:r>
        <w:tab/>
      </w:r>
      <w:r>
        <w:rPr>
          <w:bCs/>
        </w:rPr>
        <w:t>Добровольное прерывание беременности и репродуктивные права</w:t>
      </w:r>
    </w:p>
    <w:p w14:paraId="15EA3A09" w14:textId="04963BD8" w:rsidR="00F15476" w:rsidRDefault="00F15476" w:rsidP="00F15476">
      <w:pPr>
        <w:pStyle w:val="SingleTxtG"/>
      </w:pPr>
      <w:r>
        <w:t>21.</w:t>
      </w:r>
      <w:r>
        <w:tab/>
        <w:t xml:space="preserve">Комитет отмечает меры, принятые государством-участником для улучшения доступа к услугам и информации в области сексуального и репродуктивного здоровья, а также для предупреждения и пресечения подростковых беременностей, включая беременности в результате сексуального насилия. В этой связи он принимает к сведению утверждение Органического закона, регулирующего добровольное прерывание беременности для девочек, подростков и женщин в случае изнасилования. Однако Комитет обеспокоен тем, что аборт остается уголовным преступлением, за исключением случаев изнасилования или угрозы жизни или здоровью матери. Принимая к сведению принятые Конституционным судом меры, временно приостановившие действие некоторых положений Органического закона, Комитет, тем не менее, выражает обеспокоенность сообщениями о препятствиях, с которыми на практике сталкиваются женщины, пытающиеся получить доступ к легальному прерыванию беременности, включая отказы врачей по соображениям совести </w:t>
      </w:r>
      <w:r w:rsidR="00F74BF7" w:rsidRPr="00846729">
        <w:br/>
      </w:r>
      <w:r>
        <w:t>(статьи 3, 6, 7, 17 и 26).</w:t>
      </w:r>
    </w:p>
    <w:p w14:paraId="55C13273" w14:textId="77777777" w:rsidR="00F15476" w:rsidRDefault="00F15476" w:rsidP="00F15476">
      <w:pPr>
        <w:pStyle w:val="SingleTxtG"/>
      </w:pPr>
      <w:r>
        <w:t>22.</w:t>
      </w:r>
      <w:r>
        <w:tab/>
      </w:r>
      <w:r>
        <w:rPr>
          <w:b/>
          <w:bCs/>
        </w:rPr>
        <w:t>Принимая во внимание замечание общего порядка № 36 (2018) Комитета о праве на жизнь, государству-участнику следует:</w:t>
      </w:r>
    </w:p>
    <w:p w14:paraId="6FB9550B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внести изменения в статьи 149 и 150 Всеобъемлющего органического уголовного кодекса и пересмотреть Органический закон, регулирующий добровольное прерывание беременности для девочек, подростков и женщин в случае изнасилования, с целью обеспечения безопасного, законного и эффективного доступа к абортам, в том числе в сельских и отдаленных районах, когда вынашивание беременности до срока может причинить беременной женщине или девочке значительную боль или страдания, особенно если беременность является результатом инцеста или если плод нежизнеспособен;</w:t>
      </w:r>
    </w:p>
    <w:p w14:paraId="34007D16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lastRenderedPageBreak/>
        <w:tab/>
        <w:t>b)</w:t>
      </w:r>
      <w:r w:rsidRPr="00F15476">
        <w:rPr>
          <w:b/>
          <w:bCs/>
        </w:rPr>
        <w:tab/>
        <w:t>принять все необходимые меры для обеспечения того, чтобы отказ от проведения аборта по соображениям совести не препятствовал равному и эффективному доступу женщин и девочек к конфиденциальным, законным и безопасным услугам по прерыванию беременности и последующему уходу, в том числе путем систематического обучения медицинских работников, включая программы обучения по содержанию временных мер, принятых Конституционным судом;</w:t>
      </w:r>
    </w:p>
    <w:p w14:paraId="11CB72A9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активизировать усилия по предотвращению нежелательных беременностей, особенно среди подростков, и гарантировать полный доступ к адекватным услугам в области сексуального и репродуктивного здоровья, а также к надлежащим и недорогим методам контрацепции на всей территории страны, в частности среди женщин африканского происхождения и женщин из числа коренного населения, а также женщин, живущих в сельских и отдаленных районах и в условиях нищеты и крайней нищеты;</w:t>
      </w:r>
    </w:p>
    <w:p w14:paraId="44FA83AD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внедрить комплексные программы просвещения и повышения информированности</w:t>
      </w:r>
      <w:r>
        <w:rPr>
          <w:b/>
          <w:bCs/>
        </w:rPr>
        <w:t xml:space="preserve"> о сексуальном и репродуктивном здоровье и соответствующих правах во всех школах, активизировать кампании по повышению осведомленности общественности о сексуальном и репродуктивном здоровье и предотвращении нежелательной беременности, ориентированные на женщин, мужчин и подростков, а также бороться со стигматизацией женщин, делающих аборт.</w:t>
      </w:r>
    </w:p>
    <w:p w14:paraId="599A6C39" w14:textId="77777777" w:rsidR="00F15476" w:rsidRPr="001B06CA" w:rsidRDefault="00F15476" w:rsidP="00F15476">
      <w:pPr>
        <w:pStyle w:val="H23G"/>
      </w:pPr>
      <w:r>
        <w:tab/>
      </w:r>
      <w:r>
        <w:tab/>
      </w:r>
      <w:r>
        <w:rPr>
          <w:bCs/>
        </w:rPr>
        <w:t>Право на жизнь и личную неприкосновенность</w:t>
      </w:r>
    </w:p>
    <w:p w14:paraId="1436A186" w14:textId="77777777" w:rsidR="00F15476" w:rsidRPr="001B71C0" w:rsidRDefault="00F15476" w:rsidP="00F15476">
      <w:pPr>
        <w:pStyle w:val="SingleTxtG"/>
      </w:pPr>
      <w:r>
        <w:t>23.</w:t>
      </w:r>
      <w:r>
        <w:tab/>
        <w:t>Отмечая сокращение числа убийств в первой половине 2024 года, Комитет, тем не менее, обеспокоен тем, что показатели убийств остаются чрезвычайно высокими. Комитет обеспокоен также смягчением нормативной базы в отношении ношения оружия путем принятия Исполнительного указа № 302, а также снижением налогов на приобретение личного оружия. Кроме того, он с обеспокоенностью отмечает одобрение на референдуме участия вооруженных сил в дополнительном контроле за внутренним порядком ввиду высокого риска нарушения прав человека, связанного с милитаризацией общественной безопасности (статьи 6 и 9).</w:t>
      </w:r>
    </w:p>
    <w:p w14:paraId="0EDF4ADA" w14:textId="77777777" w:rsidR="00F15476" w:rsidRPr="00B63E55" w:rsidRDefault="00F15476" w:rsidP="00F15476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Государству-участнику следует активизировать усилия по осуществлению более эффективного гражданского контроля за хранением и применением оружия, в частности путем укрепления правовой базы, регулирующей хранение и применение оружия, и совершенствования процедур выдачи или сохранения лицензий.</w:t>
      </w:r>
      <w:r>
        <w:t xml:space="preserve"> </w:t>
      </w:r>
      <w:r>
        <w:rPr>
          <w:b/>
          <w:bCs/>
        </w:rPr>
        <w:t>Государству-участнику следует укреплять силы гражданской полиции и тюремные власти, с тем чтобы они полностью взяли на себя функции по обеспечению безопасности граждан и тюрем, в которых задействованы вооруженные силы, избегая их вмешательства и прибегая к нему только в исключительных обстоятельствах и на ограниченный период времени.</w:t>
      </w:r>
    </w:p>
    <w:p w14:paraId="27475760" w14:textId="77777777" w:rsidR="00F15476" w:rsidRPr="00110348" w:rsidRDefault="00F15476" w:rsidP="00F15476">
      <w:pPr>
        <w:pStyle w:val="H23G"/>
      </w:pPr>
      <w:r>
        <w:tab/>
      </w:r>
      <w:r>
        <w:tab/>
      </w:r>
      <w:r>
        <w:rPr>
          <w:bCs/>
        </w:rPr>
        <w:t>Запрещение пыток и жестокого, бесчеловечного или унижающего достоинство обращения и наказания</w:t>
      </w:r>
    </w:p>
    <w:p w14:paraId="76EFD0F8" w14:textId="77777777" w:rsidR="00F15476" w:rsidRDefault="00F15476" w:rsidP="00F15476">
      <w:pPr>
        <w:pStyle w:val="SingleTxtG"/>
      </w:pPr>
      <w:r>
        <w:t>25.</w:t>
      </w:r>
      <w:r>
        <w:tab/>
        <w:t>Отмечая меры, принятые для предотвращения пыток и других жестоких, бесчеловечных или унижающих достоинство видов обращения и наказания, в том числе обучение и повышение осведомленности государственных служащих, Комитет, тем не менее, сожалеет о том, что не было представлено всеобъемлющих данных о результатах расследований случаев пыток и неправомерного обращения, зарегистрированных с января 2024 года. В этой связи он обеспокоен сообщениями о пытках и жестоком обращении в контексте чрезвычайного положения, затронувших, в частности, задержанных и лиц, лишенных свободы. Кроме того, Комитет сожалеет об отсутствии данных о возмещении ущерба, предоставленном жертвам пыток и жестокого обращения, включающем реабилитацию и компенсацию (статьи 2, 7 и 9).</w:t>
      </w:r>
    </w:p>
    <w:p w14:paraId="6930A4CA" w14:textId="77777777" w:rsidR="00F15476" w:rsidRPr="00DA34D9" w:rsidRDefault="00F15476" w:rsidP="00F15476">
      <w:pPr>
        <w:pStyle w:val="SingleTxtG"/>
      </w:pPr>
      <w:r>
        <w:lastRenderedPageBreak/>
        <w:t>26.</w:t>
      </w:r>
      <w:r>
        <w:tab/>
      </w:r>
      <w:r>
        <w:rPr>
          <w:b/>
          <w:bCs/>
        </w:rPr>
        <w:t>В соответствии с рекомендациями Комитета против пыток</w:t>
      </w:r>
      <w:r w:rsidRPr="002775CB">
        <w:rPr>
          <w:rStyle w:val="aa"/>
          <w:szCs w:val="18"/>
        </w:rPr>
        <w:footnoteReference w:id="9"/>
      </w:r>
      <w:r>
        <w:t xml:space="preserve"> </w:t>
      </w:r>
      <w:r>
        <w:rPr>
          <w:b/>
          <w:bCs/>
        </w:rPr>
        <w:t>государству-участнику следует устранить все барьеры в законодательстве и на практике для обеспечения оперативного, беспристрастного, тщательного и эффективного расследования всех жалоб на пытки и жестокое обращение, а также для привлечения виновных к судебной ответственности и предоставления жертвам полного возмещения, включая реабилитационные меры и надлежащую компенсацию.</w:t>
      </w:r>
      <w:r>
        <w:t xml:space="preserve"> </w:t>
      </w:r>
      <w:r>
        <w:rPr>
          <w:b/>
          <w:bCs/>
        </w:rPr>
        <w:t>Ему следует также принять все необходимые меры для предотвращения пыток и других жестоких, бесчеловечных или унижающих достоинство видов обращения и наказания, в частности путем укрепления бюджета Национального механизма по предотвращению пыток и повышения уровня подготовки по правам человека для судей, прокуроров, адвокатов и сотрудников правоохранительных органов, а также в связи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протокол), Кодексом поведения должностных лиц по поддержанию правопорядка, Принципами эффективного ведения опроса в ходе расследования и сбора информации (Принципы Мендеса) и Миннесотским протоколом по расследованию предположительно незаконного лишения жизни.</w:t>
      </w:r>
    </w:p>
    <w:p w14:paraId="0A2ECC67" w14:textId="77777777" w:rsidR="00F15476" w:rsidRPr="004A6901" w:rsidRDefault="00F15476" w:rsidP="00F15476">
      <w:pPr>
        <w:pStyle w:val="H23G"/>
      </w:pPr>
      <w:r>
        <w:tab/>
      </w:r>
      <w:r>
        <w:tab/>
      </w:r>
      <w:r>
        <w:rPr>
          <w:bCs/>
        </w:rPr>
        <w:t>Чрезмерное применение силы</w:t>
      </w:r>
    </w:p>
    <w:p w14:paraId="406437ED" w14:textId="77777777" w:rsidR="00F15476" w:rsidRPr="00DE26C0" w:rsidRDefault="00F15476" w:rsidP="00F15476">
      <w:pPr>
        <w:pStyle w:val="SingleTxtG"/>
      </w:pPr>
      <w:r>
        <w:t>27.</w:t>
      </w:r>
      <w:r>
        <w:tab/>
        <w:t>Комитет приветствует принятие Органического закона, регулирующего законное применение силы, и создание Специализированного отдела по расследованию незаконного применения силы при Генеральной прокуратуре. Вместе с тем Комитет обеспокоен утверждениями о систематическом чрезмерном применении силы и малым количеством обвинительных приговоров в этой связи, а также отсутствием существенного прогресса в проведении расследований и выявлении виновных (статьи 2, 6, 7 и 14).</w:t>
      </w:r>
    </w:p>
    <w:p w14:paraId="5FC254E4" w14:textId="77777777" w:rsidR="00F15476" w:rsidRDefault="00F15476" w:rsidP="00F15476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Государству-участнику следует принять дополнительные меры для эффективного предотвращения чрезмерного применения силы сотрудниками правоохранительных органов, в частности путем:</w:t>
      </w:r>
    </w:p>
    <w:p w14:paraId="3D3F87D8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приведения положений, регулирующих применение силы, в соответствие с Основными принципами применения силы и огнестрельного оружия должностными лицами по поддержанию правопорядка, Руководством Организации Объединенных Наций по соблюдению прав человека при применении менее смертоносного оружия в правоохранительной деятельности и замечанием общего порядка № 36 (2018) Комитета, которые требуют, чтобы сотрудники правоохранительных органов прибегали к применению потенциально смертоносной силы только в случае строгой необходимости для защиты от неминуемой угрозы смерти или серьезного ранения;</w:t>
      </w:r>
    </w:p>
    <w:p w14:paraId="494B3B37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обеспечения оперативного, эффективного и беспристрастного расследования всех утверждений о чрезмерном применении силы сотрудниками правоохранительных органов для того, чтобы предполагаемые правонарушители были привлечены к ответственности и, в случае признания их вины, понесли надлежащее наказание, а также чтобы жертвам таких нарушений были предоставлены адекватные средства правовой защиты;</w:t>
      </w:r>
    </w:p>
    <w:p w14:paraId="662B8D56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>
        <w:tab/>
      </w:r>
      <w:r>
        <w:rPr>
          <w:b/>
          <w:bCs/>
        </w:rPr>
        <w:t>гарантирования того, чтобы все сотрудники правоохранительных органов систематически проходили обучение по вопросам применения силы, основанное на международных нормах в области прав человека, включая Основные принципы применения силы и огнестрельного оружия должностными лицами по поддержанию правопорядка и Руководство Организации Объединенных Наций по соблюдению прав человека при применении менее смертоносного оружия в правоохранительной деятельности, и обеспечения строгого соблюдения принципов законности, необходимости и пропорциональности</w:t>
      </w:r>
      <w:r w:rsidRPr="00400A4D">
        <w:rPr>
          <w:b/>
          <w:bCs/>
        </w:rPr>
        <w:t xml:space="preserve"> </w:t>
      </w:r>
      <w:r>
        <w:rPr>
          <w:b/>
          <w:bCs/>
        </w:rPr>
        <w:t>на практике.</w:t>
      </w:r>
    </w:p>
    <w:p w14:paraId="2FDA0CB6" w14:textId="77777777" w:rsidR="00F15476" w:rsidRDefault="00F15476" w:rsidP="00F15476">
      <w:pPr>
        <w:pStyle w:val="H23G"/>
      </w:pPr>
      <w:r>
        <w:lastRenderedPageBreak/>
        <w:tab/>
      </w:r>
      <w:r>
        <w:tab/>
      </w:r>
      <w:r>
        <w:rPr>
          <w:bCs/>
        </w:rPr>
        <w:t>Лица, лишенные свободы, и условия содержания под стражей</w:t>
      </w:r>
    </w:p>
    <w:p w14:paraId="5B266E3E" w14:textId="77777777" w:rsidR="00F15476" w:rsidRDefault="00F15476" w:rsidP="00F15476">
      <w:pPr>
        <w:pStyle w:val="SingleTxtG"/>
      </w:pPr>
      <w:r>
        <w:t>29.</w:t>
      </w:r>
      <w:r>
        <w:tab/>
        <w:t>Комитет принимает к сведению усилия государства-участника по улучшению пенитенциарных служб и условий содержания в местах лишения свободы, в том числе его обязательство оказывать услуги по реабилитации и социальной реинтеграции, предоставлять помилования и ремонтировать бараки. Кроме того, он с признательностью отмечает текущую разработку модели управления здравоохранением в тюрьмах. Вместе с тем Комитет вновь выражает обеспокоенность по поводу значительной переполненности тюрем, а также высоких показателей досудебного содержания под стражей в государстве-участнике</w:t>
      </w:r>
      <w:r w:rsidRPr="002775CB">
        <w:rPr>
          <w:rStyle w:val="aa"/>
          <w:szCs w:val="18"/>
        </w:rPr>
        <w:footnoteReference w:id="10"/>
      </w:r>
      <w:r>
        <w:t>. Кроме того, Комитет обеспокоен тяжелыми условиями содержания в тюрьмах, которые ставят под угрозу жизнь заключенных, в частности переполненностью, насилием между заключенными, неправомерным обращением со стороны тюремного персонала, а также неудовлетворительными санитарией, питанием и доступом к медицинским услугам, которые усугубились с января 2024 года, после мобилизации вооруженных сил для обеспечения безопасности в тюрьмах (статьи 6, 7, 9 и 10).</w:t>
      </w:r>
    </w:p>
    <w:p w14:paraId="6C602F57" w14:textId="77777777" w:rsidR="00F15476" w:rsidRPr="00B63E55" w:rsidRDefault="00F15476" w:rsidP="00F15476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Государству-участнику следует активизировать усилия и принять необходимые меры для обеспечения того, чтобы в законодательстве и на практике любое задержанное или заключенное под стражу лицо с момента лишения свободы пользовалось всеми основными правовыми гарантиями, закрепленными в статьях 9 и 14 Пакта, в соответствии с замечанием общего порядка № 35 (2014) Комитета о свободе и личной неприкосновенности.</w:t>
      </w:r>
      <w:r>
        <w:t xml:space="preserve"> </w:t>
      </w:r>
      <w:r>
        <w:rPr>
          <w:b/>
          <w:bCs/>
        </w:rPr>
        <w:t>Кроме того, ему следует:</w:t>
      </w:r>
    </w:p>
    <w:p w14:paraId="41050F3F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продолжать усилия по сокращению переполненности пенитенциарных учреждений, в том числе путем более широкого применения мер, не связанных с лишением свободы, как это предусмотрено в Минимальных стандартных правилах Организации Объединенных Наций в отношении мер, не связанных с тюремным заключением (Токийские правила), в качестве альтернативы тюремному заключению;</w:t>
      </w:r>
    </w:p>
    <w:p w14:paraId="7A26BA6D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обеспечивать, чтобы досудебное содержание под стражей носило исключительный характер и назначалось только в случае необходимости и на максимально короткий срок;</w:t>
      </w:r>
    </w:p>
    <w:p w14:paraId="3ACADFEF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ускорить реализацию Государственной политики социальной реабилитации на 2022–2025 годы, в частности путем предоставления Национальной системе социальной реабилитации достаточного объема кадровых и финансовых ресурсов для ее функционирования, принятия четких процедур рассмотрения ходатайств о переводе на улучшенные условия отбывания наказания и организации эффективного обучения государственных служащих, включая судей, адвокатов, прокуроров и социальных и медицинских работников, по данным вопросам, с тем чтобы обеспечить выполнение и реализацию пяти направлений обращения, предусмотренных во Всеобъемлющем органическом уголовном кодексе (статья 701);</w:t>
      </w:r>
    </w:p>
    <w:p w14:paraId="13FDA2E0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обеспечить всем лицам, лишенным свободы, адекватный доступ к медицинским</w:t>
      </w:r>
      <w:r>
        <w:rPr>
          <w:b/>
          <w:bCs/>
        </w:rPr>
        <w:t xml:space="preserve"> услугам, включая охрану психического здоровья, к питанию, чистой воде, средствам санитарии и гигиены, а также к услугам по реабилитации и поддержке реинтеграции в соответствии с Минимальными стандартными правилами Организации Объединенных Наций в отношении обращения с заключенными (Правила Нельсона Манделы) и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правила).</w:t>
      </w:r>
    </w:p>
    <w:p w14:paraId="045E370E" w14:textId="77777777" w:rsidR="00F15476" w:rsidRPr="00B63E55" w:rsidRDefault="00F15476" w:rsidP="00F15476">
      <w:pPr>
        <w:pStyle w:val="SingleTxtG"/>
      </w:pPr>
      <w:r>
        <w:t>31.</w:t>
      </w:r>
      <w:r>
        <w:tab/>
        <w:t xml:space="preserve">Комитет выражает глубокую обеспокоенность по поводу более чем 600 случаев насильственной смерти в местах лишения свободы в период с 2018 по 2023 год в результате насилия между заключенными и частых бунтов с человеческими </w:t>
      </w:r>
      <w:r>
        <w:lastRenderedPageBreak/>
        <w:t>жертвами</w:t>
      </w:r>
      <w:r w:rsidRPr="002775CB">
        <w:rPr>
          <w:rStyle w:val="aa"/>
          <w:rFonts w:eastAsia="Calibri"/>
          <w:szCs w:val="18"/>
        </w:rPr>
        <w:footnoteReference w:id="11"/>
      </w:r>
      <w:r>
        <w:t>. Он обеспокоен также сообщениями об убийствах тюремного персонала. Комитет с удовлетворением отмечает план подготовки сотрудников пенитенциарных учреждений с целью сокращения соотношения числа заключенных и тюремного персонала, а также усилия, предпринимаемые государством-участником для обеспечения надлежащего раздельного содержания заключенных. Вместе с тем Комитет с обеспокоенностью отмечает милитаризованный характер управления тюрьмами и полученную информацию об актах коррупции и просачивания организованной преступности в пенитенциарную систему, что, как сообщается, препятствует ее надлежащему функционированию, а также представленную делегацией информацию о положении дел с самоуправлением в тюрьмах (статьи 2, 6, 7, 9 и 10).</w:t>
      </w:r>
    </w:p>
    <w:p w14:paraId="2D72D919" w14:textId="77777777" w:rsidR="00F15476" w:rsidRPr="00B63E55" w:rsidRDefault="00F15476" w:rsidP="00F15476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Принимая во внимание обеспокоенность и рекомендации Комитета против пыток</w:t>
      </w:r>
      <w:r w:rsidRPr="002775CB">
        <w:rPr>
          <w:rStyle w:val="aa"/>
          <w:szCs w:val="18"/>
        </w:rPr>
        <w:footnoteReference w:id="12"/>
      </w:r>
      <w:r>
        <w:rPr>
          <w:b/>
          <w:bCs/>
        </w:rPr>
        <w:t>, Комитет настоятельно призывает государство-участник:</w:t>
      </w:r>
    </w:p>
    <w:p w14:paraId="29FF52B9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предотвращать случаи насилия в отношениях между заключенными, а также чрезмерного применения силы тюремным персоналом, в том числе посредством обучения соответствующих сотрудников методам деэскалации и выявления лиц, уязвимых к насилию в отношениях между заключенными, и обеспечения того, чтобы применение силы, когда это необходимо, было соразмерным и согласовывалось с соответствующими международными стандартами;</w:t>
      </w:r>
    </w:p>
    <w:p w14:paraId="4315575A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предусмотреть конфиденциальные механизмы внутренней отчетности, обеспечить проведение тщательного и беспристрастного расследования по сообщениям о насилии в отношениях между заключенными и о чрезмерном применении силы сотрудниками полиции и тюремной охраны, надлежащее наказание виновных в случае вынесения им приговора и предоставление жертвам соответствующих средств правовой защиты;</w:t>
      </w:r>
    </w:p>
    <w:p w14:paraId="24C4F0DD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принять неотложные меры для обеспечения тщательного и беспристрастного расследования всех случаев смерти в местах лишения свободы, привлечения виновных к ответственности и предоставления семьям жертв компенсации с должным учетом Миннесотского протокола по расследованию предположительно незаконного лишения жизни;</w:t>
      </w:r>
    </w:p>
    <w:p w14:paraId="3259079B" w14:textId="77777777" w:rsidR="00F15476" w:rsidRPr="004D5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принять необходимые меры для гарантии того, чтобы вооруженные силы во время</w:t>
      </w:r>
      <w:r>
        <w:rPr>
          <w:b/>
          <w:bCs/>
        </w:rPr>
        <w:t xml:space="preserve"> своего временного пребывания в пенитенциарных учреждениях</w:t>
      </w:r>
      <w:r w:rsidRPr="002D421D">
        <w:rPr>
          <w:b/>
          <w:bCs/>
        </w:rPr>
        <w:t xml:space="preserve"> </w:t>
      </w:r>
      <w:r>
        <w:rPr>
          <w:b/>
          <w:bCs/>
        </w:rPr>
        <w:t>строго соблюдали стандарты в области прав человека, и обеспечить надлежащую реализацию плана, гарантирующего постепенный и упорядоченный вывод вооруженных сил из тюрем, в соответствии с четким графиком и целями;</w:t>
      </w:r>
    </w:p>
    <w:p w14:paraId="1C859D6D" w14:textId="77777777" w:rsidR="00F15476" w:rsidRPr="00F15476" w:rsidRDefault="00F15476" w:rsidP="00F15476">
      <w:pPr>
        <w:pStyle w:val="SingleTxtG"/>
        <w:keepNext/>
        <w:keepLines/>
        <w:rPr>
          <w:b/>
          <w:bCs/>
        </w:rPr>
      </w:pPr>
      <w:r>
        <w:tab/>
      </w:r>
      <w:r w:rsidRPr="00F15476">
        <w:rPr>
          <w:b/>
          <w:bCs/>
        </w:rPr>
        <w:t>e)</w:t>
      </w:r>
      <w:r w:rsidRPr="00F15476">
        <w:rPr>
          <w:b/>
          <w:bCs/>
        </w:rPr>
        <w:tab/>
        <w:t>принять комплексную пенитенциарную политику, направленную на преодоление нынешнего кризиса пенитенциарной системы и его системных причин на основе правозащитного подхода, и, среди прочего, укрепить потенциал Национальной системы социальной реабилитации, выделив достаточный объем кадровых и финансовых ресурсов для ее эффективного функционирования;</w:t>
      </w:r>
    </w:p>
    <w:p w14:paraId="4CF52973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f)</w:t>
      </w:r>
      <w:r w:rsidRPr="00F15476">
        <w:rPr>
          <w:b/>
          <w:bCs/>
        </w:rPr>
        <w:tab/>
        <w:t>привлекать к судебной и дисциплинарной ответственности должностных</w:t>
      </w:r>
      <w:r>
        <w:rPr>
          <w:b/>
          <w:bCs/>
        </w:rPr>
        <w:t xml:space="preserve"> лиц, государственных служащих и других сотрудников учреждений пенитенциарной системы, виновных в коррупции.</w:t>
      </w:r>
    </w:p>
    <w:p w14:paraId="74440C39" w14:textId="77777777" w:rsidR="00F15476" w:rsidRDefault="00F15476" w:rsidP="00F15476">
      <w:pPr>
        <w:pStyle w:val="H23G"/>
      </w:pPr>
      <w:r>
        <w:lastRenderedPageBreak/>
        <w:tab/>
      </w:r>
      <w:r>
        <w:tab/>
      </w:r>
      <w:r>
        <w:rPr>
          <w:bCs/>
        </w:rPr>
        <w:t>Торговля людьми</w:t>
      </w:r>
    </w:p>
    <w:p w14:paraId="7195D2AD" w14:textId="77777777" w:rsidR="00F15476" w:rsidRPr="00F23F86" w:rsidRDefault="00F15476" w:rsidP="00F15476">
      <w:pPr>
        <w:pStyle w:val="SingleTxtG"/>
      </w:pPr>
      <w:r>
        <w:t>33.</w:t>
      </w:r>
      <w:r>
        <w:tab/>
        <w:t>Комитет приветствует усилия государства-участника по борьбе с торговлей людьми, включая обучение по вопросам торговли людьми, принятие Плана действий по борьбе с торговлей людьми на 2019–2030 годы и создание Межведомственного координационного комитета по предупреждению торговли людьми и незаконного ввоза мигрантов и по защите их жертв. Тем не менее Комитет обеспокоен ограниченным количеством обвинительных приговоров по делам о торговле людьми. Комитет обеспокоен также тем, что представлена ограниченная информация о полученном возмещении или помощи, об имеющихся услугах и приютах, а также об интеграции жертв (статья 8).</w:t>
      </w:r>
    </w:p>
    <w:p w14:paraId="1BC02D50" w14:textId="1C5F4EA7" w:rsidR="00F15476" w:rsidRPr="00B63E55" w:rsidRDefault="00F15476" w:rsidP="00F15476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Государству-участнику следует продолжать активизировать усилия по пресечению, предупреждению, искоренению и наказанию торговли людьми.</w:t>
      </w:r>
      <w:r>
        <w:t xml:space="preserve"> </w:t>
      </w:r>
      <w:r w:rsidR="00C97FFD" w:rsidRPr="00846729">
        <w:br/>
      </w:r>
      <w:r>
        <w:rPr>
          <w:b/>
          <w:bCs/>
        </w:rPr>
        <w:t>В частности, государству-участнику следует:</w:t>
      </w:r>
    </w:p>
    <w:p w14:paraId="36971048" w14:textId="0F590EE0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активизировать усилия по систематическому выявлению, предотвращению и пресечению торговли мигрантами, беженцами и просителями убежища, особенно теми, кто подвергается повышенному риску, например несопровождаемыми или разлученными с родителями детьми;</w:t>
      </w:r>
    </w:p>
    <w:p w14:paraId="5C58792A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удвоить усилия по выявлению жертв торговли людьми и по предоставлению им, особенно мигрантам и беженцам, ставшим жертвами торговли людьми, комплексного возмещения ущерба, медицинской, психологической, материальной и юридической помощи, помощи в социальной реинтеграции, а также защиты от повторной виктимизации и обеспечить защиту жертв торговли людьми от уголовной ответственности за противоправные действия, совершенные как прямое следствие торговли людьми;</w:t>
      </w:r>
    </w:p>
    <w:p w14:paraId="492D2663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продолжать усилия по обеспечению надлежащей подготовки всех соответствующих государственных служащих, включая судей, прокуроров, сотрудников правоохранительных органов, иммиграционных служб, медицинских работников и сотрудников всех приютов, а также адвокатов, с целью повышения их способности выявлять, расследовать и преследовать случаи торговли людьми и эффективно удовлетворять потребности ее жертв;</w:t>
      </w:r>
    </w:p>
    <w:p w14:paraId="64266D8B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гарантировать выделение достаточных финансовых, технических и кадровых</w:t>
      </w:r>
      <w:r>
        <w:rPr>
          <w:b/>
          <w:bCs/>
        </w:rPr>
        <w:t xml:space="preserve"> ресурсов всем учреждениям, отвечающим за предотвращение и пресечение торговли людьми и принудительного труда и за наказание за них, а также обеспечить предоставление защиты и помощи жертвам.</w:t>
      </w:r>
    </w:p>
    <w:p w14:paraId="31455593" w14:textId="77777777" w:rsidR="00F15476" w:rsidRDefault="00F15476" w:rsidP="00F15476">
      <w:pPr>
        <w:pStyle w:val="H23G"/>
      </w:pPr>
      <w:r>
        <w:tab/>
      </w:r>
      <w:r>
        <w:tab/>
      </w:r>
      <w:r>
        <w:rPr>
          <w:bCs/>
        </w:rPr>
        <w:t>Независимость судебных органов</w:t>
      </w:r>
      <w:bookmarkStart w:id="6" w:name="_Hlk181718181"/>
      <w:bookmarkEnd w:id="6"/>
    </w:p>
    <w:p w14:paraId="4BF0A757" w14:textId="77777777" w:rsidR="00F15476" w:rsidRDefault="00F15476" w:rsidP="00F15476">
      <w:pPr>
        <w:pStyle w:val="SingleTxtG"/>
      </w:pPr>
      <w:r>
        <w:t>35.</w:t>
      </w:r>
      <w:r>
        <w:tab/>
        <w:t>Комитет принимает к сведению меры, принятые для укрепления независимости судей и прокуроров, включая принятие Стратегического плана для судебных органов (2019–2025 годы). Тем не менее Комитет выражает глубокую обеспокоенность по поводу нарушений в процессах отбора и увольнения судей и прокуроров в контексте судебной реформы, проведенной после референдума 2018 года</w:t>
      </w:r>
      <w:r w:rsidRPr="002775CB">
        <w:rPr>
          <w:rStyle w:val="aa"/>
          <w:szCs w:val="18"/>
        </w:rPr>
        <w:footnoteReference w:id="13"/>
      </w:r>
      <w:r>
        <w:t xml:space="preserve">. Кроме того, он обеспокоен сообщениями о том, что процессы отбора и назначения судей и прокуроров, а также высокопоставленных должностных лиц Совета судей и Генеральной прокуратуры характеризуются отсутствием должной прозрачности, публичности и общественного контроля, необходимых для обеспечения применения объективных критериев при оценке заслуг и способностей кандидатов и для того, чтобы оградить их от неправомерного политического влияния. Он обеспокоен также отсутствием прозрачных процедур оценки деятельности Совета по вопросам участия граждан и общественного контроля и отсутствием информации о гарантиях, предоставляемых дисциплинарным режимом для судей и прокуроров в целях обеспечения независимости судебных органов. Комитет обеспокоен и полученными утверждениями о нарушениях в процессе отбора кандидатов в Национальный суд, </w:t>
      </w:r>
      <w:r>
        <w:lastRenderedPageBreak/>
        <w:t>Конституционный суд и прокуратуру, который будет проходить в период с 2024 по 2025 год (статья 14).</w:t>
      </w:r>
    </w:p>
    <w:p w14:paraId="6A50A49F" w14:textId="77777777" w:rsidR="00F15476" w:rsidRDefault="00F15476" w:rsidP="00F15476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Государству-участнику следует активизировать усилия по обеспечению полной независимости и беспристрастности судебной системы.</w:t>
      </w:r>
      <w:r>
        <w:t xml:space="preserve"> </w:t>
      </w:r>
      <w:r>
        <w:rPr>
          <w:b/>
          <w:bCs/>
        </w:rPr>
        <w:t>При этом ему следует:</w:t>
      </w:r>
    </w:p>
    <w:p w14:paraId="32C856CE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принять неотложные меры для обеспечения того, чтобы дисциплинарные процедуры и процедуры отбора, назначения, временного отстранения от должности, перевода и увольнения судей и прокуроров соответствовали Пакту и соответствующим международным стандартам, включая Основные принципы независимости судебных органов и Руководящие принципы, касающиеся роли лиц, осуществляющих судебное преследование, и основывались исключительно на объективных и прозрачных критериях оценки заслуг кандидатов в соответствии с требованиями соответствия профессиональной пригодности, компетентности и добросовестности;</w:t>
      </w:r>
    </w:p>
    <w:p w14:paraId="4AB6FE05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избегать вмешательства Совета по вопросам участия граждан и общественного контроля в процесс отбора и назначения судей и прокуроров с другими критериями, кроме тех, которые связаны со способностями и заслугами кандидатов;</w:t>
      </w:r>
    </w:p>
    <w:p w14:paraId="693BCFD8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</w:r>
      <w:r>
        <w:rPr>
          <w:b/>
          <w:bCs/>
        </w:rPr>
        <w:t>обнародовать критерии, в соответствии с которыми будут производиться назначения в Национальный суд, Конституционный суд и прокуратуру в текущем и следующем годах.</w:t>
      </w:r>
    </w:p>
    <w:p w14:paraId="36A17CFE" w14:textId="77777777" w:rsidR="00F15476" w:rsidRPr="00E21107" w:rsidRDefault="00F15476" w:rsidP="00F15476">
      <w:pPr>
        <w:pStyle w:val="SingleTxtG"/>
      </w:pPr>
      <w:bookmarkStart w:id="7" w:name="_Hlk180516419"/>
      <w:r>
        <w:t>37.</w:t>
      </w:r>
      <w:r>
        <w:tab/>
        <w:t>Комитет принимает к сведению меры, принятые для укрепления функционирования судебных подразделений, специализирующихся на преступлениях, связанных с коррупцией и организованной преступностью. Тем не менее он по-прежнему обеспокоен сообщениями о коррупции в судебной системе, в том числе расследованиями Генеральной прокуратуры, свидетельствующими о том, что криминальные структуры якобы дают работникам системы правосудия взятки в обмен на благоприятные решения, изменения в составе судов, необоснованные задержки в рассмотрении дел и перевод на улучшенные условия отбывания наказания для членов организованных преступных группировок и их родственников, что приводит к высокой степени недоверия населения к работникам системы правосудия и к убеждению, что организованная преступность проникает в судебную систему. Кроме того, он с обеспокоенностью отмечает ограниченность принятых превентивных и защитных мер в связи с убийствами, угрозами, запугиванием и нападениями в отношении судей, прокуроров и других работников системы правосудия (статья 14).</w:t>
      </w:r>
    </w:p>
    <w:bookmarkEnd w:id="7"/>
    <w:p w14:paraId="6C44E8D9" w14:textId="77777777" w:rsidR="00F15476" w:rsidRPr="00B63E55" w:rsidRDefault="00F15476" w:rsidP="00F15476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Государству-участнику следует:</w:t>
      </w:r>
    </w:p>
    <w:p w14:paraId="2AA5BF19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обеспечить независимое и беспристрастное расследование всех случаев коррупции, а также преследование и наказание лиц, ответственных за коррупцию, включая коррупцию на высоком уровне и коррупцию в судебной системе, в соответствии с тяжестью совершенного преступления;</w:t>
      </w:r>
    </w:p>
    <w:p w14:paraId="33A0FC12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проводить обучение сотрудников правоохранительных органов, прокуратуры и судов по вопросам выявления, расследования и судебного преследования коррупции, особенно коррупции на высоком уровне;</w:t>
      </w:r>
    </w:p>
    <w:p w14:paraId="41F31E26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</w:r>
      <w:r>
        <w:rPr>
          <w:b/>
          <w:bCs/>
        </w:rPr>
        <w:t>продолжать усилия по принятию комплексных превентивных и защитных мер для обеспечения безопасного и независимого выполнения судьями, прокурорами и другими работниками системы правосудия своих функций без опасения угроз, запугивания, противодействия, травли, репрессивных мер или уголовного преследования.</w:t>
      </w:r>
    </w:p>
    <w:p w14:paraId="26D868F4" w14:textId="77777777" w:rsidR="00F15476" w:rsidRDefault="00F15476" w:rsidP="00F15476">
      <w:pPr>
        <w:pStyle w:val="H23G"/>
        <w:rPr>
          <w:bCs/>
        </w:rPr>
      </w:pPr>
      <w:r>
        <w:tab/>
      </w:r>
      <w:r>
        <w:tab/>
      </w:r>
      <w:r>
        <w:tab/>
      </w:r>
      <w:r>
        <w:rPr>
          <w:bCs/>
        </w:rPr>
        <w:t>Обращение с иностранцами, включая беженцев и просителей убежища</w:t>
      </w:r>
    </w:p>
    <w:p w14:paraId="573F279D" w14:textId="669C4F4F" w:rsidR="00F15476" w:rsidRDefault="00F15476" w:rsidP="00F15476">
      <w:pPr>
        <w:pStyle w:val="SingleTxtG"/>
      </w:pPr>
      <w:r>
        <w:t>39.</w:t>
      </w:r>
      <w:r>
        <w:tab/>
        <w:t xml:space="preserve">Комитет принимает к сведению меры, принятые для решения проблемы потока миграции через северную границу, а также осуществление процессов урегулирования статуса мигрантов, прибывающих из Боливарианской Республики Венесуэла. Тем не менее Комитет обеспокоен ограниченностью процессов урегулирования статуса, </w:t>
      </w:r>
      <w:r>
        <w:lastRenderedPageBreak/>
        <w:t>которые, как сообщается, не распространяются на венесуэльцев, прибывших на территорию государства-участника после 2022 года. В этой связи он с обеспокоенностью отмечает, что в государстве-участнике наблюдается один из самых высоких показателей нелегальных мигрантов из Венесуэлы (68</w:t>
      </w:r>
      <w:r w:rsidR="00C97FFD">
        <w:rPr>
          <w:lang w:val="en-US"/>
        </w:rPr>
        <w:t> </w:t>
      </w:r>
      <w:r>
        <w:t>%). Принимая к сведению усилия государства-участника по защите прав человека мигрантов, беженцев и просителей убежища, Комитет, тем не менее, обеспокоен сообщениями о том, что они предположительно являются жертвами произвольных задержаний, вымогательства, торговли людьми, запугивания и угроз, а также сожалеет об отсутствии конкретной информации о мерах, принятых для обеспечения жертвам таких деяний доступа к правосудию (статьи 2, 6, 8, 9 и 12).</w:t>
      </w:r>
    </w:p>
    <w:p w14:paraId="2CDF9D1C" w14:textId="77777777" w:rsidR="00F15476" w:rsidRPr="00B63E55" w:rsidRDefault="00F15476" w:rsidP="00F15476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Государству-участнику следует:</w:t>
      </w:r>
    </w:p>
    <w:p w14:paraId="199B044E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активизировать усилия по урегулированию статуса лиц, нуждающихся в международной защите, в частности путем признания их правового статуса, и предоставить им доступ к социальным услугам, локальной интеграции и возможностям для получения образования, реагируя при этом на особые потребности тех, кто находится в уязвимом положении;</w:t>
      </w:r>
    </w:p>
    <w:p w14:paraId="6B00E299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удвоить усилия по расследованию утверждений о произвольных задержаниях</w:t>
      </w:r>
      <w:r>
        <w:rPr>
          <w:b/>
          <w:bCs/>
        </w:rPr>
        <w:t>, вымогательстве, торговле людьми, запугивании и угрозах в отношении мигрантов, беженцев и просителей убежища,</w:t>
      </w:r>
      <w:r>
        <w:t xml:space="preserve"> </w:t>
      </w:r>
      <w:r>
        <w:rPr>
          <w:b/>
          <w:bCs/>
        </w:rPr>
        <w:t>преследовать и наказывать виновных,</w:t>
      </w:r>
      <w:r>
        <w:t xml:space="preserve"> </w:t>
      </w:r>
      <w:r>
        <w:rPr>
          <w:b/>
          <w:bCs/>
        </w:rPr>
        <w:t>обеспечивать доступ к правосудию при полном соблюдении прав человека этих жертв и предоставлять им адекватное возмещение ущерба и компенсацию.</w:t>
      </w:r>
    </w:p>
    <w:p w14:paraId="1C02059D" w14:textId="77777777" w:rsidR="00F15476" w:rsidRDefault="00F15476" w:rsidP="00F15476">
      <w:pPr>
        <w:pStyle w:val="H23G"/>
      </w:pPr>
      <w:r>
        <w:tab/>
      </w:r>
      <w:r>
        <w:tab/>
      </w:r>
      <w:r>
        <w:rPr>
          <w:bCs/>
        </w:rPr>
        <w:t>Правозащитники</w:t>
      </w:r>
    </w:p>
    <w:p w14:paraId="149E1F98" w14:textId="159B82C9" w:rsidR="00F15476" w:rsidRDefault="00F15476" w:rsidP="00F15476">
      <w:pPr>
        <w:pStyle w:val="SingleTxtG"/>
      </w:pPr>
      <w:r>
        <w:t>41.</w:t>
      </w:r>
      <w:r>
        <w:tab/>
        <w:t>Принимая к сведению усилия государства-участника по защите правозащитников, Комитет все же обеспокоен тем, что до сих пор не существует ни комплексной политики, способствующей принятию эффективных защитных и превентивных мер, ни специализированного механизма защиты правозащитников. Комитет высоко оценивает меры, принятые для предотвращения насилия, а также для защиты и поощрения прав человека правозащитников, например разработку уголовной политики для обеспечения доступа правозащитников к правосудию. Тем не менее Комитет по-прежнему обеспокоен высокими показателями агрессии в отношении правозащитников и защитников окружающей среды, в частности нападениями, убийствами, запугиванием, актами стигматизации, криминализацией, незаконными задержаниями и клеветническими кампаниями, а также сохраняющейся безнаказанностью в подобных случаях</w:t>
      </w:r>
      <w:r w:rsidRPr="002775CB">
        <w:rPr>
          <w:rStyle w:val="aa"/>
          <w:szCs w:val="18"/>
        </w:rPr>
        <w:footnoteReference w:id="14"/>
      </w:r>
      <w:r>
        <w:t>. Кроме того, он обеспокоен сообщениями об использовании уголовных и дисциплинарных производств в качестве механизма запугивания и угроз в отношении правозащитников и защитников окружающей среды</w:t>
      </w:r>
      <w:r w:rsidRPr="002775CB">
        <w:rPr>
          <w:rStyle w:val="aa"/>
          <w:szCs w:val="18"/>
        </w:rPr>
        <w:footnoteReference w:id="15"/>
      </w:r>
      <w:r>
        <w:t>, а также журналистов, расследующих дела о коррупции (статьи 9, 14, 19 и 21).</w:t>
      </w:r>
      <w:bookmarkStart w:id="8" w:name="_Hlk180929650"/>
      <w:bookmarkEnd w:id="8"/>
    </w:p>
    <w:p w14:paraId="112ECF9B" w14:textId="77777777" w:rsidR="00F15476" w:rsidRPr="00B63E55" w:rsidRDefault="00F15476" w:rsidP="00F15476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Государству-участнику следует принять и реализовать национальную политику по защите правозащитников при широком участии гражданского общества, предусматривающую необходимость превентивных мер и мер защиты правозащитников и недопущения их стигматизации, а также борьбу с безнаказанностью.</w:t>
      </w:r>
      <w:r>
        <w:t xml:space="preserve"> </w:t>
      </w:r>
      <w:r>
        <w:rPr>
          <w:b/>
          <w:bCs/>
        </w:rPr>
        <w:t>Кроме того, ему следует обеспечить, чтобы эта политика была ориентирована на территории с наиболее высоким уровнем насилия и включала в себя дифференцированный, этнический, гендерный, феминистский и межсекторальный подходы, а также обеспечить ее эффективное осуществление, в том числе предоставив Управлению Верховного комиссара Организации Объединенных Наций по правам человека возможность оказывать поддержку в наращивании потенциала.</w:t>
      </w:r>
      <w:r>
        <w:t xml:space="preserve"> </w:t>
      </w:r>
      <w:r>
        <w:rPr>
          <w:b/>
          <w:bCs/>
        </w:rPr>
        <w:t>Помимо этого, ему следует активизировать усилия, с тем чтобы:</w:t>
      </w:r>
      <w:bookmarkStart w:id="9" w:name="_Hlk180930058"/>
    </w:p>
    <w:bookmarkEnd w:id="9"/>
    <w:p w14:paraId="4BDF286D" w14:textId="77777777" w:rsidR="00F15476" w:rsidRPr="00B63E55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</w:r>
      <w:r>
        <w:rPr>
          <w:b/>
          <w:bCs/>
        </w:rPr>
        <w:t xml:space="preserve">создать механизм, специализирующийся на защите правозащитников и защитников окружающей среды путем выделения </w:t>
      </w:r>
      <w:r>
        <w:rPr>
          <w:b/>
          <w:bCs/>
        </w:rPr>
        <w:lastRenderedPageBreak/>
        <w:t>достаточного объема финансовых и кадровых ресурсов для их деятельности, осуществлять меры по устранению структурных факторов риска в части как реагирования, так и предупреждения, и проводить мероприятия по информированию общественности о деятельности механизма;</w:t>
      </w:r>
    </w:p>
    <w:p w14:paraId="4B1EC380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b)</w:t>
      </w:r>
      <w:r w:rsidRPr="00F15476">
        <w:rPr>
          <w:b/>
          <w:bCs/>
        </w:rPr>
        <w:tab/>
        <w:t>предоставить правозащитникам, в том числе защитникам экологических прав, прав коренных народов и лиц африканского происхождения, а также общественным активистам, лидерам общин и журналистам, ставшим жертвами угроз, насилия и запугивания, эффективные гарантии помощи и защиты и обеспечить им возможности осуществлять деятельность в надлежащих условиях, в том числе путем принятия мер коллективной защиты и эффективного применения предупредительных мер;</w:t>
      </w:r>
    </w:p>
    <w:p w14:paraId="763EE089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c)</w:t>
      </w:r>
      <w:r w:rsidRPr="00F15476">
        <w:rPr>
          <w:b/>
          <w:bCs/>
        </w:rPr>
        <w:tab/>
        <w:t>обеспечить проведение оперативного, тщательного, независимого и беспристрастного расследования всех жалоб на преследование, запугивание и насилие в отношении правозащитников, привлечение виновных к ответственности и в случае вынесения им приговора назначение им наказания, соразмерного тяжести совершенного преступления;</w:t>
      </w:r>
    </w:p>
    <w:p w14:paraId="6538DC35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пересмотреть законодательство для обеспечения надлежащей защиты тех</w:t>
      </w:r>
      <w:r>
        <w:rPr>
          <w:b/>
          <w:bCs/>
        </w:rPr>
        <w:t>, кто сообщает о нарушениях, свидетелей и жертв коррупции, не допуская их уголовного преследования, а также угроз и репрессий в их адрес.</w:t>
      </w:r>
    </w:p>
    <w:p w14:paraId="5164C195" w14:textId="77777777" w:rsidR="00F15476" w:rsidRPr="00354467" w:rsidRDefault="00F15476" w:rsidP="00F15476">
      <w:pPr>
        <w:pStyle w:val="H23G"/>
      </w:pPr>
      <w:bookmarkStart w:id="10" w:name="_Hlk179013702"/>
      <w:r>
        <w:tab/>
      </w:r>
      <w:r>
        <w:tab/>
      </w:r>
      <w:r>
        <w:rPr>
          <w:bCs/>
        </w:rPr>
        <w:t>Свобода выражения мнений и свобода мирных собраний</w:t>
      </w:r>
      <w:bookmarkEnd w:id="10"/>
    </w:p>
    <w:p w14:paraId="2163534A" w14:textId="77777777" w:rsidR="00F15476" w:rsidRDefault="00F15476" w:rsidP="00F15476">
      <w:pPr>
        <w:pStyle w:val="SingleTxtG"/>
      </w:pPr>
      <w:r>
        <w:t>43.</w:t>
      </w:r>
      <w:r>
        <w:tab/>
        <w:t>Комитет приветствует создание Механизма по предупреждению нарушений в отношении журналистской работы и по ее защите. Тем не менее Комитет сожалеет, что этот механизм не располагает достаточным бюджетом для безотлагательного выполнения своего мандата согласно соответствующему законодательству. Кроме того, он обеспокоен утверждениями об ограниченном сотрудничестве механизма с гражданским обществом. Комитет обеспокоен также сообщениями о преследованиях, нападениях и насилии в отношении журналистов и других работников средств массовой информации (СМИ), включая принудительное изгнание. Аналогичным образом, Комитет обеспокоен нарушениями права на свободу выражения мнений и права на мирные собрания, которые имели место в контексте демонстраций в 2019 и 2022 годах, в частности чрезмерным применением силы против манифестантов и журналистов сотрудниками сил безопасности, а также отсутствием информации о результатах расследований (статьи 6, 7, 9, 12, 14, 19 и 21).</w:t>
      </w:r>
      <w:bookmarkStart w:id="11" w:name="_Hlk179131475"/>
      <w:bookmarkEnd w:id="11"/>
    </w:p>
    <w:p w14:paraId="7A7EEF68" w14:textId="77777777" w:rsidR="00F15476" w:rsidRPr="00E70E9E" w:rsidRDefault="00F15476" w:rsidP="00F15476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Государству-участнику следует принять необходимые меры, с тем чтобы гарантировать полное осуществление свободы выражения мнений и свободы мирных собраний всеми лицами, принимая во внимание замечания общего порядка Комитета № 34 (2011) о свободе мнений и их выражения и № 37 (2020) о праве на мирные собрания.</w:t>
      </w:r>
      <w:r>
        <w:t xml:space="preserve"> </w:t>
      </w:r>
      <w:r>
        <w:rPr>
          <w:b/>
          <w:bCs/>
        </w:rPr>
        <w:t>Комитет призывает государство-участник:</w:t>
      </w:r>
    </w:p>
    <w:p w14:paraId="72B36B74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>укрепить Механизм по предупреждению нарушений в отношении журналистской работы и по ее защите, выделив ему достаточный объем финансовых, технических и кадровых ресурсов для его эффективного функционирования, и обеспечить эффективное участие гражданского общества в работе механизма;</w:t>
      </w:r>
    </w:p>
    <w:p w14:paraId="682E38F3" w14:textId="77777777" w:rsidR="00F15476" w:rsidRPr="004D5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 w:rsidRPr="00F15476">
        <w:rPr>
          <w:b/>
          <w:bCs/>
        </w:rPr>
        <w:tab/>
        <w:t>обеспечить безотлагательное, тщательное, беспристрастное и результативное</w:t>
      </w:r>
      <w:r>
        <w:rPr>
          <w:b/>
          <w:bCs/>
        </w:rPr>
        <w:t xml:space="preserve"> расследование всех утверждений, касающихся актов преследования и запугивания в отношении журналистов и работников СМИ,</w:t>
      </w:r>
      <w:r>
        <w:t xml:space="preserve"> </w:t>
      </w:r>
      <w:r>
        <w:rPr>
          <w:b/>
          <w:bCs/>
        </w:rPr>
        <w:t>судебное преследование и надлежащее наказание виновных, а также предоставление жертвам полного возмещения ущерба;</w:t>
      </w:r>
      <w:r>
        <w:t xml:space="preserve"> </w:t>
      </w:r>
    </w:p>
    <w:p w14:paraId="504BAD33" w14:textId="77777777" w:rsidR="00F15476" w:rsidRPr="00B63E55" w:rsidRDefault="00F15476" w:rsidP="00F15476">
      <w:pPr>
        <w:pStyle w:val="SingleTxtG"/>
        <w:keepNext/>
        <w:keepLines/>
        <w:rPr>
          <w:b/>
          <w:bCs/>
        </w:rPr>
      </w:pPr>
      <w:r>
        <w:lastRenderedPageBreak/>
        <w:tab/>
      </w:r>
      <w:r w:rsidRPr="00F15476">
        <w:rPr>
          <w:b/>
          <w:bCs/>
        </w:rPr>
        <w:t>c)</w:t>
      </w:r>
      <w:r>
        <w:tab/>
      </w:r>
      <w:r>
        <w:rPr>
          <w:b/>
          <w:bCs/>
        </w:rPr>
        <w:t>гарантировать и уважать права населения, особенно организаций коренных народов и крестьян, на мирные собрания и демонстрации и обеспечивать, чтобы применение прав на свободу мнений и их выражения и на мирные собрания полностью соответствовало требованиям, установленным в пункте 3 статьи 19 и статье 21 Пакта.</w:t>
      </w:r>
    </w:p>
    <w:p w14:paraId="02405F17" w14:textId="77777777" w:rsidR="00F15476" w:rsidRPr="00354467" w:rsidRDefault="00F15476" w:rsidP="00F15476">
      <w:pPr>
        <w:pStyle w:val="H23G"/>
      </w:pPr>
      <w:r>
        <w:tab/>
      </w:r>
      <w:r>
        <w:tab/>
      </w:r>
      <w:r>
        <w:rPr>
          <w:bCs/>
        </w:rPr>
        <w:t>Свобода ассоциации</w:t>
      </w:r>
    </w:p>
    <w:p w14:paraId="7A8C957F" w14:textId="25F3AB0B" w:rsidR="00F15476" w:rsidRDefault="00F15476" w:rsidP="00F15476">
      <w:pPr>
        <w:pStyle w:val="SingleTxtG"/>
      </w:pPr>
      <w:r>
        <w:t>45.</w:t>
      </w:r>
      <w:r>
        <w:tab/>
        <w:t xml:space="preserve">Комитет обеспокоен сообщениями об использовании Стратегии добросовестности для организаций гражданского общества/неправительственных организаций в целях ограничения деятельности неправительственных организаций. </w:t>
      </w:r>
      <w:r w:rsidR="001C5A4E" w:rsidRPr="00846729">
        <w:br/>
      </w:r>
      <w:r>
        <w:t>В частности, Комитет выражает обеспокоенность содержащимися в указанной стратегии требованиями к организациям гражданского общества для сохранения их правового статуса, которые могут стать препятствием для свободного осуществления их деятельности и представляют собой неоправданное ограничение права на свободу ассоциации (статья 22).</w:t>
      </w:r>
    </w:p>
    <w:p w14:paraId="7E50266A" w14:textId="647CB29B" w:rsidR="00F15476" w:rsidRPr="00B63E55" w:rsidRDefault="00F15476" w:rsidP="00F15476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В соответствии со статьей 22 Пакта государству-участнику следует принять необходимые меры для того, чтобы гарантировать в законодательстве и на практике эффективное осуществление права на свободу ассоциации и чтобы члены организаций гражданского общества могли пользоваться своей свободой ассоциации, не подвергаясь ограничениям, несовместимым с Пактом.</w:t>
      </w:r>
      <w:r>
        <w:t xml:space="preserve"> </w:t>
      </w:r>
      <w:r w:rsidRPr="00846729">
        <w:br/>
      </w:r>
      <w:r>
        <w:rPr>
          <w:b/>
          <w:bCs/>
        </w:rPr>
        <w:t>В частности, ему не следует принимать меры или законы, которые могут ограничивать осуществление права на свободу ассоциации или приводить к необоснованному контролю за организациями гражданского общества или вмешательству в их деятельность.</w:t>
      </w:r>
    </w:p>
    <w:p w14:paraId="63DEBC66" w14:textId="77777777" w:rsidR="00F15476" w:rsidRDefault="00F15476" w:rsidP="00F15476">
      <w:pPr>
        <w:pStyle w:val="H23G"/>
      </w:pPr>
      <w:r>
        <w:tab/>
      </w:r>
      <w:r>
        <w:tab/>
      </w:r>
      <w:r>
        <w:rPr>
          <w:bCs/>
        </w:rPr>
        <w:t>Права коренных народов</w:t>
      </w:r>
      <w:bookmarkStart w:id="12" w:name="_Hlk178770938"/>
      <w:bookmarkEnd w:id="12"/>
    </w:p>
    <w:p w14:paraId="72EE73B0" w14:textId="1899EF44" w:rsidR="00F15476" w:rsidRDefault="00F15476" w:rsidP="00F15476">
      <w:pPr>
        <w:pStyle w:val="SingleTxtG"/>
      </w:pPr>
      <w:r>
        <w:t>47.</w:t>
      </w:r>
      <w:r>
        <w:tab/>
        <w:t>Комитет обеспокоен задержкой с завершением разработки и принятием проекта органического закона, регулирующего право коренных общин, сообществ, народов и народностей на консультации и свободное, предварительное и осознанное согласие, а также сообщениями о том, что государство-участник применяет Исполнительный указ</w:t>
      </w:r>
      <w:r>
        <w:rPr>
          <w:lang w:val="en-US"/>
        </w:rPr>
        <w:t> </w:t>
      </w:r>
      <w:r>
        <w:t>№ 754 в отношении коренных общин, сообществ, народов и народностей в нарушение постановления Конституционного суда № 51-23-IN/23 от 2023 года. В этой связи он обеспокоен тем, что присутствие вооруженных сил и операции в контексте применения Исполнительного указа № 754 спровоцировали рост насилия, что привело к жестоким столкновениям и криминализации правозащитников. Комитет обеспокоен также сообщениями о том, что не были проведены адекватные и достаточно широкие консультации для получения свободного, предварительного и осознанного согласия коренных народов и народностей на реализацию на их землях планов и программ, которые могут затронуть их в экологическом или культурном плане, в том числе в рамках горнодобывающих проектов Сан-Карлос Пананца, Варинца, Рио-Бланко, Курипамба-эль-Домо, Ла-Плата и Мирадор. Кроме того, он обеспокоен сообщениями об опасностях, связанных с загрязнением и разливами нефти в населенных районах, в частности в районах проживания коренных народов (статьи 6, 19 и 27).</w:t>
      </w:r>
    </w:p>
    <w:p w14:paraId="40D91096" w14:textId="77777777" w:rsidR="00F15476" w:rsidRPr="00995453" w:rsidRDefault="00F15476" w:rsidP="00F15476">
      <w:pPr>
        <w:pStyle w:val="SingleTxtG"/>
      </w:pPr>
      <w:r>
        <w:t>48.</w:t>
      </w:r>
      <w:r>
        <w:tab/>
      </w:r>
      <w:r>
        <w:rPr>
          <w:b/>
          <w:bCs/>
        </w:rPr>
        <w:t>Государству-участнику следует:</w:t>
      </w:r>
    </w:p>
    <w:p w14:paraId="625E28D3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a)</w:t>
      </w:r>
      <w:r w:rsidRPr="00F15476">
        <w:rPr>
          <w:b/>
          <w:bCs/>
        </w:rPr>
        <w:tab/>
        <w:t xml:space="preserve">ускорить утверждение эффективных, надлежащих и юридически обязательных закона и протоколов о консультациях и свободном, предварительном и осознанном согласии, включая эффективный механизм консультаций, при эффективном и конструктивном участии коренных народов и народностей и обеспечить соответствие указанных закона и механизма принципам Пакта, Конвенции Международной организации труда о коренных народах и народах, ведущих племенной образ жизни, 1989 года (№ 169), Декларации Организации Объединенных Наций о правах коренных народов и другим международным стандартам, а также статье 57 Конституции; </w:t>
      </w:r>
    </w:p>
    <w:p w14:paraId="51511ACA" w14:textId="77777777" w:rsidR="00F15476" w:rsidRPr="004D5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b)</w:t>
      </w:r>
      <w:r>
        <w:tab/>
      </w:r>
      <w:r>
        <w:rPr>
          <w:b/>
          <w:bCs/>
        </w:rPr>
        <w:t xml:space="preserve">гарантировать добросовестное проведение эффективных консультаций с коренными народами, обеспечивая их активное и действенное участие, с целью получения их свободного, предварительного и осознанного </w:t>
      </w:r>
      <w:r>
        <w:rPr>
          <w:b/>
          <w:bCs/>
        </w:rPr>
        <w:lastRenderedPageBreak/>
        <w:t>согласия до принятия и реализации любых мер, которые могут существенно повлиять на их права, образ жизни и культуру, в частности проектов по развитию инфраструктуры или эксплуатации природных ресурсов;</w:t>
      </w:r>
    </w:p>
    <w:p w14:paraId="2F7DA60E" w14:textId="77777777" w:rsidR="00F15476" w:rsidRPr="00F15476" w:rsidRDefault="00F15476" w:rsidP="00F15476">
      <w:pPr>
        <w:pStyle w:val="SingleTxtG"/>
        <w:rPr>
          <w:b/>
          <w:bCs/>
        </w:rPr>
      </w:pPr>
      <w:r>
        <w:tab/>
      </w:r>
      <w:r w:rsidRPr="00F15476">
        <w:rPr>
          <w:b/>
          <w:bCs/>
        </w:rPr>
        <w:t>c)</w:t>
      </w:r>
      <w:r w:rsidRPr="00F15476">
        <w:rPr>
          <w:b/>
          <w:bCs/>
        </w:rPr>
        <w:tab/>
        <w:t>принимать меры по обеспечению реституции коренным народам и народностям их традиционных земель, территорий и ресурсов, которые были конфискованы, заняты, использованы или повреждены без получения их свободного, предварительного и осознанного согласия, и только в тех случаях, когда это невозможно, предоставлять им справедливую и честную компенсацию;</w:t>
      </w:r>
    </w:p>
    <w:p w14:paraId="0258256E" w14:textId="77777777" w:rsidR="00F15476" w:rsidRPr="00F15476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d)</w:t>
      </w:r>
      <w:r w:rsidRPr="00F15476">
        <w:rPr>
          <w:b/>
          <w:bCs/>
        </w:rPr>
        <w:tab/>
        <w:t>обеспечить, чтобы по случаям преследования, запугивания и насилия в отношении коренных народов, правозащитников из числа коренных народов и защитников окружающей среды оперативно, тщательно, независимо и беспристрастно проводились расследования, чтобы виновные привлекались к ответственности и чтобы жертвы имели доступ к полному возмещению ущерба.</w:t>
      </w:r>
    </w:p>
    <w:p w14:paraId="0AA0A53C" w14:textId="77777777" w:rsidR="00F15476" w:rsidRPr="00B63E55" w:rsidRDefault="00F15476" w:rsidP="00F15476">
      <w:pPr>
        <w:pStyle w:val="SingleTxtG"/>
        <w:rPr>
          <w:b/>
          <w:bCs/>
        </w:rPr>
      </w:pPr>
      <w:r w:rsidRPr="00F15476">
        <w:rPr>
          <w:b/>
          <w:bCs/>
        </w:rPr>
        <w:tab/>
        <w:t>e)</w:t>
      </w:r>
      <w:r w:rsidRPr="00F15476">
        <w:rPr>
          <w:b/>
          <w:bCs/>
        </w:rPr>
        <w:tab/>
        <w:t>активизировать усилия по предотвращению и смягчению последствий</w:t>
      </w:r>
      <w:r>
        <w:rPr>
          <w:b/>
          <w:bCs/>
        </w:rPr>
        <w:t xml:space="preserve"> изменения климата и деградации окружающей среды, а также принимать соответствующие меры по реализации подхода, основанного на принципе предосторожности, для защиты людей, в частности коренных народов, от негативных последствий изменения климата и стихийных бедствий.</w:t>
      </w:r>
    </w:p>
    <w:p w14:paraId="4FEFB216" w14:textId="77777777" w:rsidR="00F15476" w:rsidRPr="00687B7F" w:rsidRDefault="00F15476" w:rsidP="00F15476">
      <w:pPr>
        <w:pStyle w:val="H23G"/>
      </w:pPr>
      <w:r>
        <w:tab/>
      </w:r>
      <w:r>
        <w:tab/>
      </w:r>
      <w:r>
        <w:rPr>
          <w:bCs/>
        </w:rPr>
        <w:t>Юрисдикция коренных народов</w:t>
      </w:r>
    </w:p>
    <w:p w14:paraId="398FC4CF" w14:textId="77777777" w:rsidR="00F15476" w:rsidRDefault="00F15476" w:rsidP="00F15476">
      <w:pPr>
        <w:pStyle w:val="SingleTxtG"/>
      </w:pPr>
      <w:r>
        <w:t>49.</w:t>
      </w:r>
      <w:r>
        <w:tab/>
        <w:t>Принимая к сведению меры, принятые для обеспечения доступа коренных народов к правосудию, включая осуществление Руководства по учету принципа межкультурности в обычном правосудии, Комитет, тем не менее, по-прежнему обеспокоен отсутствием надлежащей координации между обычным правосудием и юрисдикцией коренных народов, что представляет собой препятствие для доступа коренных народов к правосудию (статьи 14 и 27).</w:t>
      </w:r>
    </w:p>
    <w:p w14:paraId="5B7E070C" w14:textId="77777777" w:rsidR="00F15476" w:rsidRPr="00E9646F" w:rsidRDefault="00F15476" w:rsidP="00F15476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Государству-участнику следует активизировать усилия по обеспечению доступа коренных народов к правосудию, обеспечивая соблюдение их основных прав и гарантий надлежащей правовой процедуры.</w:t>
      </w:r>
      <w:r>
        <w:t xml:space="preserve"> </w:t>
      </w:r>
      <w:r>
        <w:rPr>
          <w:b/>
          <w:bCs/>
        </w:rPr>
        <w:t>Ему следует также продолжать усилия по признанию, уважению и укреплению системы правосудия коренных народов, в частности путем гармонизации, сотрудничества и координации между органами обычной системы правосудия и юрисдикцией коренных народов.</w:t>
      </w:r>
    </w:p>
    <w:p w14:paraId="0CE14D00" w14:textId="77777777" w:rsidR="00F15476" w:rsidRPr="00811BAB" w:rsidRDefault="00F15476" w:rsidP="00F15476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3A53B338" w14:textId="77777777" w:rsidR="00F15476" w:rsidRPr="00C72FA3" w:rsidRDefault="00F15476" w:rsidP="00F15476">
      <w:pPr>
        <w:spacing w:after="120"/>
        <w:ind w:left="1134" w:right="1134"/>
        <w:jc w:val="both"/>
      </w:pPr>
      <w:r>
        <w:t>51.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Пакта, двух Факультативных протоколов к нему, своего седьмого периодического доклада и настоящих заключительных замечаний с целью повышения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</w:t>
      </w:r>
    </w:p>
    <w:p w14:paraId="380F4A5B" w14:textId="77777777" w:rsidR="00F15476" w:rsidRPr="00C72FA3" w:rsidRDefault="00F15476" w:rsidP="00F15476">
      <w:pPr>
        <w:spacing w:after="120"/>
        <w:ind w:left="1134" w:right="1134"/>
        <w:jc w:val="both"/>
        <w:rPr>
          <w:b/>
        </w:rPr>
      </w:pPr>
      <w:r>
        <w:t>52.</w:t>
      </w:r>
      <w:r>
        <w:tab/>
      </w:r>
      <w:r>
        <w:rPr>
          <w:b/>
          <w:bCs/>
        </w:rPr>
        <w:t>В соответствии с пунктом 1 правила 75 правил процедуры Комитета государству-участнику предлагается представить к 8 ноября 2027 года информацию о выполнении рекомендаций, сформулированных Комитетом в пунктах 10 (чрезвычайное положение), 20 (насилие в отношении женщин, детей и подростков) и 38 (независимость судебных органов) выше.</w:t>
      </w:r>
    </w:p>
    <w:p w14:paraId="3DA444D3" w14:textId="77777777" w:rsidR="00F15476" w:rsidRDefault="00F15476" w:rsidP="00F15476">
      <w:pPr>
        <w:spacing w:after="120"/>
        <w:ind w:left="1134" w:right="1134"/>
        <w:jc w:val="both"/>
        <w:rPr>
          <w:b/>
        </w:rPr>
      </w:pPr>
      <w:r>
        <w:t>53.</w:t>
      </w:r>
      <w:r>
        <w:tab/>
      </w:r>
      <w:r>
        <w:rPr>
          <w:b/>
          <w:bCs/>
        </w:rPr>
        <w:t>В соответствии с намеченным Комитетом графиком представления докладов государство-участник получит от Комитета в 2030 году перечень вопросов, предваряющий представление доклада, и, как ожидается, представит в течение года ответы на этот перечень вопросов, которые и будут представлять собой его восьмой периодический доклад.</w:t>
      </w:r>
      <w:r>
        <w:t xml:space="preserve"> </w:t>
      </w:r>
      <w:r>
        <w:rPr>
          <w:b/>
          <w:bCs/>
        </w:rPr>
        <w:t xml:space="preserve">Комитет просит также государство-участник при подготовке своего доклада провести широкие консультации с представителями гражданского общества и действующими в стране </w:t>
      </w:r>
      <w:r>
        <w:rPr>
          <w:b/>
          <w:bCs/>
        </w:rPr>
        <w:lastRenderedPageBreak/>
        <w:t>неправительственными организациями.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21 200 слов.</w:t>
      </w:r>
      <w:r>
        <w:t xml:space="preserve"> </w:t>
      </w:r>
      <w:r>
        <w:rPr>
          <w:b/>
          <w:bCs/>
        </w:rPr>
        <w:t>Следующий конструктивный диалог с государством-участником состоится в 2032 году в Женеве.</w:t>
      </w:r>
    </w:p>
    <w:p w14:paraId="61F11C3B" w14:textId="77777777" w:rsidR="00F15476" w:rsidRPr="00B63E55" w:rsidRDefault="00F15476" w:rsidP="00F15476">
      <w:pPr>
        <w:pStyle w:val="SingleTxtG"/>
        <w:spacing w:before="240" w:after="0"/>
        <w:jc w:val="center"/>
        <w:rPr>
          <w:b/>
          <w:bCs/>
          <w:lang w:val="es-CO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BAD96D1" w14:textId="0C03B084" w:rsidR="00F15476" w:rsidRPr="00F15476" w:rsidRDefault="00F15476" w:rsidP="0075523D">
      <w:pPr>
        <w:rPr>
          <w:lang w:val="es-CO"/>
        </w:rPr>
      </w:pPr>
    </w:p>
    <w:sectPr w:rsidR="00F15476" w:rsidRPr="00F15476" w:rsidSect="00F1547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6EED" w14:textId="77777777" w:rsidR="00647385" w:rsidRPr="00A312BC" w:rsidRDefault="00647385" w:rsidP="00A312BC"/>
  </w:endnote>
  <w:endnote w:type="continuationSeparator" w:id="0">
    <w:p w14:paraId="17C161E5" w14:textId="77777777" w:rsidR="00647385" w:rsidRPr="00A312BC" w:rsidRDefault="0064738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63DBB" w14:textId="561A06FB" w:rsidR="00F15476" w:rsidRPr="00F15476" w:rsidRDefault="00F15476">
    <w:pPr>
      <w:pStyle w:val="a8"/>
    </w:pPr>
    <w:r w:rsidRPr="00F15476">
      <w:rPr>
        <w:b/>
        <w:sz w:val="18"/>
      </w:rPr>
      <w:fldChar w:fldCharType="begin"/>
    </w:r>
    <w:r w:rsidRPr="00F15476">
      <w:rPr>
        <w:b/>
        <w:sz w:val="18"/>
      </w:rPr>
      <w:instrText xml:space="preserve"> PAGE  \* MERGEFORMAT </w:instrText>
    </w:r>
    <w:r w:rsidRPr="00F15476">
      <w:rPr>
        <w:b/>
        <w:sz w:val="18"/>
      </w:rPr>
      <w:fldChar w:fldCharType="separate"/>
    </w:r>
    <w:r w:rsidRPr="00F15476">
      <w:rPr>
        <w:b/>
        <w:noProof/>
        <w:sz w:val="18"/>
      </w:rPr>
      <w:t>2</w:t>
    </w:r>
    <w:r w:rsidRPr="00F15476">
      <w:rPr>
        <w:b/>
        <w:sz w:val="18"/>
      </w:rPr>
      <w:fldChar w:fldCharType="end"/>
    </w:r>
    <w:r>
      <w:rPr>
        <w:b/>
        <w:sz w:val="18"/>
      </w:rPr>
      <w:tab/>
    </w:r>
    <w:r>
      <w:t>GE.24-21080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9C3FC" w14:textId="3E9B0E4A" w:rsidR="00F15476" w:rsidRPr="00F15476" w:rsidRDefault="00F15476" w:rsidP="00F15476">
    <w:pPr>
      <w:pStyle w:val="a8"/>
      <w:tabs>
        <w:tab w:val="clear" w:pos="9639"/>
        <w:tab w:val="right" w:pos="9638"/>
      </w:tabs>
      <w:rPr>
        <w:b/>
        <w:sz w:val="18"/>
      </w:rPr>
    </w:pPr>
    <w:r>
      <w:t>GE.24-21080</w:t>
    </w:r>
    <w:r>
      <w:tab/>
    </w:r>
    <w:r w:rsidRPr="00F15476">
      <w:rPr>
        <w:b/>
        <w:sz w:val="18"/>
      </w:rPr>
      <w:fldChar w:fldCharType="begin"/>
    </w:r>
    <w:r w:rsidRPr="00F15476">
      <w:rPr>
        <w:b/>
        <w:sz w:val="18"/>
      </w:rPr>
      <w:instrText xml:space="preserve"> PAGE  \* MERGEFORMAT </w:instrText>
    </w:r>
    <w:r w:rsidRPr="00F15476">
      <w:rPr>
        <w:b/>
        <w:sz w:val="18"/>
      </w:rPr>
      <w:fldChar w:fldCharType="separate"/>
    </w:r>
    <w:r w:rsidRPr="00F15476">
      <w:rPr>
        <w:b/>
        <w:noProof/>
        <w:sz w:val="18"/>
      </w:rPr>
      <w:t>3</w:t>
    </w:r>
    <w:r w:rsidRPr="00F1547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3530" w14:textId="2670ECEF" w:rsidR="00042B72" w:rsidRPr="00F15476" w:rsidRDefault="00F15476" w:rsidP="00F1547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F214B84" wp14:editId="79C8961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24-21080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3B7824D" wp14:editId="20AA354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311224  030225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4EB10" w14:textId="77777777" w:rsidR="00647385" w:rsidRPr="001075E9" w:rsidRDefault="0064738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C8289E" w14:textId="77777777" w:rsidR="00647385" w:rsidRDefault="0064738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9D4EB81" w14:textId="4E018C06" w:rsidR="00F15476" w:rsidRPr="002775CB" w:rsidRDefault="00F15476" w:rsidP="00F15476">
      <w:pPr>
        <w:pStyle w:val="ad"/>
        <w:rPr>
          <w:sz w:val="20"/>
        </w:rPr>
      </w:pPr>
      <w:r>
        <w:tab/>
      </w:r>
      <w:r w:rsidRPr="00F15476">
        <w:rPr>
          <w:sz w:val="20"/>
        </w:rPr>
        <w:t>*</w:t>
      </w:r>
      <w:r>
        <w:tab/>
        <w:t xml:space="preserve">Приняты Комитетом на его сто сорок второй сессии (14 октября </w:t>
      </w:r>
      <w:r w:rsidRPr="00F15476">
        <w:t>—</w:t>
      </w:r>
      <w:r>
        <w:t xml:space="preserve"> 7 ноября 2024 года).</w:t>
      </w:r>
    </w:p>
  </w:footnote>
  <w:footnote w:id="2">
    <w:p w14:paraId="785BBF87" w14:textId="7183EE0B" w:rsidR="00F15476" w:rsidRPr="0090574B" w:rsidRDefault="00F15476" w:rsidP="00F15476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F15476">
          <w:rPr>
            <w:rStyle w:val="af1"/>
          </w:rPr>
          <w:t>CCPR/C/ECU/7</w:t>
        </w:r>
      </w:hyperlink>
      <w:r>
        <w:t>.</w:t>
      </w:r>
    </w:p>
  </w:footnote>
  <w:footnote w:id="3">
    <w:p w14:paraId="72CF8E0F" w14:textId="25C25DEB" w:rsidR="00F15476" w:rsidRPr="0090574B" w:rsidRDefault="00F15476" w:rsidP="00F15476">
      <w:pPr>
        <w:pStyle w:val="ad"/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2" w:history="1">
        <w:r w:rsidRPr="00F15476">
          <w:rPr>
            <w:rStyle w:val="af1"/>
          </w:rPr>
          <w:t>CCPR/C/SR.4168</w:t>
        </w:r>
      </w:hyperlink>
      <w:r>
        <w:t xml:space="preserve"> и </w:t>
      </w:r>
      <w:hyperlink r:id="rId3" w:history="1">
        <w:r w:rsidRPr="00F15476">
          <w:rPr>
            <w:rStyle w:val="af1"/>
          </w:rPr>
          <w:t>CCPR/C/SR.4170</w:t>
        </w:r>
      </w:hyperlink>
      <w:r>
        <w:t>.</w:t>
      </w:r>
    </w:p>
  </w:footnote>
  <w:footnote w:id="4">
    <w:p w14:paraId="1F89C492" w14:textId="088E9F4C" w:rsidR="00F15476" w:rsidRPr="00F15476" w:rsidRDefault="00F15476" w:rsidP="00F15476">
      <w:pPr>
        <w:pStyle w:val="ad"/>
        <w:rPr>
          <w:lang w:val="en-US"/>
        </w:rPr>
      </w:pPr>
      <w:r>
        <w:tab/>
      </w:r>
      <w:r w:rsidRPr="00BA7305">
        <w:rPr>
          <w:rStyle w:val="aa"/>
        </w:rPr>
        <w:footnoteRef/>
      </w:r>
      <w:r w:rsidRPr="009F28D1">
        <w:rPr>
          <w:lang w:val="en-US"/>
        </w:rPr>
        <w:tab/>
      </w:r>
      <w:hyperlink r:id="rId4" w:history="1">
        <w:r w:rsidRPr="00F15476">
          <w:rPr>
            <w:rStyle w:val="af1"/>
            <w:lang w:val="en-US"/>
          </w:rPr>
          <w:t>CCPR/C/ECU/QPR/7</w:t>
        </w:r>
      </w:hyperlink>
      <w:r w:rsidRPr="009F28D1">
        <w:rPr>
          <w:lang w:val="en-US"/>
        </w:rPr>
        <w:t>.</w:t>
      </w:r>
    </w:p>
  </w:footnote>
  <w:footnote w:id="5">
    <w:p w14:paraId="0346D6E8" w14:textId="2907C0CC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 w:rsidRPr="00753377">
        <w:rPr>
          <w:vertAlign w:val="superscript"/>
        </w:rPr>
        <w:footnoteRef/>
      </w:r>
      <w:r w:rsidRPr="009F28D1">
        <w:rPr>
          <w:lang w:val="en-US"/>
        </w:rPr>
        <w:tab/>
      </w:r>
      <w:hyperlink r:id="rId5" w:history="1">
        <w:r w:rsidRPr="00F15476">
          <w:rPr>
            <w:rStyle w:val="af1"/>
            <w:lang w:val="en-US"/>
          </w:rPr>
          <w:t>CCPR/C/ECU/CO/6</w:t>
        </w:r>
      </w:hyperlink>
      <w:r w:rsidRPr="009F28D1">
        <w:rPr>
          <w:lang w:val="en-US"/>
        </w:rPr>
        <w:t xml:space="preserve">, </w:t>
      </w:r>
      <w:r>
        <w:t>п</w:t>
      </w:r>
      <w:r w:rsidRPr="009F28D1">
        <w:rPr>
          <w:lang w:val="en-US"/>
        </w:rPr>
        <w:t>. 12.</w:t>
      </w:r>
    </w:p>
  </w:footnote>
  <w:footnote w:id="6">
    <w:p w14:paraId="4FAF28CB" w14:textId="485FAF24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>
        <w:rPr>
          <w:rStyle w:val="aa"/>
        </w:rPr>
        <w:footnoteRef/>
      </w:r>
      <w:r w:rsidRPr="009F28D1">
        <w:rPr>
          <w:lang w:val="en-US"/>
        </w:rPr>
        <w:tab/>
      </w:r>
      <w:hyperlink r:id="rId6" w:history="1">
        <w:r w:rsidRPr="00F15476">
          <w:rPr>
            <w:rStyle w:val="af1"/>
            <w:lang w:val="en-US"/>
          </w:rPr>
          <w:t>CCPR/C/ECU/7</w:t>
        </w:r>
      </w:hyperlink>
      <w:r w:rsidRPr="009F28D1">
        <w:rPr>
          <w:lang w:val="en-US"/>
        </w:rPr>
        <w:t xml:space="preserve">, </w:t>
      </w:r>
      <w:r>
        <w:t>п</w:t>
      </w:r>
      <w:r w:rsidRPr="009F28D1">
        <w:rPr>
          <w:lang w:val="en-US"/>
        </w:rPr>
        <w:t>. 32.</w:t>
      </w:r>
    </w:p>
  </w:footnote>
  <w:footnote w:id="7">
    <w:p w14:paraId="0DBCDB87" w14:textId="7F88C91F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>
        <w:rPr>
          <w:rStyle w:val="aa"/>
        </w:rPr>
        <w:footnoteRef/>
      </w:r>
      <w:r w:rsidRPr="009F28D1">
        <w:rPr>
          <w:lang w:val="en-US"/>
        </w:rPr>
        <w:tab/>
      </w:r>
      <w:hyperlink r:id="rId7" w:history="1">
        <w:r w:rsidRPr="00F15476">
          <w:rPr>
            <w:rStyle w:val="af1"/>
            <w:lang w:val="en-US"/>
          </w:rPr>
          <w:t>CEDAW/C/ECU/CO/10</w:t>
        </w:r>
      </w:hyperlink>
      <w:r w:rsidRPr="009F28D1">
        <w:rPr>
          <w:lang w:val="en-US"/>
        </w:rPr>
        <w:t xml:space="preserve">, </w:t>
      </w:r>
      <w:r>
        <w:t>пп</w:t>
      </w:r>
      <w:r w:rsidRPr="009F28D1">
        <w:rPr>
          <w:lang w:val="en-US"/>
        </w:rPr>
        <w:t xml:space="preserve">. 17, 18, 25 </w:t>
      </w:r>
      <w:r>
        <w:t>и</w:t>
      </w:r>
      <w:r w:rsidRPr="009F28D1">
        <w:rPr>
          <w:lang w:val="en-US"/>
        </w:rPr>
        <w:t xml:space="preserve"> 26.</w:t>
      </w:r>
    </w:p>
  </w:footnote>
  <w:footnote w:id="8">
    <w:p w14:paraId="213E841D" w14:textId="65514700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>
        <w:rPr>
          <w:rStyle w:val="aa"/>
        </w:rPr>
        <w:footnoteRef/>
      </w:r>
      <w:r w:rsidRPr="009F28D1">
        <w:rPr>
          <w:lang w:val="en-US"/>
        </w:rPr>
        <w:tab/>
      </w:r>
      <w:hyperlink r:id="rId8" w:history="1">
        <w:r w:rsidRPr="00F15476">
          <w:rPr>
            <w:rStyle w:val="af1"/>
            <w:lang w:val="en-US"/>
          </w:rPr>
          <w:t>CCPR/C/ECU/7</w:t>
        </w:r>
      </w:hyperlink>
      <w:r w:rsidRPr="009F28D1">
        <w:rPr>
          <w:lang w:val="en-US"/>
        </w:rPr>
        <w:t xml:space="preserve">, </w:t>
      </w:r>
      <w:r>
        <w:t>пп</w:t>
      </w:r>
      <w:r w:rsidRPr="009F28D1">
        <w:rPr>
          <w:lang w:val="en-US"/>
        </w:rPr>
        <w:t>. 35‒37.</w:t>
      </w:r>
    </w:p>
  </w:footnote>
  <w:footnote w:id="9">
    <w:p w14:paraId="765F1D9B" w14:textId="657B5EBC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>
        <w:rPr>
          <w:rStyle w:val="aa"/>
        </w:rPr>
        <w:footnoteRef/>
      </w:r>
      <w:r w:rsidRPr="009F28D1">
        <w:rPr>
          <w:lang w:val="en-US"/>
        </w:rPr>
        <w:tab/>
      </w:r>
      <w:hyperlink r:id="rId9" w:history="1">
        <w:r w:rsidRPr="00F15476">
          <w:rPr>
            <w:rStyle w:val="af1"/>
            <w:lang w:val="en-US"/>
          </w:rPr>
          <w:t>CAT/C/ECU/CO/8</w:t>
        </w:r>
      </w:hyperlink>
      <w:r w:rsidRPr="009F28D1">
        <w:rPr>
          <w:lang w:val="en-US"/>
        </w:rPr>
        <w:t xml:space="preserve">, </w:t>
      </w:r>
      <w:r>
        <w:t>пп</w:t>
      </w:r>
      <w:r w:rsidRPr="009F28D1">
        <w:rPr>
          <w:lang w:val="en-US"/>
        </w:rPr>
        <w:t xml:space="preserve">. 17 </w:t>
      </w:r>
      <w:r>
        <w:t>и</w:t>
      </w:r>
      <w:r w:rsidRPr="009F28D1">
        <w:rPr>
          <w:lang w:val="en-US"/>
        </w:rPr>
        <w:t xml:space="preserve"> 18.</w:t>
      </w:r>
    </w:p>
  </w:footnote>
  <w:footnote w:id="10">
    <w:p w14:paraId="39FFB1AE" w14:textId="7734563A" w:rsidR="00F15476" w:rsidRPr="00F15476" w:rsidRDefault="00F15476" w:rsidP="00F15476">
      <w:pPr>
        <w:pStyle w:val="ad"/>
        <w:rPr>
          <w:lang w:val="en-US"/>
        </w:rPr>
      </w:pPr>
      <w:r w:rsidRPr="009F28D1">
        <w:rPr>
          <w:lang w:val="en-US"/>
        </w:rPr>
        <w:tab/>
      </w:r>
      <w:r w:rsidRPr="00753377">
        <w:rPr>
          <w:vertAlign w:val="superscript"/>
        </w:rPr>
        <w:footnoteRef/>
      </w:r>
      <w:r w:rsidRPr="009F28D1">
        <w:rPr>
          <w:lang w:val="en-US"/>
        </w:rPr>
        <w:tab/>
      </w:r>
      <w:hyperlink r:id="rId10" w:history="1">
        <w:r w:rsidRPr="00F15476">
          <w:rPr>
            <w:rStyle w:val="af1"/>
            <w:lang w:val="en-US"/>
          </w:rPr>
          <w:t>CCPR/C/ECU/7</w:t>
        </w:r>
      </w:hyperlink>
      <w:r w:rsidRPr="009F28D1">
        <w:rPr>
          <w:lang w:val="en-US"/>
        </w:rPr>
        <w:t xml:space="preserve">, </w:t>
      </w:r>
      <w:r>
        <w:t>п</w:t>
      </w:r>
      <w:r w:rsidRPr="009F28D1">
        <w:rPr>
          <w:lang w:val="en-US"/>
        </w:rPr>
        <w:t>. 67.</w:t>
      </w:r>
    </w:p>
  </w:footnote>
  <w:footnote w:id="11">
    <w:p w14:paraId="2150291E" w14:textId="5CC212FD" w:rsidR="00F15476" w:rsidRPr="00E96CB8" w:rsidRDefault="00F15476" w:rsidP="00F15476">
      <w:pPr>
        <w:pStyle w:val="ad"/>
      </w:pPr>
      <w:r w:rsidRPr="009F28D1">
        <w:rPr>
          <w:lang w:val="en-US"/>
        </w:rPr>
        <w:tab/>
      </w:r>
      <w:r w:rsidRPr="000C2137">
        <w:rPr>
          <w:rStyle w:val="aa"/>
        </w:rPr>
        <w:footnoteRef/>
      </w:r>
      <w:r w:rsidRPr="00B264FE">
        <w:rPr>
          <w:lang w:val="en-US"/>
        </w:rPr>
        <w:tab/>
      </w:r>
      <w:r>
        <w:t>См</w:t>
      </w:r>
      <w:r w:rsidRPr="00B264FE">
        <w:rPr>
          <w:lang w:val="en-US"/>
        </w:rPr>
        <w:t xml:space="preserve">. </w:t>
      </w:r>
      <w:r w:rsidRPr="009F28D1">
        <w:rPr>
          <w:lang w:val="en-US"/>
        </w:rPr>
        <w:t>URL</w:t>
      </w:r>
      <w:r w:rsidRPr="00B264FE">
        <w:rPr>
          <w:lang w:val="en-US"/>
        </w:rPr>
        <w:t xml:space="preserve">: </w:t>
      </w:r>
      <w:hyperlink r:id="rId11" w:history="1">
        <w:r w:rsidRPr="00321247">
          <w:rPr>
            <w:rStyle w:val="af1"/>
            <w:lang w:val="en-US"/>
          </w:rPr>
          <w:t>https</w:t>
        </w:r>
        <w:r w:rsidRPr="00B264FE">
          <w:rPr>
            <w:rStyle w:val="af1"/>
            <w:lang w:val="en-US"/>
          </w:rPr>
          <w:t>://</w:t>
        </w:r>
        <w:r w:rsidRPr="00321247">
          <w:rPr>
            <w:rStyle w:val="af1"/>
            <w:lang w:val="en-US"/>
          </w:rPr>
          <w:t>www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ohchr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org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es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press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releases</w:t>
        </w:r>
        <w:r w:rsidRPr="00B264FE">
          <w:rPr>
            <w:rStyle w:val="af1"/>
            <w:lang w:val="en-US"/>
          </w:rPr>
          <w:t>/2022/10/</w:t>
        </w:r>
        <w:r w:rsidRPr="00321247">
          <w:rPr>
            <w:rStyle w:val="af1"/>
            <w:lang w:val="en-US"/>
          </w:rPr>
          <w:t>ecuador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un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torture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prevention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body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remains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seriously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concerned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prison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crisis</w:t>
        </w:r>
      </w:hyperlink>
      <w:r w:rsidRPr="00B264FE">
        <w:rPr>
          <w:lang w:val="en-US"/>
        </w:rPr>
        <w:t xml:space="preserve">; </w:t>
      </w:r>
      <w:hyperlink r:id="rId12" w:history="1">
        <w:r w:rsidRPr="00321247">
          <w:rPr>
            <w:rStyle w:val="af1"/>
            <w:lang w:val="en-US"/>
          </w:rPr>
          <w:t>https</w:t>
        </w:r>
        <w:r w:rsidRPr="00B264FE">
          <w:rPr>
            <w:rStyle w:val="af1"/>
            <w:lang w:val="en-US"/>
          </w:rPr>
          <w:t>://</w:t>
        </w:r>
        <w:r w:rsidRPr="00321247">
          <w:rPr>
            <w:rStyle w:val="af1"/>
            <w:lang w:val="en-US"/>
          </w:rPr>
          <w:t>www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ohchr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org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es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press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briefing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notes</w:t>
        </w:r>
        <w:r w:rsidRPr="00B264FE">
          <w:rPr>
            <w:rStyle w:val="af1"/>
            <w:lang w:val="en-US"/>
          </w:rPr>
          <w:t>/2022/05/</w:t>
        </w:r>
        <w:r w:rsidRPr="00321247">
          <w:rPr>
            <w:rStyle w:val="af1"/>
            <w:lang w:val="en-US"/>
          </w:rPr>
          <w:t>ecuador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prison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violence</w:t>
        </w:r>
      </w:hyperlink>
      <w:r w:rsidRPr="00B264FE">
        <w:rPr>
          <w:lang w:val="en-US"/>
        </w:rPr>
        <w:t xml:space="preserve">; </w:t>
      </w:r>
      <w:hyperlink r:id="rId13" w:history="1">
        <w:r w:rsidRPr="00321247">
          <w:rPr>
            <w:rStyle w:val="af1"/>
            <w:lang w:val="en-US"/>
          </w:rPr>
          <w:t>https</w:t>
        </w:r>
        <w:r w:rsidRPr="00B264FE">
          <w:rPr>
            <w:rStyle w:val="af1"/>
            <w:lang w:val="en-US"/>
          </w:rPr>
          <w:t>://</w:t>
        </w:r>
        <w:r w:rsidRPr="00321247">
          <w:rPr>
            <w:rStyle w:val="af1"/>
            <w:lang w:val="en-US"/>
          </w:rPr>
          <w:t>www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ohchr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org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en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press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briefing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notes</w:t>
        </w:r>
        <w:r w:rsidRPr="00B264FE">
          <w:rPr>
            <w:rStyle w:val="af1"/>
            <w:lang w:val="en-US"/>
          </w:rPr>
          <w:t>/2022/02/</w:t>
        </w:r>
        <w:r w:rsidRPr="00321247">
          <w:rPr>
            <w:rStyle w:val="af1"/>
            <w:lang w:val="en-US"/>
          </w:rPr>
          <w:t>press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briefing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notes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ecuador</w:t>
        </w:r>
      </w:hyperlink>
      <w:r w:rsidRPr="00B264FE">
        <w:rPr>
          <w:lang w:val="en-US"/>
        </w:rPr>
        <w:t xml:space="preserve">; </w:t>
      </w:r>
      <w:r>
        <w:t>и</w:t>
      </w:r>
      <w:r w:rsidRPr="00B264FE">
        <w:rPr>
          <w:lang w:val="en-US"/>
        </w:rPr>
        <w:t xml:space="preserve"> </w:t>
      </w:r>
      <w:hyperlink r:id="rId14" w:history="1">
        <w:r w:rsidRPr="00321247">
          <w:rPr>
            <w:rStyle w:val="af1"/>
            <w:lang w:val="en-US"/>
          </w:rPr>
          <w:t>https</w:t>
        </w:r>
        <w:r w:rsidRPr="00B264FE">
          <w:rPr>
            <w:rStyle w:val="af1"/>
            <w:lang w:val="en-US"/>
          </w:rPr>
          <w:t>://</w:t>
        </w:r>
        <w:r w:rsidRPr="00321247">
          <w:rPr>
            <w:rStyle w:val="af1"/>
            <w:lang w:val="en-US"/>
          </w:rPr>
          <w:t>www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ohchr</w:t>
        </w:r>
        <w:r w:rsidRPr="00B264FE">
          <w:rPr>
            <w:rStyle w:val="af1"/>
            <w:lang w:val="en-US"/>
          </w:rPr>
          <w:t>.</w:t>
        </w:r>
        <w:r w:rsidRPr="00321247">
          <w:rPr>
            <w:rStyle w:val="af1"/>
            <w:lang w:val="en-US"/>
          </w:rPr>
          <w:t>org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es</w:t>
        </w:r>
        <w:r w:rsidRPr="00B264FE">
          <w:rPr>
            <w:rStyle w:val="af1"/>
            <w:lang w:val="en-US"/>
          </w:rPr>
          <w:t>/</w:t>
        </w:r>
        <w:r w:rsidRPr="00321247">
          <w:rPr>
            <w:rStyle w:val="af1"/>
            <w:lang w:val="en-US"/>
          </w:rPr>
          <w:t>press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releases</w:t>
        </w:r>
        <w:r w:rsidRPr="00B264FE">
          <w:rPr>
            <w:rStyle w:val="af1"/>
            <w:lang w:val="en-US"/>
          </w:rPr>
          <w:t>/2023/07/</w:t>
        </w:r>
        <w:r w:rsidRPr="00321247">
          <w:rPr>
            <w:rStyle w:val="af1"/>
            <w:lang w:val="en-US"/>
          </w:rPr>
          <w:t>ecuador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un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human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rights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chief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concerned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spike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violence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and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backward</w:t>
        </w:r>
        <w:r w:rsidRPr="00B264FE">
          <w:rPr>
            <w:rStyle w:val="af1"/>
            <w:lang w:val="en-US"/>
          </w:rPr>
          <w:t>-</w:t>
        </w:r>
        <w:r w:rsidRPr="00321247">
          <w:rPr>
            <w:rStyle w:val="af1"/>
            <w:lang w:val="en-US"/>
          </w:rPr>
          <w:t>step</w:t>
        </w:r>
      </w:hyperlink>
      <w:r w:rsidRPr="00B264FE">
        <w:rPr>
          <w:lang w:val="en-US"/>
        </w:rPr>
        <w:t xml:space="preserve">. </w:t>
      </w:r>
      <w:r w:rsidR="00C97FFD">
        <w:rPr>
          <w:lang w:val="en-US"/>
        </w:rPr>
        <w:br/>
      </w:r>
      <w:r>
        <w:t xml:space="preserve">См. также сообщения ECU 5/2022 и ECU 4/2023. Все сообщения, упомянутые в настоящем докладе, URL: </w:t>
      </w:r>
      <w:hyperlink r:id="rId15" w:history="1">
        <w:r w:rsidRPr="00321247">
          <w:rPr>
            <w:rStyle w:val="af1"/>
          </w:rPr>
          <w:t>https://spcommreports.ohchr.org/Tmsearch/TMDocuments</w:t>
        </w:r>
      </w:hyperlink>
      <w:r>
        <w:t>.</w:t>
      </w:r>
    </w:p>
  </w:footnote>
  <w:footnote w:id="12">
    <w:p w14:paraId="1B4633A0" w14:textId="66627F69" w:rsidR="00F15476" w:rsidRPr="00F15476" w:rsidRDefault="00F15476" w:rsidP="00F15476">
      <w:pPr>
        <w:pStyle w:val="ad"/>
        <w:ind w:left="900"/>
        <w:rPr>
          <w:lang w:val="en-US"/>
        </w:rPr>
      </w:pPr>
      <w:r>
        <w:tab/>
      </w:r>
      <w:r>
        <w:tab/>
      </w:r>
      <w:r>
        <w:rPr>
          <w:rStyle w:val="aa"/>
        </w:rPr>
        <w:footnoteRef/>
      </w:r>
      <w:r w:rsidRPr="009F28D1">
        <w:rPr>
          <w:lang w:val="en-US"/>
        </w:rPr>
        <w:tab/>
      </w:r>
      <w:hyperlink r:id="rId16" w:history="1">
        <w:r w:rsidRPr="00F15476">
          <w:rPr>
            <w:rStyle w:val="af1"/>
            <w:lang w:val="en-US"/>
          </w:rPr>
          <w:t>CAT/C/ECU/CO/8</w:t>
        </w:r>
      </w:hyperlink>
      <w:r w:rsidRPr="009F28D1">
        <w:rPr>
          <w:lang w:val="en-US"/>
        </w:rPr>
        <w:t xml:space="preserve">, </w:t>
      </w:r>
      <w:r>
        <w:t>пп</w:t>
      </w:r>
      <w:r w:rsidRPr="009F28D1">
        <w:rPr>
          <w:lang w:val="en-US"/>
        </w:rPr>
        <w:t xml:space="preserve">. 15 </w:t>
      </w:r>
      <w:r>
        <w:t>и</w:t>
      </w:r>
      <w:r w:rsidRPr="009F28D1">
        <w:rPr>
          <w:lang w:val="en-US"/>
        </w:rPr>
        <w:t xml:space="preserve"> 16.</w:t>
      </w:r>
    </w:p>
  </w:footnote>
  <w:footnote w:id="13">
    <w:p w14:paraId="6F373ECA" w14:textId="77777777" w:rsidR="00F15476" w:rsidRPr="009B298E" w:rsidRDefault="00F15476" w:rsidP="00F15476">
      <w:pPr>
        <w:pStyle w:val="ad"/>
      </w:pPr>
      <w:r w:rsidRPr="009F28D1">
        <w:rPr>
          <w:lang w:val="en-US"/>
        </w:rPr>
        <w:tab/>
      </w:r>
      <w:r>
        <w:rPr>
          <w:rStyle w:val="aa"/>
        </w:rPr>
        <w:footnoteRef/>
      </w:r>
      <w:r>
        <w:tab/>
        <w:t>См. сообщения ECU 1/2020 и ECU 2/2021.</w:t>
      </w:r>
    </w:p>
  </w:footnote>
  <w:footnote w:id="14">
    <w:p w14:paraId="3570B808" w14:textId="77777777" w:rsidR="00F15476" w:rsidRPr="006A123A" w:rsidRDefault="00F15476" w:rsidP="00F15476">
      <w:pPr>
        <w:pStyle w:val="ad"/>
      </w:pPr>
      <w:r>
        <w:tab/>
      </w:r>
      <w:r>
        <w:rPr>
          <w:rStyle w:val="aa"/>
        </w:rPr>
        <w:footnoteRef/>
      </w:r>
      <w:r>
        <w:tab/>
        <w:t>См. сообщения ECU 3/2023, ECU 5/2023, ECU 6/2023 и ECU 3/2024.</w:t>
      </w:r>
    </w:p>
  </w:footnote>
  <w:footnote w:id="15">
    <w:p w14:paraId="4050CD11" w14:textId="77777777" w:rsidR="00F15476" w:rsidRPr="000911E3" w:rsidRDefault="00F15476" w:rsidP="00F15476">
      <w:pPr>
        <w:pStyle w:val="ad"/>
      </w:pPr>
      <w:r>
        <w:tab/>
      </w:r>
      <w:r>
        <w:rPr>
          <w:rStyle w:val="aa"/>
        </w:rPr>
        <w:footnoteRef/>
      </w:r>
      <w:r>
        <w:tab/>
        <w:t>См. сообщение ECU 2/2024.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C4ED" w14:textId="5DDF47F6" w:rsidR="00F15476" w:rsidRPr="00F15476" w:rsidRDefault="0084672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B264FE">
      <w:t>CCPR/C/ECU/CO/7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10E15" w14:textId="617B2343" w:rsidR="00F15476" w:rsidRPr="00F15476" w:rsidRDefault="00846729" w:rsidP="00F1547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264FE">
      <w:t>CCPR/C/ECU/CO/7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85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A4E"/>
    <w:rsid w:val="001C7A89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56A3C"/>
    <w:rsid w:val="00472C5C"/>
    <w:rsid w:val="004969B2"/>
    <w:rsid w:val="004D543C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47385"/>
    <w:rsid w:val="00666B97"/>
    <w:rsid w:val="00681A10"/>
    <w:rsid w:val="0069488A"/>
    <w:rsid w:val="006A1ED8"/>
    <w:rsid w:val="006B3942"/>
    <w:rsid w:val="006C2031"/>
    <w:rsid w:val="006D461A"/>
    <w:rsid w:val="006F35EE"/>
    <w:rsid w:val="007021FF"/>
    <w:rsid w:val="007117DB"/>
    <w:rsid w:val="00712895"/>
    <w:rsid w:val="0072529E"/>
    <w:rsid w:val="0075523D"/>
    <w:rsid w:val="00757357"/>
    <w:rsid w:val="00787D3A"/>
    <w:rsid w:val="00791B9D"/>
    <w:rsid w:val="00825F8D"/>
    <w:rsid w:val="00834B71"/>
    <w:rsid w:val="00846729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938EA"/>
    <w:rsid w:val="00AB4B51"/>
    <w:rsid w:val="00AD6F87"/>
    <w:rsid w:val="00B10CC7"/>
    <w:rsid w:val="00B136DB"/>
    <w:rsid w:val="00B264FE"/>
    <w:rsid w:val="00B539E7"/>
    <w:rsid w:val="00B62458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97FFD"/>
    <w:rsid w:val="00CA1679"/>
    <w:rsid w:val="00CB151C"/>
    <w:rsid w:val="00CE5A1A"/>
    <w:rsid w:val="00CF55F6"/>
    <w:rsid w:val="00D33D63"/>
    <w:rsid w:val="00D90028"/>
    <w:rsid w:val="00D90138"/>
    <w:rsid w:val="00D9090B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07F93"/>
    <w:rsid w:val="00F15476"/>
    <w:rsid w:val="00F43903"/>
    <w:rsid w:val="00F74BF7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EAB4B0"/>
  <w15:docId w15:val="{0EB6FA8A-031E-4BEA-BD0B-85394D3EB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s refss,Texto de nota al pie,Appel note de bas de page,referencia nota al pie,BVI fnr,Footnote number,Ref. de nota al pie.,16 Point,Superscript 6 Point,Texto nota al pie,Footnote Reference Char3,Footnote symbol,FZ"/>
    <w:basedOn w:val="a0"/>
    <w:link w:val="BVIfnrChar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Footnote Text Char Char1,Footnote Text Char1 Char Char1,Footnote Text Char Char1 Char Char,Footnote Text Char1 Char Char1 Char Char,ft Char Char Char Char Char,Geneva 9 Char Char Char Char Char,Footnote reference,FA Fu,ft,Char,F1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Footnote Text Char Char1 Знак,Footnote Text Char1 Char Char1 Знак,Footnote Text Char Char1 Char Char Знак,Footnote Text Char1 Char Char1 Char Char Знак,ft Char Char Char Char Char Знак,Geneva 9 Char Char Char Char Char Знак"/>
    <w:basedOn w:val="a0"/>
    <w:link w:val="ad"/>
    <w:qFormat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/>
      <w:u w:val="none"/>
    </w:rPr>
  </w:style>
  <w:style w:type="character" w:styleId="af2">
    <w:name w:val="FollowedHyperlink"/>
    <w:basedOn w:val="a0"/>
    <w:rsid w:val="00AD6F87"/>
    <w:rPr>
      <w:color w:val="0000FF"/>
      <w:u w:val="none"/>
    </w:rPr>
  </w:style>
  <w:style w:type="character" w:customStyle="1" w:styleId="HChGChar">
    <w:name w:val="_ H _Ch_G Char"/>
    <w:link w:val="HChG"/>
    <w:rsid w:val="00F15476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qFormat/>
    <w:rsid w:val="00F15476"/>
    <w:rPr>
      <w:lang w:val="ru-RU" w:eastAsia="en-US"/>
    </w:rPr>
  </w:style>
  <w:style w:type="paragraph" w:customStyle="1" w:styleId="BVIfnrChar">
    <w:name w:val="BVI fnr Char"/>
    <w:aliases w:val="ftref Char,16 Point Char,Superscript 6 Point Char,Footnotes refss Char,Footnote Reference Number Char,nota pié di pagina Char,Times 10 Point Char, Exposant 3 Point Char,Footnote symbol Char,Footnote reference number Char,Exposant 3 Point Ch"/>
    <w:basedOn w:val="a"/>
    <w:link w:val="aa"/>
    <w:rsid w:val="00F15476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  <w:style w:type="character" w:customStyle="1" w:styleId="H23GChar">
    <w:name w:val="_ H_2/3_G Char"/>
    <w:link w:val="H23G"/>
    <w:rsid w:val="00F15476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15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en/CCPR/C/ECU/7" TargetMode="External"/><Relationship Id="rId13" Type="http://schemas.openxmlformats.org/officeDocument/2006/relationships/hyperlink" Target="https://www.ohchr.org/en/press-briefing-notes/2022/02/press-briefing-notes-ecuador" TargetMode="External"/><Relationship Id="rId3" Type="http://schemas.openxmlformats.org/officeDocument/2006/relationships/hyperlink" Target="http://undocs.org/ru/CCPR/C/SR.4170" TargetMode="External"/><Relationship Id="rId7" Type="http://schemas.openxmlformats.org/officeDocument/2006/relationships/hyperlink" Target="http://undocs.org/ru/CEDAW/C/ECU/CO/10" TargetMode="External"/><Relationship Id="rId12" Type="http://schemas.openxmlformats.org/officeDocument/2006/relationships/hyperlink" Target="https://www.ohchr.org/es/press-briefing-notes/2022/05/ecuador-prison-violence" TargetMode="External"/><Relationship Id="rId2" Type="http://schemas.openxmlformats.org/officeDocument/2006/relationships/hyperlink" Target="http://undocs.org/ru/CCPR/C/SR.4168" TargetMode="External"/><Relationship Id="rId16" Type="http://schemas.openxmlformats.org/officeDocument/2006/relationships/hyperlink" Target="http://undocs.org/ru/CAT/C/ECU/CO/8" TargetMode="External"/><Relationship Id="rId1" Type="http://schemas.openxmlformats.org/officeDocument/2006/relationships/hyperlink" Target="http://undocs.org/en/CCPR/C/ECU/7" TargetMode="External"/><Relationship Id="rId6" Type="http://schemas.openxmlformats.org/officeDocument/2006/relationships/hyperlink" Target="http://undocs.org/en/CCPR/C/ECU/7" TargetMode="External"/><Relationship Id="rId11" Type="http://schemas.openxmlformats.org/officeDocument/2006/relationships/hyperlink" Target="https://www.ohchr.org/es/press-releases/2022/10/ecuador-un-torture-prevention-body-remains-seriously-concerned-prison-crisis" TargetMode="External"/><Relationship Id="rId5" Type="http://schemas.openxmlformats.org/officeDocument/2006/relationships/hyperlink" Target="http://undocs.org/ru/CCPR/C/ECU/CO/6" TargetMode="External"/><Relationship Id="rId15" Type="http://schemas.openxmlformats.org/officeDocument/2006/relationships/hyperlink" Target="https://spcommreports.ohchr.org/Tmsearch/TMDocuments" TargetMode="External"/><Relationship Id="rId10" Type="http://schemas.openxmlformats.org/officeDocument/2006/relationships/hyperlink" Target="http://undocs.org/en/CCPR/C/ECU/7" TargetMode="External"/><Relationship Id="rId4" Type="http://schemas.openxmlformats.org/officeDocument/2006/relationships/hyperlink" Target="http://undocs.org/en/CCPR/C/ECU/QPR/7" TargetMode="External"/><Relationship Id="rId9" Type="http://schemas.openxmlformats.org/officeDocument/2006/relationships/hyperlink" Target="http://undocs.org/ru/CAT/C/ECU/CO/8" TargetMode="External"/><Relationship Id="rId14" Type="http://schemas.openxmlformats.org/officeDocument/2006/relationships/hyperlink" Target="https://www.ohchr.org/es/press-releases/2023/07/ecuador-un-human-rights-chief-concerned-spike-violence-and-backward-step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18</Pages>
  <Words>5742</Words>
  <Characters>51113</Characters>
  <Application>Microsoft Office Word</Application>
  <DocSecurity>0</DocSecurity>
  <Lines>4646</Lines>
  <Paragraphs>1895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CCPR/C/ECU/CO/7</vt:lpstr>
      <vt:lpstr>A/</vt:lpstr>
      <vt:lpstr>A/</vt:lpstr>
    </vt:vector>
  </TitlesOfParts>
  <Company>DCM</Company>
  <LinksUpToDate>false</LinksUpToDate>
  <CharactersWithSpaces>54960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CCPR/C/ECU/CO/7</dc:title>
  <dc:subject/>
  <dc:creator>Sharkina</dc:creator>
  <cp:keywords/>
  <cp:lastModifiedBy>Sharkina</cp:lastModifiedBy>
  <cp:revision>2</cp:revision>
  <cp:lastPrinted>2025-02-03T10:46:00Z</cp:lastPrinted>
  <dcterms:created xsi:type="dcterms:W3CDTF">2025-02-03T15:40:00Z</dcterms:created>
  <dcterms:modified xsi:type="dcterms:W3CDTF">2025-02-03T15:40:00Z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