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sz w:val="6"/>
        </w:rPr>
        <w:t xml:space="preserve">                                                                                                                                                                                                                                                                                                                                                                                                                                                                                                                                                                                                                                                                                                                                                                                                                                                      </w:t>
      </w: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Estados </w:t>
      </w:r>
      <w:r>
        <w:br/>
        <w:t xml:space="preserve">Partes de conformidad con el artículo 18 de la </w:t>
      </w:r>
      <w:r>
        <w:br/>
        <w:t xml:space="preserve">Convención sobre la eliminación de todas las formas </w:t>
      </w:r>
      <w:r>
        <w:br/>
        <w:t xml:space="preserve">de discriminación contra la mujer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Cuarto y quinto informes periódicos combinados de los </w:t>
      </w:r>
      <w:r>
        <w:br/>
        <w:t>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informe inicial presentado por el Gobierno de Nigeria figura en el documento CEDAW/C5/Add.49, examinado por el Comité en su séptimo período de sesiones. Con respecto a los informes periódicos segundo y tercero combinados, presentados por el Gobierno de Nigeria, véase el documento CEDAW/C/NGA/2-3, examinado por el Comité en su decimonoveno período de sesiones.</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presente informe no se ha editado oficialmente.</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sz w:val="20"/>
        </w:rPr>
      </w:pPr>
      <w:r>
        <w:tab/>
      </w:r>
      <w:r>
        <w:tab/>
        <w:t>Nigeria</w:t>
      </w:r>
      <w:r>
        <w:rPr>
          <w:b w:val="0"/>
          <w:sz w:val="20"/>
        </w:rPr>
        <w:t>*</w:t>
      </w:r>
    </w:p>
    <w:p w:rsidR="00000000" w:rsidRDefault="00000000">
      <w:pPr>
        <w:pStyle w:val="HCh"/>
        <w:keepNext w:val="0"/>
        <w:keepLines w:val="0"/>
        <w:spacing w:after="120"/>
        <w:rPr>
          <w:b w:val="0"/>
        </w:rPr>
      </w:pPr>
      <w:r>
        <w:rPr>
          <w:b w:val="0"/>
          <w:sz w:val="20"/>
        </w:rP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tabs>
                <w:tab w:val="left" w:pos="288"/>
                <w:tab w:val="left" w:pos="576"/>
                <w:tab w:val="left" w:pos="864"/>
                <w:tab w:val="left" w:leader="dot" w:pos="1020"/>
              </w:tabs>
              <w:spacing w:after="120" w:line="240" w:lineRule="auto"/>
              <w:jc w:val="right"/>
              <w:rPr>
                <w:i/>
                <w:spacing w:val="60"/>
                <w:sz w:val="17"/>
              </w:rPr>
            </w:pPr>
            <w:r>
              <w:rPr>
                <w:i/>
                <w:spacing w:val="60"/>
                <w:sz w:val="17"/>
              </w:rPr>
              <w:tab/>
            </w:r>
            <w:r>
              <w:rPr>
                <w:i/>
                <w:spacing w:val="60"/>
                <w:sz w:val="17"/>
              </w:rPr>
              <w:tab/>
            </w:r>
            <w:r>
              <w:rPr>
                <w:i/>
                <w:spacing w:val="60"/>
                <w:sz w:val="17"/>
              </w:rPr>
              <w:tab/>
            </w:r>
            <w:r>
              <w:rPr>
                <w:i/>
                <w:spacing w:val="60"/>
                <w:sz w:val="17"/>
              </w:rPr>
              <w:tab/>
            </w: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leader="dot" w:pos="9101"/>
              </w:tabs>
              <w:spacing w:after="120"/>
              <w:rPr>
                <w:spacing w:val="60"/>
                <w:sz w:val="17"/>
              </w:rPr>
            </w:pPr>
            <w:r>
              <w:tab/>
            </w:r>
            <w:r>
              <w:tab/>
              <w:t xml:space="preserve">Siglas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leader="dot" w:pos="9101"/>
              </w:tabs>
              <w:spacing w:after="120"/>
              <w:rPr>
                <w:spacing w:val="60"/>
                <w:sz w:val="17"/>
              </w:rPr>
            </w:pPr>
            <w:r>
              <w:tab/>
            </w:r>
            <w:r>
              <w:tab/>
              <w:t xml:space="preserve">Prefacio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leader="dot" w:pos="9101"/>
              </w:tabs>
              <w:spacing w:after="120"/>
              <w:rPr>
                <w:b/>
                <w:spacing w:val="60"/>
                <w:sz w:val="17"/>
              </w:rPr>
            </w:pPr>
            <w:r>
              <w:rPr>
                <w:b/>
              </w:rPr>
              <w:tab/>
            </w:r>
            <w:r>
              <w:rPr>
                <w:b/>
              </w:rPr>
              <w:tab/>
              <w:t>Sección A</w:t>
            </w:r>
            <w:r>
              <w:rPr>
                <w:b/>
              </w:rPr>
              <w:br/>
            </w:r>
            <w:r>
              <w:rPr>
                <w:b/>
              </w:rPr>
              <w:tab/>
            </w:r>
            <w:r>
              <w:rPr>
                <w:b/>
              </w:rPr>
              <w:tab/>
              <w:t>Introducción</w:t>
            </w:r>
          </w:p>
        </w:tc>
        <w:tc>
          <w:tcPr>
            <w:tcW w:w="792" w:type="dxa"/>
            <w:vAlign w:val="bottom"/>
          </w:tcPr>
          <w:p w:rsidR="00000000" w:rsidRDefault="00000000">
            <w:pPr>
              <w:spacing w:after="120"/>
              <w:ind w:right="40"/>
              <w:jc w:val="right"/>
            </w:pPr>
            <w:r>
              <w:tab/>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leader="dot" w:pos="9101"/>
              </w:tabs>
              <w:spacing w:after="120"/>
              <w:rPr>
                <w:spacing w:val="60"/>
                <w:sz w:val="17"/>
              </w:rPr>
            </w:pPr>
            <w:r>
              <w:tab/>
              <w:t>1.0</w:t>
            </w:r>
            <w:r>
              <w:tab/>
              <w:t xml:space="preserve">Antecedentes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ab/>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leader="dot" w:pos="9101"/>
              </w:tabs>
              <w:spacing w:after="120"/>
              <w:rPr>
                <w:spacing w:val="60"/>
                <w:sz w:val="17"/>
              </w:rPr>
            </w:pPr>
            <w:r>
              <w:tab/>
              <w:t>2.0</w:t>
            </w:r>
            <w:r>
              <w:tab/>
              <w:t xml:space="preserve">Procesos preparatorios para la redacción del presente informe periódico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leader="dot" w:pos="9101"/>
              </w:tabs>
              <w:spacing w:after="120"/>
              <w:rPr>
                <w:spacing w:val="60"/>
                <w:sz w:val="17"/>
              </w:rPr>
            </w:pPr>
            <w:r>
              <w:tab/>
              <w:t>3.0</w:t>
            </w:r>
            <w:r>
              <w:tab/>
              <w:t>Colaboración con el Sistema de las Naciones Unidas para el Desarrollo</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leader="dot" w:pos="9101"/>
              </w:tabs>
              <w:spacing w:after="120"/>
              <w:rPr>
                <w:spacing w:val="60"/>
                <w:sz w:val="17"/>
              </w:rPr>
            </w:pPr>
            <w:r>
              <w:tab/>
              <w:t>4.0</w:t>
            </w:r>
            <w:r>
              <w:tab/>
              <w:t xml:space="preserve">Situación demográfica de Nigeria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leader="dot" w:pos="9101"/>
              </w:tabs>
              <w:spacing w:after="120"/>
              <w:rPr>
                <w:spacing w:val="60"/>
                <w:sz w:val="17"/>
              </w:rPr>
            </w:pPr>
            <w:r>
              <w:tab/>
              <w:t>5.0</w:t>
            </w:r>
            <w:r>
              <w:tab/>
              <w:t xml:space="preserve">Mapa de Nigeria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leader="dot" w:pos="9101"/>
              </w:tabs>
              <w:spacing w:after="120"/>
              <w:ind w:left="1296" w:hanging="1296"/>
              <w:rPr>
                <w:b/>
                <w:spacing w:val="60"/>
                <w:sz w:val="17"/>
              </w:rPr>
            </w:pPr>
            <w:r>
              <w:rPr>
                <w:b/>
              </w:rPr>
              <w:tab/>
            </w:r>
            <w:r>
              <w:rPr>
                <w:b/>
              </w:rPr>
              <w:tab/>
              <w:t>Sección B</w:t>
            </w:r>
            <w:r>
              <w:rPr>
                <w:b/>
              </w:rPr>
              <w:br/>
              <w:t>Informe sobre los avances logrados en la aplicación de la Convención sobre la eliminación de todas las formas de discriminación contra la mujer</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rPr>
                <w:spacing w:val="60"/>
                <w:sz w:val="17"/>
              </w:rPr>
            </w:pPr>
            <w:r>
              <w:tab/>
              <w:t>1.0</w:t>
            </w:r>
            <w:r>
              <w:tab/>
              <w:t xml:space="preserve">Definición de la discriminación contra la mujer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t>2.0</w:t>
            </w:r>
            <w:r>
              <w:tab/>
              <w:t>Obligación de eliminar la discriminación</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rPr>
                <w:spacing w:val="60"/>
                <w:sz w:val="17"/>
              </w:rPr>
            </w:pPr>
            <w:r>
              <w:tab/>
              <w:t>3.0</w:t>
            </w:r>
            <w:r>
              <w:tab/>
              <w:t xml:space="preserve">Medidas para lograr el adelanto pleno de la mujer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leader="dot" w:pos="9101"/>
              </w:tabs>
              <w:spacing w:after="120"/>
              <w:rPr>
                <w:spacing w:val="60"/>
                <w:sz w:val="17"/>
              </w:rPr>
            </w:pPr>
            <w:r>
              <w:tab/>
              <w:t>4.0</w:t>
            </w:r>
            <w:r>
              <w:tab/>
              <w:t xml:space="preserve">Medidas especiales para acelerar la igualdad entre el hombre y la mujer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rPr>
                <w:spacing w:val="60"/>
                <w:sz w:val="17"/>
              </w:rPr>
            </w:pPr>
            <w:r>
              <w:tab/>
              <w:t>5.0</w:t>
            </w:r>
            <w:r>
              <w:tab/>
              <w:t xml:space="preserve">Funciones de los sexos y estereotipos al respecto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leader="dot" w:pos="9101"/>
              </w:tabs>
              <w:spacing w:after="120"/>
              <w:rPr>
                <w:spacing w:val="60"/>
                <w:sz w:val="17"/>
              </w:rPr>
            </w:pPr>
            <w:r>
              <w:tab/>
              <w:t>6.0</w:t>
            </w:r>
            <w:r>
              <w:tab/>
              <w:t xml:space="preserve">Trata de mujeres y explotación para la prostitución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leader="dot" w:pos="9101"/>
              </w:tabs>
              <w:spacing w:after="120"/>
              <w:rPr>
                <w:spacing w:val="60"/>
                <w:sz w:val="17"/>
              </w:rPr>
            </w:pPr>
            <w:r>
              <w:tab/>
              <w:t>7.0</w:t>
            </w:r>
            <w:r>
              <w:tab/>
              <w:t xml:space="preserve">La mujer en la vida política y pública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leader="dot" w:pos="9101"/>
              </w:tabs>
              <w:spacing w:after="120"/>
              <w:rPr>
                <w:spacing w:val="60"/>
                <w:sz w:val="17"/>
              </w:rPr>
            </w:pPr>
            <w:r>
              <w:tab/>
              <w:t>8.0</w:t>
            </w:r>
            <w:r>
              <w:tab/>
              <w:t xml:space="preserve">Representación en el plano internacional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leader="dot" w:pos="9101"/>
              </w:tabs>
              <w:spacing w:after="120"/>
              <w:rPr>
                <w:spacing w:val="60"/>
                <w:sz w:val="17"/>
              </w:rPr>
            </w:pPr>
            <w:r>
              <w:tab/>
              <w:t>9.0</w:t>
            </w:r>
            <w:r>
              <w:tab/>
              <w:t>La mujer y la nacionalidad</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leader="dot" w:pos="9101"/>
              </w:tabs>
              <w:spacing w:after="120"/>
              <w:rPr>
                <w:spacing w:val="60"/>
                <w:sz w:val="17"/>
              </w:rPr>
            </w:pPr>
            <w:r>
              <w:tab/>
              <w:t>10.0</w:t>
            </w:r>
            <w:r>
              <w:tab/>
              <w:t xml:space="preserve">Educación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leader="dot" w:pos="9101"/>
              </w:tabs>
              <w:spacing w:after="120"/>
              <w:rPr>
                <w:spacing w:val="60"/>
                <w:sz w:val="17"/>
              </w:rPr>
            </w:pPr>
            <w:r>
              <w:tab/>
              <w:t>11.0</w:t>
            </w:r>
            <w:r>
              <w:tab/>
              <w:t xml:space="preserve">Empleo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leader="dot" w:pos="9101"/>
              </w:tabs>
              <w:spacing w:after="120"/>
              <w:rPr>
                <w:spacing w:val="60"/>
                <w:sz w:val="17"/>
              </w:rPr>
            </w:pPr>
            <w:r>
              <w:tab/>
              <w:t>12.0</w:t>
            </w:r>
            <w:r>
              <w:tab/>
              <w:t xml:space="preserve">Igualdad en el acceso a la atención médica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rPr>
                <w:spacing w:val="60"/>
                <w:sz w:val="17"/>
              </w:rPr>
            </w:pPr>
            <w:r>
              <w:tab/>
              <w:t>13.0</w:t>
            </w:r>
            <w:r>
              <w:tab/>
              <w:t xml:space="preserve">Derechos sociales y económicos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leader="dot" w:pos="9101"/>
              </w:tabs>
              <w:spacing w:after="120"/>
              <w:rPr>
                <w:spacing w:val="60"/>
                <w:sz w:val="17"/>
              </w:rPr>
            </w:pPr>
            <w:r>
              <w:tab/>
              <w:t>14.0</w:t>
            </w:r>
            <w:r>
              <w:tab/>
              <w:t xml:space="preserve">La mujer en las zonas rurales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rPr>
                <w:spacing w:val="60"/>
                <w:sz w:val="17"/>
              </w:rPr>
            </w:pPr>
            <w:r>
              <w:tab/>
              <w:t>15.0</w:t>
            </w:r>
            <w:r>
              <w:tab/>
              <w:t xml:space="preserve">Igualdad ante la ley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leader="dot" w:pos="9101"/>
              </w:tabs>
              <w:spacing w:after="120"/>
              <w:rPr>
                <w:spacing w:val="60"/>
                <w:sz w:val="17"/>
              </w:rPr>
            </w:pPr>
            <w:r>
              <w:tab/>
              <w:t>16.0</w:t>
            </w:r>
            <w:r>
              <w:tab/>
              <w:t xml:space="preserve">Igualdad en el matrimonio y la familia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leader="dot" w:pos="9101"/>
              </w:tabs>
              <w:spacing w:after="120"/>
              <w:rPr>
                <w:b/>
                <w:spacing w:val="60"/>
                <w:sz w:val="17"/>
              </w:rPr>
            </w:pPr>
            <w:r>
              <w:rPr>
                <w:b/>
              </w:rPr>
              <w:tab/>
            </w:r>
            <w:r>
              <w:rPr>
                <w:b/>
              </w:rPr>
              <w:tab/>
              <w:t>Sección C</w:t>
            </w:r>
            <w:r>
              <w:rPr>
                <w:b/>
              </w:rPr>
              <w:br/>
            </w:r>
            <w:r>
              <w:rPr>
                <w:b/>
              </w:rPr>
              <w:tab/>
            </w:r>
            <w:r>
              <w:rPr>
                <w:b/>
              </w:rPr>
              <w:tab/>
              <w:t>Conclusión</w:t>
            </w:r>
          </w:p>
        </w:tc>
        <w:tc>
          <w:tcPr>
            <w:tcW w:w="792" w:type="dxa"/>
            <w:vAlign w:val="bottom"/>
          </w:tcPr>
          <w:p w:rsidR="00000000" w:rsidRDefault="00000000">
            <w:pPr>
              <w:spacing w:after="120"/>
              <w:ind w:right="40"/>
              <w:jc w:val="right"/>
            </w:pPr>
            <w:r>
              <w:tab/>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leader="dot" w:pos="9101"/>
              </w:tabs>
              <w:spacing w:after="120"/>
              <w:rPr>
                <w:spacing w:val="60"/>
                <w:sz w:val="17"/>
              </w:rPr>
            </w:pPr>
            <w:r>
              <w:tab/>
              <w:t>1.0</w:t>
            </w:r>
            <w:r>
              <w:tab/>
              <w:t xml:space="preserve">Introducción de la Convención en el derecho interno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leader="dot" w:pos="9101"/>
              </w:tabs>
              <w:spacing w:after="120"/>
              <w:rPr>
                <w:spacing w:val="60"/>
                <w:sz w:val="17"/>
              </w:rPr>
            </w:pPr>
            <w:r>
              <w:tab/>
              <w:t>2.0</w:t>
            </w:r>
            <w:r>
              <w:tab/>
              <w:t xml:space="preserve">Obligación de eliminar la discriminación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leader="dot" w:pos="9101"/>
              </w:tabs>
              <w:spacing w:after="120"/>
              <w:rPr>
                <w:spacing w:val="60"/>
                <w:sz w:val="17"/>
              </w:rPr>
            </w:pPr>
            <w:r>
              <w:tab/>
              <w:t>3.0</w:t>
            </w:r>
            <w:r>
              <w:tab/>
              <w:t>Situación de la mujer en la educación, la salud y la vida económica y social</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leader="dot" w:pos="9101"/>
              </w:tabs>
              <w:spacing w:after="120"/>
              <w:rPr>
                <w:spacing w:val="60"/>
                <w:sz w:val="17"/>
              </w:rPr>
            </w:pPr>
            <w:r>
              <w:tab/>
              <w:t>4.0</w:t>
            </w:r>
            <w:r>
              <w:tab/>
              <w:t xml:space="preserve">Otros obstáculos a la igualdad de la mujer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leader="dot" w:pos="9101"/>
              </w:tabs>
              <w:spacing w:after="120"/>
              <w:rPr>
                <w:spacing w:val="60"/>
                <w:sz w:val="17"/>
              </w:rPr>
            </w:pPr>
            <w:r>
              <w:tab/>
              <w:t>5.0</w:t>
            </w:r>
            <w:r>
              <w:tab/>
              <w:t xml:space="preserve">La vía por la que avanzar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Apéndices</w:t>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leader="dot" w:pos="9101"/>
              </w:tabs>
              <w:spacing w:after="120"/>
              <w:rPr>
                <w:spacing w:val="60"/>
                <w:sz w:val="17"/>
              </w:rPr>
            </w:pPr>
            <w:r>
              <w:tab/>
            </w:r>
            <w:r>
              <w:tab/>
              <w:t xml:space="preserve">Referencias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288"/>
                <w:tab w:val="left" w:pos="576"/>
                <w:tab w:val="left" w:pos="864"/>
                <w:tab w:val="left" w:leader="dot" w:pos="9080"/>
              </w:tabs>
              <w:spacing w:after="120"/>
              <w:rPr>
                <w:spacing w:val="60"/>
                <w:sz w:val="17"/>
              </w:rPr>
            </w:pPr>
            <w:r>
              <w:tab/>
              <w:t>Cuadros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475"/>
              <w:rPr>
                <w:spacing w:val="60"/>
                <w:sz w:val="17"/>
              </w:rPr>
            </w:pPr>
            <w:r>
              <w:tab/>
              <w:t>7.1</w:t>
            </w:r>
            <w:r>
              <w:tab/>
              <w:t>Algunos nombramientos hechos por el gobierno civil a nivel federal en</w:t>
            </w:r>
            <w:r>
              <w:br/>
            </w:r>
            <w:r>
              <w:tab/>
            </w:r>
            <w:r>
              <w:tab/>
              <w:t xml:space="preserve">noviembre de 1999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475"/>
              <w:rPr>
                <w:spacing w:val="60"/>
                <w:sz w:val="17"/>
              </w:rPr>
            </w:pPr>
            <w:r>
              <w:tab/>
              <w:t>7.2</w:t>
            </w:r>
            <w:r>
              <w:tab/>
              <w:t>Algunos nombramientos hechos por los gobiernos civiles a nivel estatal en</w:t>
            </w:r>
            <w:r>
              <w:br/>
            </w:r>
            <w:r>
              <w:tab/>
            </w:r>
            <w:r>
              <w:tab/>
              <w:t xml:space="preserve">noviembre de 1999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leader="dot" w:pos="9101"/>
              </w:tabs>
              <w:spacing w:after="120"/>
              <w:ind w:left="475"/>
              <w:rPr>
                <w:spacing w:val="60"/>
                <w:sz w:val="17"/>
              </w:rPr>
            </w:pPr>
            <w:r>
              <w:tab/>
              <w:t>7.3</w:t>
            </w:r>
            <w:r>
              <w:tab/>
              <w:t xml:space="preserve">Número de funcionarios del Estado de Nassarawa, con los porcentajes </w:t>
            </w:r>
            <w:r>
              <w:br/>
            </w:r>
            <w:r>
              <w:tab/>
            </w:r>
            <w:r>
              <w:tab/>
              <w:t xml:space="preserve">correspondientes a la población y al sexo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leader="dot" w:pos="9101"/>
              </w:tabs>
              <w:spacing w:after="120"/>
              <w:ind w:left="475"/>
              <w:rPr>
                <w:spacing w:val="60"/>
                <w:sz w:val="17"/>
              </w:rPr>
            </w:pPr>
            <w:r>
              <w:tab/>
              <w:t>7.4</w:t>
            </w:r>
            <w:r>
              <w:tab/>
              <w:t xml:space="preserve">Personal del gobierno local de Nassarawa (unificado con los porcentajes </w:t>
            </w:r>
            <w:r>
              <w:br/>
            </w:r>
            <w:r>
              <w:tab/>
            </w:r>
            <w:r>
              <w:tab/>
              <w:t xml:space="preserve">correspondientes a la población y al sexo)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leader="dot" w:pos="9101"/>
              </w:tabs>
              <w:spacing w:after="120"/>
              <w:ind w:left="475"/>
              <w:rPr>
                <w:spacing w:val="60"/>
                <w:sz w:val="17"/>
              </w:rPr>
            </w:pPr>
            <w:r>
              <w:tab/>
              <w:t>7.5</w:t>
            </w:r>
            <w:r>
              <w:tab/>
              <w:t xml:space="preserve">Análisis de la distribución por sexos de los cargos electivos de 1999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leader="dot" w:pos="9101"/>
              </w:tabs>
              <w:spacing w:after="120"/>
              <w:ind w:left="475"/>
              <w:rPr>
                <w:spacing w:val="60"/>
                <w:sz w:val="17"/>
              </w:rPr>
            </w:pPr>
            <w:r>
              <w:tab/>
              <w:t>7.6</w:t>
            </w:r>
            <w:r>
              <w:tab/>
              <w:t xml:space="preserve">Nombramientos para los Consejos Federales y los organismos autónomos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leader="dot" w:pos="9101"/>
              </w:tabs>
              <w:spacing w:after="120"/>
              <w:ind w:left="475"/>
              <w:rPr>
                <w:spacing w:val="60"/>
                <w:sz w:val="17"/>
              </w:rPr>
            </w:pPr>
            <w:r>
              <w:tab/>
              <w:t>8.1</w:t>
            </w:r>
            <w:r>
              <w:tab/>
              <w:t xml:space="preserve">Mujeres en el Servicio Exterior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475"/>
              <w:rPr>
                <w:spacing w:val="60"/>
                <w:sz w:val="17"/>
              </w:rPr>
            </w:pPr>
            <w:r>
              <w:tab/>
              <w:t>8.2</w:t>
            </w:r>
            <w:r>
              <w:tab/>
              <w:t xml:space="preserve">Mujeres en organizaciones internacionales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leader="dot" w:pos="9101"/>
              </w:tabs>
              <w:spacing w:after="120"/>
              <w:ind w:left="475"/>
              <w:rPr>
                <w:spacing w:val="60"/>
                <w:sz w:val="17"/>
              </w:rPr>
            </w:pPr>
            <w:r>
              <w:tab/>
              <w:t>10.1</w:t>
            </w:r>
            <w:r>
              <w:tab/>
              <w:t xml:space="preserve">Matrícula total en las enseñanzas primaria y secundaria de primer ciclo </w:t>
            </w:r>
            <w:r>
              <w:br/>
            </w:r>
            <w:r>
              <w:tab/>
            </w:r>
            <w:r>
              <w:tab/>
              <w:t>y de segundo ciclo 1992-1996</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leader="dot" w:pos="9101"/>
              </w:tabs>
              <w:spacing w:after="120"/>
              <w:ind w:left="475"/>
              <w:rPr>
                <w:spacing w:val="60"/>
                <w:sz w:val="17"/>
              </w:rPr>
            </w:pPr>
            <w:r>
              <w:tab/>
              <w:t>10.2</w:t>
            </w:r>
            <w:r>
              <w:tab/>
              <w:t xml:space="preserve">Matrícula de las escuelas técnicas federales y estatales en 1993/1994-1997/1998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475"/>
              <w:rPr>
                <w:spacing w:val="60"/>
                <w:sz w:val="17"/>
              </w:rPr>
            </w:pPr>
            <w:r>
              <w:tab/>
              <w:t>10.3</w:t>
            </w:r>
            <w:r>
              <w:tab/>
              <w:t xml:space="preserve">Tasa bruta de matrícula correspondiente a las enseñanzas primaria y enseñanza </w:t>
            </w:r>
            <w:r>
              <w:br/>
            </w:r>
            <w:r>
              <w:tab/>
            </w:r>
            <w:r>
              <w:tab/>
              <w:t xml:space="preserve">secundaria de primer ciclo y de segundo ciclo 1992-1996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821"/>
              <w:rPr>
                <w:spacing w:val="60"/>
                <w:sz w:val="17"/>
              </w:rPr>
            </w:pPr>
            <w:r>
              <w:tab/>
              <w:t>10.4</w:t>
            </w:r>
            <w:r>
              <w:tab/>
              <w:t xml:space="preserve">Tasa bruta de matrícula correspondiente a la enseñanza primeria .por sexo, zona geopolítica y zonas urbanas y rurales 1995/1999 </w:t>
            </w:r>
            <w:r>
              <w:rPr>
                <w:spacing w:val="60"/>
                <w:sz w:val="17"/>
              </w:rP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821"/>
              <w:rPr>
                <w:spacing w:val="60"/>
                <w:sz w:val="17"/>
              </w:rPr>
            </w:pPr>
            <w:r>
              <w:tab/>
              <w:t>10.5</w:t>
            </w:r>
            <w:r>
              <w:tab/>
              <w:t xml:space="preserve">Tasa de alfabetización de adultos,1999 – porcentaje de la población de 15 años </w:t>
            </w:r>
            <w:r>
              <w:br/>
              <w:t xml:space="preserve">de edad o más (MICS) </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leader="dot" w:pos="9101"/>
              </w:tabs>
              <w:spacing w:after="120"/>
              <w:ind w:left="475"/>
              <w:rPr>
                <w:spacing w:val="60"/>
                <w:sz w:val="17"/>
              </w:rPr>
            </w:pPr>
            <w:r>
              <w:tab/>
              <w:t>10.6</w:t>
            </w:r>
            <w:r>
              <w:tab/>
              <w:t xml:space="preserve">Porcentaje de maestras en escuelas de enseñanza primaria, 1984-1997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leader="dot" w:pos="9101"/>
              </w:tabs>
              <w:spacing w:after="120"/>
              <w:ind w:left="475"/>
              <w:rPr>
                <w:spacing w:val="60"/>
                <w:sz w:val="17"/>
              </w:rPr>
            </w:pPr>
            <w:r>
              <w:tab/>
              <w:t>12.1</w:t>
            </w:r>
            <w:r>
              <w:tab/>
              <w:t xml:space="preserve">Relación de mortalidad materna en determinadas zonas de Nigeria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leader="dot" w:pos="9101"/>
              </w:tabs>
              <w:spacing w:after="120"/>
              <w:ind w:left="475"/>
              <w:rPr>
                <w:spacing w:val="60"/>
                <w:sz w:val="17"/>
              </w:rPr>
            </w:pPr>
            <w:r>
              <w:tab/>
              <w:t>12.2</w:t>
            </w:r>
            <w:r>
              <w:tab/>
              <w:t>Tasas de mortalidad infantil y de niños menores de cinco años de edad</w:t>
            </w:r>
            <w:r>
              <w:br/>
            </w:r>
            <w:r>
              <w:tab/>
            </w:r>
            <w:r>
              <w:tab/>
              <w:t xml:space="preserve">(por 1.000 nacidos vivos)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leader="dot" w:pos="9101"/>
              </w:tabs>
              <w:spacing w:after="120"/>
              <w:ind w:left="475"/>
              <w:rPr>
                <w:spacing w:val="60"/>
                <w:sz w:val="17"/>
              </w:rPr>
            </w:pPr>
            <w:r>
              <w:tab/>
              <w:t>12.3</w:t>
            </w:r>
            <w:r>
              <w:tab/>
              <w:t xml:space="preserve">Tasa de utilización de la anticoncepción, por método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leader="dot" w:pos="9101"/>
              </w:tabs>
              <w:spacing w:after="120"/>
              <w:ind w:left="475"/>
              <w:rPr>
                <w:spacing w:val="60"/>
                <w:sz w:val="17"/>
              </w:rPr>
            </w:pPr>
            <w:r>
              <w:tab/>
              <w:t>14.1</w:t>
            </w:r>
            <w:r>
              <w:tab/>
              <w:t xml:space="preserve">Fuentes de abastecimiento de agua en ciudades pequeñas, 1997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leader="dot" w:pos="9101"/>
              </w:tabs>
              <w:spacing w:after="120"/>
              <w:ind w:left="475"/>
              <w:rPr>
                <w:spacing w:val="60"/>
                <w:sz w:val="17"/>
              </w:rPr>
            </w:pPr>
            <w:r>
              <w:tab/>
              <w:t>14.2</w:t>
            </w:r>
            <w:r>
              <w:tab/>
              <w:t xml:space="preserve">Fuentes de abastecimiento de agua en la zona urbana de Lagos, 1997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leader="dot" w:pos="9101"/>
              </w:tabs>
              <w:spacing w:after="120"/>
              <w:ind w:left="475"/>
              <w:rPr>
                <w:spacing w:val="60"/>
                <w:sz w:val="17"/>
              </w:rPr>
            </w:pPr>
            <w:r>
              <w:tab/>
              <w:t>14.3</w:t>
            </w:r>
            <w:r>
              <w:tab/>
              <w:t xml:space="preserve">Fuentes de abastecimiento de agua, servicios de saneamiento y número de </w:t>
            </w:r>
            <w:r>
              <w:br/>
            </w:r>
            <w:r>
              <w:tab/>
            </w:r>
            <w:r>
              <w:tab/>
              <w:t xml:space="preserve">personas por habitación, 1990 y 1999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leader="dot" w:pos="9101"/>
              </w:tabs>
              <w:spacing w:after="120"/>
              <w:ind w:left="475"/>
              <w:rPr>
                <w:spacing w:val="60"/>
                <w:sz w:val="17"/>
              </w:rPr>
            </w:pPr>
            <w:r>
              <w:tab/>
              <w:t>14.4</w:t>
            </w:r>
            <w:r>
              <w:tab/>
              <w:t xml:space="preserve">Porcentaje de mujeres propietarias de tierras agrícolas </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left" w:pos="288"/>
                <w:tab w:val="left" w:pos="576"/>
                <w:tab w:val="left" w:leader="dot" w:pos="9080"/>
              </w:tabs>
              <w:spacing w:after="120"/>
              <w:jc w:val="both"/>
              <w:rPr>
                <w:spacing w:val="60"/>
                <w:sz w:val="17"/>
              </w:rPr>
            </w:pPr>
            <w:r>
              <w:t>Figuras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475"/>
            </w:pPr>
            <w:r>
              <w:tab/>
              <w:t>10.1</w:t>
            </w:r>
            <w:r>
              <w:tab/>
              <w:t xml:space="preserve">Tasa de alfabetización de adultos, 1991 y 1999 </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475"/>
              <w:rPr>
                <w:spacing w:val="60"/>
                <w:sz w:val="17"/>
              </w:rPr>
            </w:pPr>
            <w:r>
              <w:tab/>
              <w:t>12.1</w:t>
            </w:r>
            <w:r>
              <w:tab/>
              <w:t xml:space="preserve">Causas principales de mortalidad materna </w:t>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leader="dot" w:pos="9101"/>
              </w:tabs>
              <w:spacing w:after="120"/>
              <w:ind w:left="475"/>
              <w:rPr>
                <w:spacing w:val="60"/>
                <w:sz w:val="17"/>
              </w:rPr>
            </w:pPr>
            <w:r>
              <w:tab/>
              <w:t>12.2</w:t>
            </w:r>
            <w:r>
              <w:tab/>
              <w:t xml:space="preserve">Servicios disponibles de planificación de la familia </w:t>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leader="dot" w:pos="9101"/>
              </w:tabs>
              <w:spacing w:after="120"/>
              <w:ind w:left="475"/>
              <w:rPr>
                <w:spacing w:val="60"/>
                <w:sz w:val="17"/>
              </w:rPr>
            </w:pPr>
            <w:r>
              <w:tab/>
              <w:t>12.3</w:t>
            </w:r>
            <w:r>
              <w:tab/>
              <w:t>Tasa nacional de prevalencia del VIH/SIDA (1992-1999)</w:t>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54</w:t>
            </w:r>
          </w:p>
        </w:tc>
      </w:tr>
    </w:tbl>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spacing w:line="240" w:lineRule="auto"/>
        <w:rPr>
          <w:sz w:val="28"/>
        </w:rPr>
      </w:pPr>
      <w:r>
        <w:br w:type="page"/>
      </w:r>
      <w:r>
        <w:rPr>
          <w:sz w:val="28"/>
        </w:rPr>
        <w:t>Siglas</w:t>
      </w:r>
    </w:p>
    <w:p w:rsidR="00000000" w:rsidRDefault="00000000"/>
    <w:tbl>
      <w:tblPr>
        <w:tblW w:w="0" w:type="auto"/>
        <w:tblInd w:w="1262" w:type="dxa"/>
        <w:tblLayout w:type="fixed"/>
        <w:tblCellMar>
          <w:left w:w="0" w:type="dxa"/>
          <w:right w:w="0" w:type="dxa"/>
        </w:tblCellMar>
        <w:tblLook w:val="0000" w:firstRow="0" w:lastRow="0" w:firstColumn="0" w:lastColumn="0" w:noHBand="0" w:noVBand="0"/>
      </w:tblPr>
      <w:tblGrid>
        <w:gridCol w:w="1224"/>
        <w:gridCol w:w="6120"/>
      </w:tblGrid>
      <w:tr w:rsidR="00000000">
        <w:tblPrEx>
          <w:tblCellMar>
            <w:top w:w="0" w:type="dxa"/>
            <w:left w:w="0" w:type="dxa"/>
            <w:bottom w:w="0" w:type="dxa"/>
            <w:right w:w="0" w:type="dxa"/>
          </w:tblCellMar>
        </w:tblPrEx>
        <w:tc>
          <w:tcPr>
            <w:tcW w:w="1224" w:type="dxa"/>
          </w:tcPr>
          <w:p w:rsidR="00000000" w:rsidRDefault="00000000">
            <w:pPr>
              <w:spacing w:after="120"/>
            </w:pPr>
            <w:r>
              <w:t>AD</w:t>
            </w:r>
          </w:p>
        </w:tc>
        <w:tc>
          <w:tcPr>
            <w:tcW w:w="6120" w:type="dxa"/>
          </w:tcPr>
          <w:p w:rsidR="00000000" w:rsidRDefault="00000000">
            <w:pPr>
              <w:spacing w:after="120"/>
            </w:pPr>
            <w:r>
              <w:t>Alianza por la Democracia</w:t>
            </w:r>
          </w:p>
        </w:tc>
      </w:tr>
      <w:tr w:rsidR="00000000">
        <w:tblPrEx>
          <w:tblCellMar>
            <w:top w:w="0" w:type="dxa"/>
            <w:left w:w="0" w:type="dxa"/>
            <w:bottom w:w="0" w:type="dxa"/>
            <w:right w:w="0" w:type="dxa"/>
          </w:tblCellMar>
        </w:tblPrEx>
        <w:tc>
          <w:tcPr>
            <w:tcW w:w="1224" w:type="dxa"/>
          </w:tcPr>
          <w:p w:rsidR="00000000" w:rsidRDefault="00000000">
            <w:pPr>
              <w:spacing w:after="120"/>
            </w:pPr>
            <w:r>
              <w:t>AOD</w:t>
            </w:r>
          </w:p>
        </w:tc>
        <w:tc>
          <w:tcPr>
            <w:tcW w:w="6120" w:type="dxa"/>
          </w:tcPr>
          <w:p w:rsidR="00000000" w:rsidRDefault="00000000">
            <w:pPr>
              <w:spacing w:after="120"/>
            </w:pPr>
            <w:r>
              <w:t>Asistencia para el desarrollo</w:t>
            </w:r>
          </w:p>
        </w:tc>
      </w:tr>
      <w:tr w:rsidR="00000000">
        <w:tblPrEx>
          <w:tblCellMar>
            <w:top w:w="0" w:type="dxa"/>
            <w:left w:w="0" w:type="dxa"/>
            <w:bottom w:w="0" w:type="dxa"/>
            <w:right w:w="0" w:type="dxa"/>
          </w:tblCellMar>
        </w:tblPrEx>
        <w:tc>
          <w:tcPr>
            <w:tcW w:w="1224" w:type="dxa"/>
          </w:tcPr>
          <w:p w:rsidR="00000000" w:rsidRDefault="00000000">
            <w:pPr>
              <w:spacing w:after="120"/>
            </w:pPr>
            <w:r>
              <w:t>CEPA</w:t>
            </w:r>
          </w:p>
        </w:tc>
        <w:tc>
          <w:tcPr>
            <w:tcW w:w="6120" w:type="dxa"/>
          </w:tcPr>
          <w:p w:rsidR="00000000" w:rsidRDefault="00000000">
            <w:pPr>
              <w:spacing w:after="120"/>
            </w:pPr>
            <w:r>
              <w:t>Comisión Económica para Africa</w:t>
            </w:r>
          </w:p>
        </w:tc>
      </w:tr>
      <w:tr w:rsidR="00000000">
        <w:tblPrEx>
          <w:tblCellMar>
            <w:top w:w="0" w:type="dxa"/>
            <w:left w:w="0" w:type="dxa"/>
            <w:bottom w:w="0" w:type="dxa"/>
            <w:right w:w="0" w:type="dxa"/>
          </w:tblCellMar>
        </w:tblPrEx>
        <w:tc>
          <w:tcPr>
            <w:tcW w:w="1224" w:type="dxa"/>
          </w:tcPr>
          <w:p w:rsidR="00000000" w:rsidRDefault="00000000">
            <w:pPr>
              <w:spacing w:after="120"/>
            </w:pPr>
            <w:r>
              <w:t>CEDAW</w:t>
            </w:r>
          </w:p>
        </w:tc>
        <w:tc>
          <w:tcPr>
            <w:tcW w:w="6120" w:type="dxa"/>
          </w:tcPr>
          <w:p w:rsidR="00000000" w:rsidRDefault="00000000">
            <w:pPr>
              <w:spacing w:after="120"/>
            </w:pPr>
            <w:r>
              <w:t>Convención sogre la eliminación de todas las formas de discriminación contra la mujer</w:t>
            </w:r>
          </w:p>
        </w:tc>
      </w:tr>
      <w:tr w:rsidR="00000000">
        <w:tblPrEx>
          <w:tblCellMar>
            <w:top w:w="0" w:type="dxa"/>
            <w:left w:w="0" w:type="dxa"/>
            <w:bottom w:w="0" w:type="dxa"/>
            <w:right w:w="0" w:type="dxa"/>
          </w:tblCellMar>
        </w:tblPrEx>
        <w:tc>
          <w:tcPr>
            <w:tcW w:w="1224" w:type="dxa"/>
          </w:tcPr>
          <w:p w:rsidR="00000000" w:rsidRDefault="00000000">
            <w:pPr>
              <w:spacing w:after="120"/>
            </w:pPr>
            <w:r>
              <w:t>IEC</w:t>
            </w:r>
          </w:p>
        </w:tc>
        <w:tc>
          <w:tcPr>
            <w:tcW w:w="6120" w:type="dxa"/>
          </w:tcPr>
          <w:p w:rsidR="00000000" w:rsidRDefault="00000000">
            <w:pPr>
              <w:spacing w:after="120"/>
            </w:pPr>
            <w:r>
              <w:t>Información, educación y comunicación</w:t>
            </w:r>
          </w:p>
        </w:tc>
      </w:tr>
      <w:tr w:rsidR="00000000">
        <w:tblPrEx>
          <w:tblCellMar>
            <w:top w:w="0" w:type="dxa"/>
            <w:left w:w="0" w:type="dxa"/>
            <w:bottom w:w="0" w:type="dxa"/>
            <w:right w:w="0" w:type="dxa"/>
          </w:tblCellMar>
        </w:tblPrEx>
        <w:tc>
          <w:tcPr>
            <w:tcW w:w="1224" w:type="dxa"/>
          </w:tcPr>
          <w:p w:rsidR="00000000" w:rsidRDefault="00000000">
            <w:pPr>
              <w:spacing w:after="120"/>
            </w:pPr>
            <w:r>
              <w:t>OIM</w:t>
            </w:r>
          </w:p>
        </w:tc>
        <w:tc>
          <w:tcPr>
            <w:tcW w:w="6120" w:type="dxa"/>
          </w:tcPr>
          <w:p w:rsidR="00000000" w:rsidRDefault="00000000">
            <w:pPr>
              <w:spacing w:after="120"/>
            </w:pPr>
            <w:r>
              <w:t>Organización Internacional para las Migraciones</w:t>
            </w:r>
          </w:p>
        </w:tc>
      </w:tr>
      <w:tr w:rsidR="00000000">
        <w:tblPrEx>
          <w:tblCellMar>
            <w:top w:w="0" w:type="dxa"/>
            <w:left w:w="0" w:type="dxa"/>
            <w:bottom w:w="0" w:type="dxa"/>
            <w:right w:w="0" w:type="dxa"/>
          </w:tblCellMar>
        </w:tblPrEx>
        <w:tc>
          <w:tcPr>
            <w:tcW w:w="1224" w:type="dxa"/>
          </w:tcPr>
          <w:p w:rsidR="00000000" w:rsidRDefault="00000000">
            <w:pPr>
              <w:spacing w:after="120"/>
            </w:pPr>
            <w:r>
              <w:t>OIT</w:t>
            </w:r>
          </w:p>
        </w:tc>
        <w:tc>
          <w:tcPr>
            <w:tcW w:w="6120" w:type="dxa"/>
          </w:tcPr>
          <w:p w:rsidR="00000000" w:rsidRDefault="00000000">
            <w:pPr>
              <w:spacing w:after="120"/>
            </w:pPr>
            <w:r>
              <w:t xml:space="preserve">Organización Internacional del Trabajo </w:t>
            </w:r>
          </w:p>
        </w:tc>
      </w:tr>
      <w:tr w:rsidR="00000000">
        <w:tblPrEx>
          <w:tblCellMar>
            <w:top w:w="0" w:type="dxa"/>
            <w:left w:w="0" w:type="dxa"/>
            <w:bottom w:w="0" w:type="dxa"/>
            <w:right w:w="0" w:type="dxa"/>
          </w:tblCellMar>
        </w:tblPrEx>
        <w:tc>
          <w:tcPr>
            <w:tcW w:w="1224" w:type="dxa"/>
          </w:tcPr>
          <w:p w:rsidR="00000000" w:rsidRDefault="00000000">
            <w:pPr>
              <w:spacing w:after="120"/>
            </w:pPr>
            <w:r>
              <w:t>OMS</w:t>
            </w:r>
          </w:p>
        </w:tc>
        <w:tc>
          <w:tcPr>
            <w:tcW w:w="6120" w:type="dxa"/>
          </w:tcPr>
          <w:p w:rsidR="00000000" w:rsidRDefault="00000000">
            <w:pPr>
              <w:spacing w:after="120"/>
            </w:pPr>
            <w:r>
              <w:t xml:space="preserve">Organización Mundial de la Salud </w:t>
            </w:r>
          </w:p>
        </w:tc>
      </w:tr>
      <w:tr w:rsidR="00000000">
        <w:tblPrEx>
          <w:tblCellMar>
            <w:top w:w="0" w:type="dxa"/>
            <w:left w:w="0" w:type="dxa"/>
            <w:bottom w:w="0" w:type="dxa"/>
            <w:right w:w="0" w:type="dxa"/>
          </w:tblCellMar>
        </w:tblPrEx>
        <w:tc>
          <w:tcPr>
            <w:tcW w:w="1224" w:type="dxa"/>
          </w:tcPr>
          <w:p w:rsidR="00000000" w:rsidRDefault="00000000">
            <w:pPr>
              <w:spacing w:after="120"/>
            </w:pPr>
            <w:r>
              <w:t>ONG</w:t>
            </w:r>
          </w:p>
        </w:tc>
        <w:tc>
          <w:tcPr>
            <w:tcW w:w="6120" w:type="dxa"/>
          </w:tcPr>
          <w:p w:rsidR="00000000" w:rsidRDefault="00000000">
            <w:pPr>
              <w:spacing w:after="120"/>
            </w:pPr>
            <w:r>
              <w:t>Organizaciones no gubernamentales</w:t>
            </w:r>
          </w:p>
        </w:tc>
      </w:tr>
      <w:tr w:rsidR="00000000">
        <w:tblPrEx>
          <w:tblCellMar>
            <w:top w:w="0" w:type="dxa"/>
            <w:left w:w="0" w:type="dxa"/>
            <w:bottom w:w="0" w:type="dxa"/>
            <w:right w:w="0" w:type="dxa"/>
          </w:tblCellMar>
        </w:tblPrEx>
        <w:tc>
          <w:tcPr>
            <w:tcW w:w="1224" w:type="dxa"/>
          </w:tcPr>
          <w:p w:rsidR="00000000" w:rsidRDefault="00000000">
            <w:pPr>
              <w:spacing w:after="120"/>
            </w:pPr>
            <w:r>
              <w:t xml:space="preserve">PNUD </w:t>
            </w:r>
          </w:p>
        </w:tc>
        <w:tc>
          <w:tcPr>
            <w:tcW w:w="6120" w:type="dxa"/>
          </w:tcPr>
          <w:p w:rsidR="00000000" w:rsidRDefault="00000000">
            <w:pPr>
              <w:spacing w:after="120"/>
            </w:pPr>
            <w:r>
              <w:t>Programa de las Naciones Unidas para el Desarrollo</w:t>
            </w:r>
          </w:p>
        </w:tc>
      </w:tr>
      <w:tr w:rsidR="00000000">
        <w:tblPrEx>
          <w:tblCellMar>
            <w:top w:w="0" w:type="dxa"/>
            <w:left w:w="0" w:type="dxa"/>
            <w:bottom w:w="0" w:type="dxa"/>
            <w:right w:w="0" w:type="dxa"/>
          </w:tblCellMar>
        </w:tblPrEx>
        <w:tc>
          <w:tcPr>
            <w:tcW w:w="1224" w:type="dxa"/>
          </w:tcPr>
          <w:p w:rsidR="00000000" w:rsidRDefault="00000000">
            <w:pPr>
              <w:spacing w:after="120"/>
            </w:pPr>
            <w:r>
              <w:t>SIDA</w:t>
            </w:r>
          </w:p>
        </w:tc>
        <w:tc>
          <w:tcPr>
            <w:tcW w:w="6120" w:type="dxa"/>
          </w:tcPr>
          <w:p w:rsidR="00000000" w:rsidRDefault="00000000">
            <w:pPr>
              <w:spacing w:after="120"/>
            </w:pPr>
            <w:r>
              <w:t xml:space="preserve">Síndrome de inmunodeficiencia adquirida </w:t>
            </w:r>
          </w:p>
        </w:tc>
      </w:tr>
      <w:tr w:rsidR="00000000">
        <w:tblPrEx>
          <w:tblCellMar>
            <w:top w:w="0" w:type="dxa"/>
            <w:left w:w="0" w:type="dxa"/>
            <w:bottom w:w="0" w:type="dxa"/>
            <w:right w:w="0" w:type="dxa"/>
          </w:tblCellMar>
        </w:tblPrEx>
        <w:tc>
          <w:tcPr>
            <w:tcW w:w="1224" w:type="dxa"/>
          </w:tcPr>
          <w:p w:rsidR="00000000" w:rsidRDefault="00000000">
            <w:pPr>
              <w:spacing w:after="120"/>
            </w:pPr>
            <w:r>
              <w:t>UNESCO</w:t>
            </w:r>
          </w:p>
        </w:tc>
        <w:tc>
          <w:tcPr>
            <w:tcW w:w="6120" w:type="dxa"/>
          </w:tcPr>
          <w:p w:rsidR="00000000" w:rsidRDefault="00000000">
            <w:pPr>
              <w:spacing w:after="120"/>
            </w:pPr>
            <w:r>
              <w:t>Organización de las Naciones Unidas para la Educación, la Ciencia y la Cultura</w:t>
            </w:r>
          </w:p>
        </w:tc>
      </w:tr>
      <w:tr w:rsidR="00000000">
        <w:tblPrEx>
          <w:tblCellMar>
            <w:top w:w="0" w:type="dxa"/>
            <w:left w:w="0" w:type="dxa"/>
            <w:bottom w:w="0" w:type="dxa"/>
            <w:right w:w="0" w:type="dxa"/>
          </w:tblCellMar>
        </w:tblPrEx>
        <w:tc>
          <w:tcPr>
            <w:tcW w:w="1224" w:type="dxa"/>
          </w:tcPr>
          <w:p w:rsidR="00000000" w:rsidRDefault="00000000">
            <w:pPr>
              <w:spacing w:after="120"/>
            </w:pPr>
            <w:r>
              <w:t>UNICEF</w:t>
            </w:r>
          </w:p>
        </w:tc>
        <w:tc>
          <w:tcPr>
            <w:tcW w:w="6120" w:type="dxa"/>
          </w:tcPr>
          <w:p w:rsidR="00000000" w:rsidRDefault="00000000">
            <w:pPr>
              <w:spacing w:after="120"/>
            </w:pPr>
            <w:r>
              <w:t>Fondo de las Naciones Unidas para la Infancia</w:t>
            </w:r>
          </w:p>
        </w:tc>
      </w:tr>
      <w:tr w:rsidR="00000000">
        <w:tblPrEx>
          <w:tblCellMar>
            <w:top w:w="0" w:type="dxa"/>
            <w:left w:w="0" w:type="dxa"/>
            <w:bottom w:w="0" w:type="dxa"/>
            <w:right w:w="0" w:type="dxa"/>
          </w:tblCellMar>
        </w:tblPrEx>
        <w:tc>
          <w:tcPr>
            <w:tcW w:w="1224" w:type="dxa"/>
          </w:tcPr>
          <w:p w:rsidR="00000000" w:rsidRDefault="00000000">
            <w:pPr>
              <w:spacing w:after="120"/>
            </w:pPr>
            <w:r>
              <w:t>UNIFEM</w:t>
            </w:r>
          </w:p>
        </w:tc>
        <w:tc>
          <w:tcPr>
            <w:tcW w:w="6120" w:type="dxa"/>
          </w:tcPr>
          <w:p w:rsidR="00000000" w:rsidRDefault="00000000">
            <w:pPr>
              <w:spacing w:after="120"/>
            </w:pPr>
            <w:r>
              <w:t xml:space="preserve">Fondo de Desarrollo de las Naciones Unidas para la Mujer </w:t>
            </w:r>
          </w:p>
        </w:tc>
      </w:tr>
      <w:tr w:rsidR="00000000">
        <w:tblPrEx>
          <w:tblCellMar>
            <w:top w:w="0" w:type="dxa"/>
            <w:left w:w="0" w:type="dxa"/>
            <w:bottom w:w="0" w:type="dxa"/>
            <w:right w:w="0" w:type="dxa"/>
          </w:tblCellMar>
        </w:tblPrEx>
        <w:tc>
          <w:tcPr>
            <w:tcW w:w="1224" w:type="dxa"/>
          </w:tcPr>
          <w:p w:rsidR="00000000" w:rsidRDefault="00000000">
            <w:pPr>
              <w:spacing w:after="120"/>
            </w:pPr>
            <w:r>
              <w:t>USAID</w:t>
            </w:r>
          </w:p>
        </w:tc>
        <w:tc>
          <w:tcPr>
            <w:tcW w:w="6120" w:type="dxa"/>
          </w:tcPr>
          <w:p w:rsidR="00000000" w:rsidRDefault="00000000">
            <w:pPr>
              <w:spacing w:after="120"/>
            </w:pPr>
            <w:r>
              <w:t xml:space="preserve">Agencia de los Estados Unidos para el Desarrollo Internacional </w:t>
            </w:r>
          </w:p>
        </w:tc>
      </w:tr>
      <w:tr w:rsidR="00000000">
        <w:tblPrEx>
          <w:tblCellMar>
            <w:top w:w="0" w:type="dxa"/>
            <w:left w:w="0" w:type="dxa"/>
            <w:bottom w:w="0" w:type="dxa"/>
            <w:right w:w="0" w:type="dxa"/>
          </w:tblCellMar>
        </w:tblPrEx>
        <w:tc>
          <w:tcPr>
            <w:tcW w:w="1224" w:type="dxa"/>
          </w:tcPr>
          <w:p w:rsidR="00000000" w:rsidRDefault="00000000">
            <w:pPr>
              <w:spacing w:after="120"/>
            </w:pPr>
            <w:r>
              <w:t>VIH</w:t>
            </w:r>
          </w:p>
        </w:tc>
        <w:tc>
          <w:tcPr>
            <w:tcW w:w="6120" w:type="dxa"/>
          </w:tcPr>
          <w:p w:rsidR="00000000" w:rsidRDefault="00000000">
            <w:pPr>
              <w:spacing w:after="120"/>
            </w:pPr>
            <w:r>
              <w:t>Virus de inmunodeficiencia humana (VIH)</w:t>
            </w:r>
          </w:p>
        </w:tc>
      </w:tr>
    </w:tbl>
    <w:p w:rsidR="00000000" w:rsidRDefault="00000000"/>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t>Prefacio</w:t>
      </w:r>
    </w:p>
    <w:p w:rsidR="00000000" w:rsidRDefault="00000000">
      <w:pPr>
        <w:pStyle w:val="SingleTxt"/>
        <w:spacing w:after="0" w:line="120" w:lineRule="exact"/>
        <w:rPr>
          <w:sz w:val="10"/>
        </w:rPr>
      </w:pPr>
    </w:p>
    <w:p w:rsidR="00000000" w:rsidRDefault="00000000">
      <w:pPr>
        <w:pStyle w:val="SingleTxt"/>
      </w:pPr>
      <w:r>
        <w:tab/>
        <w:t>Los procesos que concluyeron con el desmantelamiento del prolongado g</w:t>
      </w:r>
      <w:r>
        <w:t>o</w:t>
      </w:r>
      <w:r>
        <w:t>bierno militar y el consiguiente regreso al gobierno civil democrático tuvieron gr</w:t>
      </w:r>
      <w:r>
        <w:t>a</w:t>
      </w:r>
      <w:r>
        <w:t>ves consecuencias en la vida social y administrativa de la nación. La reducción de nuestro crecimiento económico y la correspondiente disminución del valor de nue</w:t>
      </w:r>
      <w:r>
        <w:t>s</w:t>
      </w:r>
      <w:r>
        <w:t>tra divisa nacional –la naira- frente a otras divisas internacionales, junto con las pr</w:t>
      </w:r>
      <w:r>
        <w:t>e</w:t>
      </w:r>
      <w:r>
        <w:t>siones de la mundialización y las demandas concurrentes de unos recursos escasos, habían tenido repercusiones negativas en el gasto del Estado. Así, pues, la voluntad política y el compromiso del gobierno no pudieron ir acompañados de consignaci</w:t>
      </w:r>
      <w:r>
        <w:t>o</w:t>
      </w:r>
      <w:r>
        <w:t>nes presupuestarias a la luz del cambio de prioridades, además de la reducción de la asistencia oficial para el desarrollo (AOD) al país durante la época de gobierno m</w:t>
      </w:r>
      <w:r>
        <w:t>i</w:t>
      </w:r>
      <w:r>
        <w:t>litar.</w:t>
      </w:r>
    </w:p>
    <w:p w:rsidR="00000000" w:rsidRDefault="00000000">
      <w:pPr>
        <w:pStyle w:val="SingleTxt"/>
      </w:pPr>
      <w:r>
        <w:tab/>
        <w:t>Sin embargo, con el restablecimiento de la gestión democrática de los asuntos públicos y el renovado vigor y compromiso del Gobierno y del pueblo de Nigeria, en particular con el adelanto de la mujer, se han registrado avances importantes en la aplicación de la Convención sobre la eliminación de todas las formas de discrimin</w:t>
      </w:r>
      <w:r>
        <w:t>a</w:t>
      </w:r>
      <w:r>
        <w:t>ción contra la mujer. En estos informes periódicos cuarto y quinto combinados (1994 – 2002) se ponen de relieve las oportunidades en aumento para la consecución de la igualdad y del disfrute de los derechos humanos por parte de las mujeres. Los indicadores en materia de salud materna, relaciones laborales, educación, particip</w:t>
      </w:r>
      <w:r>
        <w:t>a</w:t>
      </w:r>
      <w:r>
        <w:t>ción política, empleo y reformas jurídicas representan el surgimiento de un terreno propicio para la eliminación de los obstáculos y las barreras que discriminan contra la mujer. La singular proeza de la firma de la Política Nacional de la Mujer, después de las prolongadas negativas por parte de gobiernos anteriores, es un hito encomi</w:t>
      </w:r>
      <w:r>
        <w:t>a</w:t>
      </w:r>
      <w:r>
        <w:t>ble en la lucha por la igualdad de la mujer. La existencia de ese documento exce</w:t>
      </w:r>
      <w:r>
        <w:t>p</w:t>
      </w:r>
      <w:r>
        <w:t>cional, que constituye un marco para todos los protagonistas e interesados directos, junto con la Constitución y otras leyes y decretos, indica el predominio de un marco favorable para la participación plena de la mujer en un desarrollo sin discriminación.</w:t>
      </w:r>
    </w:p>
    <w:p w:rsidR="00000000" w:rsidRDefault="00000000">
      <w:pPr>
        <w:pStyle w:val="SingleTxt"/>
      </w:pPr>
      <w:r>
        <w:tab/>
        <w:t>Espero fervientemente que la comunidad internacional, los Estados Miembros de las Naciones Unidas y, en particular, el Comité para la Eliminación de la Discr</w:t>
      </w:r>
      <w:r>
        <w:t>i</w:t>
      </w:r>
      <w:r>
        <w:t>minación contra la Mujer reconozcan los cambios positivos consignados en este i</w:t>
      </w:r>
      <w:r>
        <w:t>n</w:t>
      </w:r>
      <w:r>
        <w:t>forme y apoyen las medidas encaminadas a mantener este impulso en pro de las mujeres nigerianas.</w:t>
      </w:r>
    </w:p>
    <w:p w:rsidR="00000000" w:rsidRDefault="00000000">
      <w:pPr>
        <w:pStyle w:val="SingleTxt"/>
        <w:jc w:val="left"/>
        <w:rPr>
          <w:b/>
          <w:i/>
          <w:lang w:val="en-GB"/>
        </w:rPr>
      </w:pPr>
    </w:p>
    <w:p w:rsidR="00000000" w:rsidRDefault="00000000">
      <w:pPr>
        <w:pStyle w:val="SingleTxt"/>
        <w:jc w:val="left"/>
        <w:rPr>
          <w:b/>
        </w:rPr>
      </w:pPr>
      <w:r>
        <w:rPr>
          <w:b/>
          <w:i/>
          <w:lang w:val="en-GB"/>
        </w:rPr>
        <w:t>Aishatu M. S. Ismail</w:t>
      </w:r>
      <w:r>
        <w:rPr>
          <w:b/>
          <w:i/>
          <w:lang w:val="en-GB"/>
        </w:rPr>
        <w:br/>
      </w:r>
      <w:r>
        <w:rPr>
          <w:b/>
        </w:rPr>
        <w:t>HONORABLE MINISTRA</w:t>
      </w:r>
      <w:r>
        <w:rPr>
          <w:b/>
        </w:rPr>
        <w:br/>
        <w:t>Abuja (Nigeria)</w:t>
      </w:r>
      <w:r>
        <w:rPr>
          <w:b/>
        </w:rPr>
        <w:br/>
        <w:t>Julio de 2002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Sección 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tab/>
      </w:r>
      <w:r>
        <w:tab/>
        <w:t>Introducción</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Antecedentes</w:t>
      </w:r>
    </w:p>
    <w:p w:rsidR="00000000" w:rsidRDefault="00000000">
      <w:pPr>
        <w:pStyle w:val="SingleTxt"/>
        <w:spacing w:after="0" w:line="120" w:lineRule="exact"/>
        <w:rPr>
          <w:sz w:val="10"/>
        </w:rPr>
      </w:pPr>
    </w:p>
    <w:p w:rsidR="00000000" w:rsidRDefault="00000000">
      <w:pPr>
        <w:pStyle w:val="SingleTxt"/>
      </w:pPr>
      <w:r>
        <w:tab/>
        <w:t>La República Federal de Nigeria, como signataria que es de la Convención s</w:t>
      </w:r>
      <w:r>
        <w:t>o</w:t>
      </w:r>
      <w:r>
        <w:t>bre la eliminación de todas las formas de discriminación contra la mujer, está obl</w:t>
      </w:r>
      <w:r>
        <w:t>i</w:t>
      </w:r>
      <w:r>
        <w:t>gada, conforme a lo dispuesto en el artículo 18 de la Convención, a presentar info</w:t>
      </w:r>
      <w:r>
        <w:t>r</w:t>
      </w:r>
      <w:r>
        <w:t>mes p</w:t>
      </w:r>
      <w:r>
        <w:t>e</w:t>
      </w:r>
      <w:r>
        <w:t>riódicos sobre los avances logrados en su aplicación en el país.</w:t>
      </w:r>
    </w:p>
    <w:p w:rsidR="00000000" w:rsidRDefault="00000000">
      <w:pPr>
        <w:pStyle w:val="SingleTxt"/>
      </w:pPr>
      <w:r>
        <w:tab/>
        <w:t>El presente informe se basa en los informes segundo y tercero del país, que abarcan el período 1986-1994 y fueron presentados al Comité de las Naciones Un</w:t>
      </w:r>
      <w:r>
        <w:t>i</w:t>
      </w:r>
      <w:r>
        <w:t>das para la Eliminación de la Discriminación contra la Mujer en sus sesiones 396ª y 397ª, celebradas el 2 de julio de 1998. Este informe es un compendio de la condición y la situación de las mujeres nigerianas en relación con los artículos de la Conve</w:t>
      </w:r>
      <w:r>
        <w:t>n</w:t>
      </w:r>
      <w:r>
        <w:t>ción durante el período 1994-2002. Está dividido en tres partes: Sección A: Intr</w:t>
      </w:r>
      <w:r>
        <w:t>o</w:t>
      </w:r>
      <w:r>
        <w:t>ducción; Sección B: Avances logrados en la aplicación de la Convención; y Sección C: Co</w:t>
      </w:r>
      <w:r>
        <w:t>n</w:t>
      </w:r>
      <w:r>
        <w:t>clusión.</w:t>
      </w:r>
    </w:p>
    <w:p w:rsidR="00000000" w:rsidRDefault="00000000">
      <w:pPr>
        <w:pStyle w:val="SingleTxt"/>
      </w:pPr>
      <w:r>
        <w:tab/>
        <w:t>En la compilación del informe se han tenido en cuenta las deficiencias en la preparación del anterior informe del país y las observaciones finales del Comité al respecto, además de las reclamaciones de los grupos de la sociedad civil sobre su exclusión en los procesos preparatorios anteriores.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 xml:space="preserve">Comentarios y observaciones sobre los informes periódicos segundo y tercero </w:t>
      </w:r>
      <w:r>
        <w:br/>
        <w:t>de Nigeria</w:t>
      </w:r>
    </w:p>
    <w:p w:rsidR="00000000" w:rsidRDefault="00000000">
      <w:pPr>
        <w:pStyle w:val="SingleTxt"/>
        <w:spacing w:after="0" w:line="120" w:lineRule="exact"/>
        <w:rPr>
          <w:sz w:val="10"/>
        </w:rPr>
      </w:pPr>
    </w:p>
    <w:p w:rsidR="00000000" w:rsidRDefault="00000000">
      <w:pPr>
        <w:pStyle w:val="SingleTxt"/>
      </w:pPr>
      <w:r>
        <w:tab/>
        <w:t>El Comité tomó nota con satisfacción de los avances logrados por Nigeria, al crear el Gobierno el Ministerio de Asuntos de la Mujer y propagar el adelanto de la mujer, el aumento de las tasas de asistencia a clase de las niñas y de alfabetización de las mujeres y el aumento del número de mujeres que ocupan puestos directivos.</w:t>
      </w:r>
    </w:p>
    <w:p w:rsidR="00000000" w:rsidRDefault="00000000">
      <w:pPr>
        <w:pStyle w:val="SingleTxt"/>
      </w:pPr>
      <w:r>
        <w:tab/>
        <w:t>Además, el Comité elogió al Gobierno de Nigeria por brindar a las mujeres r</w:t>
      </w:r>
      <w:r>
        <w:t>u</w:t>
      </w:r>
      <w:r>
        <w:t>rales el acceso al agua potable, la electricidad y la vivienda, además de las mejoras cual</w:t>
      </w:r>
      <w:r>
        <w:t>i</w:t>
      </w:r>
      <w:r>
        <w:t>tativas en sus condiciones de vida.</w:t>
      </w:r>
    </w:p>
    <w:p w:rsidR="00000000" w:rsidRDefault="00000000">
      <w:pPr>
        <w:pStyle w:val="SingleTxt"/>
      </w:pPr>
      <w:r>
        <w:tab/>
        <w:t>En relación con los informes segundo y tercero, se exponían del modo s</w:t>
      </w:r>
      <w:r>
        <w:t>i</w:t>
      </w:r>
      <w:r>
        <w:t>guiente las imágenes negativas y los obstáculos a la aplicación de la Convención:</w:t>
      </w:r>
    </w:p>
    <w:p w:rsidR="00000000" w:rsidRDefault="00000000">
      <w:pPr>
        <w:pStyle w:val="SingleTxt"/>
        <w:tabs>
          <w:tab w:val="right" w:pos="1685"/>
        </w:tabs>
        <w:ind w:left="1742" w:hanging="475"/>
      </w:pPr>
      <w:r>
        <w:tab/>
        <w:t>•</w:t>
      </w:r>
      <w:r>
        <w:tab/>
        <w:t>Predominio de estereotipos culturales perjudiciales para la mujer, entre otros la poliginia, los ritos inhumanos que padecen las viudas y otros usos tradicionales lesivos.</w:t>
      </w:r>
    </w:p>
    <w:p w:rsidR="00000000" w:rsidRDefault="00000000">
      <w:pPr>
        <w:pStyle w:val="SingleTxt"/>
        <w:tabs>
          <w:tab w:val="right" w:pos="1685"/>
        </w:tabs>
        <w:ind w:left="1742" w:hanging="475"/>
      </w:pPr>
      <w:r>
        <w:tab/>
        <w:t>•</w:t>
      </w:r>
      <w:r>
        <w:tab/>
        <w:t>Ausencia de un marco jurídico y constitucional para fortalecer la aplicación de la Convención.</w:t>
      </w:r>
    </w:p>
    <w:p w:rsidR="00000000" w:rsidRDefault="00000000">
      <w:pPr>
        <w:pStyle w:val="SingleTxt"/>
        <w:tabs>
          <w:tab w:val="right" w:pos="1685"/>
        </w:tabs>
        <w:ind w:left="1742" w:hanging="475"/>
      </w:pPr>
      <w:r>
        <w:tab/>
        <w:t>•</w:t>
      </w:r>
      <w:r>
        <w:tab/>
        <w:t>No adopción de las necesarias medidas idóneas para lograr la observancia pl</w:t>
      </w:r>
      <w:r>
        <w:t>e</w:t>
      </w:r>
      <w:r>
        <w:t>na de los compromisos y las obligaciones que impone la Convención.</w:t>
      </w:r>
    </w:p>
    <w:p w:rsidR="00000000" w:rsidRDefault="00000000">
      <w:pPr>
        <w:pStyle w:val="SingleTxt"/>
        <w:tabs>
          <w:tab w:val="right" w:pos="1685"/>
        </w:tabs>
        <w:ind w:left="1742" w:hanging="475"/>
      </w:pPr>
      <w:r>
        <w:tab/>
        <w:t>•</w:t>
      </w:r>
      <w:r>
        <w:tab/>
        <w:t>Falta de datos estadísticos relativos a la violencia doméstica, la prostitución y la salud de las mujeres y los niños.</w:t>
      </w:r>
    </w:p>
    <w:p w:rsidR="00000000" w:rsidRDefault="00000000">
      <w:pPr>
        <w:pStyle w:val="SingleTxt"/>
        <w:tabs>
          <w:tab w:val="right" w:pos="1685"/>
        </w:tabs>
        <w:ind w:left="1742" w:hanging="475"/>
      </w:pPr>
      <w:r>
        <w:tab/>
        <w:t>•</w:t>
      </w:r>
      <w:r>
        <w:tab/>
        <w:t>Falta de hogares o refugios para las mujeres que son víctimas de la violencia y falta de información sobre la violación marital.</w:t>
      </w:r>
    </w:p>
    <w:p w:rsidR="00000000" w:rsidRDefault="00000000">
      <w:pPr>
        <w:pStyle w:val="SingleTxt"/>
        <w:tabs>
          <w:tab w:val="right" w:pos="1685"/>
        </w:tabs>
        <w:ind w:left="1742" w:hanging="475"/>
      </w:pPr>
      <w:r>
        <w:tab/>
        <w:t>•</w:t>
      </w:r>
      <w:r>
        <w:tab/>
        <w:t>Escasa asistencia de las niñas a los centros de enseñanza secundaria, detalles insuficientes sobre la enseñanza primaria gratuita y el aumento de la alfabet</w:t>
      </w:r>
      <w:r>
        <w:t>i</w:t>
      </w:r>
      <w:r>
        <w:t>zación entre las mujeres.</w:t>
      </w:r>
    </w:p>
    <w:p w:rsidR="00000000" w:rsidRDefault="00000000">
      <w:pPr>
        <w:pStyle w:val="SingleTxt"/>
        <w:tabs>
          <w:tab w:val="right" w:pos="1685"/>
        </w:tabs>
        <w:ind w:left="1742" w:hanging="475"/>
      </w:pPr>
      <w:r>
        <w:tab/>
        <w:t>•</w:t>
      </w:r>
      <w:r>
        <w:tab/>
        <w:t>Falta de programas de estudio encaminados a informar a las mujeres y los n</w:t>
      </w:r>
      <w:r>
        <w:t>i</w:t>
      </w:r>
      <w:r>
        <w:t>ños s</w:t>
      </w:r>
      <w:r>
        <w:t>o</w:t>
      </w:r>
      <w:r>
        <w:t>bre sus derechos, en particular en los centros de enseñanza secundaria.</w:t>
      </w:r>
    </w:p>
    <w:p w:rsidR="00000000" w:rsidRDefault="00000000">
      <w:pPr>
        <w:pStyle w:val="SingleTxt"/>
        <w:tabs>
          <w:tab w:val="right" w:pos="1685"/>
        </w:tabs>
        <w:ind w:left="1742" w:hanging="475"/>
      </w:pPr>
      <w:r>
        <w:tab/>
        <w:t>•</w:t>
      </w:r>
      <w:r>
        <w:tab/>
        <w:t>Falta de cifras e información adecuadas sobre el SIDA y las enfermedades de transmisión sexual y protesta clamorosa contra la práctica de la poliginia y la prostitución, ya que constituyen graves factores de riesgo para la difusión del VIH/SIDA y las enfermedades de transmisión sexual. El Comité espera que el Gobierno de Nigeria cree estructuras para impartir instrucción a las víctimas y atenderlas.</w:t>
      </w:r>
    </w:p>
    <w:p w:rsidR="00000000" w:rsidRDefault="00000000">
      <w:pPr>
        <w:pStyle w:val="SingleTxt"/>
        <w:tabs>
          <w:tab w:val="right" w:pos="1685"/>
        </w:tabs>
        <w:ind w:left="1742" w:hanging="475"/>
      </w:pPr>
      <w:r>
        <w:tab/>
        <w:t>•</w:t>
      </w:r>
      <w:r>
        <w:tab/>
        <w:t>Una tasa de mortalidad materna e infantil alarmante, la falta del necesario a</w:t>
      </w:r>
      <w:r>
        <w:t>c</w:t>
      </w:r>
      <w:r>
        <w:t>ceso a los servicios médicos y las hojas informativas revelaban que los pr</w:t>
      </w:r>
      <w:r>
        <w:t>o</w:t>
      </w:r>
      <w:r>
        <w:t>gramas de planificación de la familia no incluían la instrucción de los jóvenes, varones y mujeres.</w:t>
      </w:r>
    </w:p>
    <w:p w:rsidR="00000000" w:rsidRDefault="00000000">
      <w:pPr>
        <w:pStyle w:val="SingleTxt"/>
        <w:tabs>
          <w:tab w:val="right" w:pos="1685"/>
        </w:tabs>
        <w:ind w:left="1742" w:hanging="475"/>
      </w:pPr>
      <w:r>
        <w:tab/>
        <w:t>•</w:t>
      </w:r>
      <w:r>
        <w:tab/>
        <w:t>El hecho de que las mujeres rurales tengan poco acceso a la educación y a los servicios de crédito y en su mayoría padezcan las prácticas tradicionales les</w:t>
      </w:r>
      <w:r>
        <w:t>i</w:t>
      </w:r>
      <w:r>
        <w:t>vas y la falta de programas socioeconómicos suficientes para reducir la discr</w:t>
      </w:r>
      <w:r>
        <w:t>i</w:t>
      </w:r>
      <w:r>
        <w:t>minación que sufren las mujeres rurales.</w:t>
      </w:r>
    </w:p>
    <w:p w:rsidR="00000000" w:rsidRDefault="00000000">
      <w:pPr>
        <w:pStyle w:val="SingleTxt"/>
      </w:pPr>
      <w:r>
        <w:tab/>
        <w:t>Además, el Comité recomendó en particular a los delegados nigerianos que el sistema judicial fomentara la participación de la mujer en la administración de just</w:t>
      </w:r>
      <w:r>
        <w:t>i</w:t>
      </w:r>
      <w:r>
        <w:t>cia y que el Gobierno:</w:t>
      </w:r>
    </w:p>
    <w:p w:rsidR="00000000" w:rsidRDefault="00000000">
      <w:pPr>
        <w:pStyle w:val="SingleTxt"/>
        <w:tabs>
          <w:tab w:val="right" w:pos="1685"/>
        </w:tabs>
        <w:ind w:left="1742" w:hanging="475"/>
      </w:pPr>
      <w:r>
        <w:tab/>
        <w:t>•</w:t>
      </w:r>
      <w:r>
        <w:tab/>
        <w:t>Crease una división encargada de realizar encuestas estadísticas en todos los sect</w:t>
      </w:r>
      <w:r>
        <w:t>o</w:t>
      </w:r>
      <w:r>
        <w:t>res importantes, de conformidad con lo dispuesto en la Convención;</w:t>
      </w:r>
    </w:p>
    <w:p w:rsidR="00000000" w:rsidRDefault="00000000">
      <w:pPr>
        <w:pStyle w:val="SingleTxt"/>
        <w:tabs>
          <w:tab w:val="right" w:pos="1685"/>
        </w:tabs>
        <w:ind w:left="1742" w:hanging="475"/>
      </w:pPr>
      <w:r>
        <w:tab/>
        <w:t>•</w:t>
      </w:r>
      <w:r>
        <w:tab/>
        <w:t>Fuera más sensible para con las cuestiones relativas a la violencia contra la mujer y procurara proteger a las mujeres maltratadas, aun cuando en algunos casos la familia se encargue de resolver esa clase de conflictos;</w:t>
      </w:r>
    </w:p>
    <w:p w:rsidR="00000000" w:rsidRDefault="00000000">
      <w:pPr>
        <w:pStyle w:val="SingleTxt"/>
        <w:tabs>
          <w:tab w:val="right" w:pos="1685"/>
        </w:tabs>
        <w:ind w:left="1742" w:hanging="475"/>
      </w:pPr>
      <w:r>
        <w:tab/>
        <w:t>•</w:t>
      </w:r>
      <w:r>
        <w:tab/>
        <w:t>Organizase campañas de sensibilización para potenciar a los jóvenes, varones y mujeres, y hacerlos tomar conciencia de sus derechos, consagrados en la Conve</w:t>
      </w:r>
      <w:r>
        <w:t>n</w:t>
      </w:r>
      <w:r>
        <w:t>ción;</w:t>
      </w:r>
    </w:p>
    <w:p w:rsidR="00000000" w:rsidRDefault="00000000">
      <w:pPr>
        <w:pStyle w:val="SingleTxt"/>
        <w:tabs>
          <w:tab w:val="right" w:pos="1685"/>
        </w:tabs>
        <w:ind w:left="1742" w:hanging="475"/>
      </w:pPr>
      <w:r>
        <w:tab/>
        <w:t>•</w:t>
      </w:r>
      <w:r>
        <w:tab/>
        <w:t>Fortaleciera los programas socioeconómicos para reducir la discriminación.</w:t>
      </w:r>
    </w:p>
    <w:p w:rsidR="00000000" w:rsidRDefault="00000000">
      <w:pPr>
        <w:pStyle w:val="SingleTxt"/>
      </w:pPr>
      <w:r>
        <w:tab/>
        <w:t>En este informe periódico se ponen de relieve los avances logrados hasta ahora en relación con los sectores a los que se r</w:t>
      </w:r>
      <w:r>
        <w:t>e</w:t>
      </w:r>
      <w:r>
        <w:t>fería el Comité.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2.0</w:t>
      </w:r>
      <w:r>
        <w:tab/>
        <w:t>Procesos preparatorios para la redacción del presente informe periódico</w:t>
      </w:r>
    </w:p>
    <w:p w:rsidR="00000000" w:rsidRDefault="00000000">
      <w:pPr>
        <w:pStyle w:val="SingleTxt"/>
        <w:spacing w:after="0" w:line="120" w:lineRule="exact"/>
        <w:rPr>
          <w:sz w:val="10"/>
        </w:rPr>
      </w:pPr>
    </w:p>
    <w:p w:rsidR="00000000" w:rsidRDefault="00000000">
      <w:pPr>
        <w:pStyle w:val="SingleTxt"/>
      </w:pPr>
      <w:r>
        <w:tab/>
        <w:t>No se puede exagerar la importancia de los datos estadísticos, la información, la consulta y la participación popular, o registrados de otro modo, para evaluar y s</w:t>
      </w:r>
      <w:r>
        <w:t>u</w:t>
      </w:r>
      <w:r>
        <w:t>pervisar los avances logrados en la aplicación de la Convención. En consecuencia, el Gobierno aprobó un detallado plan de trabajo para la redacción del informe. El o</w:t>
      </w:r>
      <w:r>
        <w:t>b</w:t>
      </w:r>
      <w:r>
        <w:t>jetivo era crear un mecanismo creíble y producir una gran diversidad de aportaci</w:t>
      </w:r>
      <w:r>
        <w:t>o</w:t>
      </w:r>
      <w:r>
        <w:t>nes al informe, además de velar por que la transparencia y la rendición de cuentas fueran los barómetros con los que evaluar los logros alcanzados hasta ahora en rel</w:t>
      </w:r>
      <w:r>
        <w:t>a</w:t>
      </w:r>
      <w:r>
        <w:t>ción con los obstáculos universales y locales concretos al disfrute pleno de los der</w:t>
      </w:r>
      <w:r>
        <w:t>e</w:t>
      </w:r>
      <w:r>
        <w:t>chos cons</w:t>
      </w:r>
      <w:r>
        <w:t>a</w:t>
      </w:r>
      <w:r>
        <w:t>grados en la Convención.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Reuniones consultivas</w:t>
      </w:r>
    </w:p>
    <w:p w:rsidR="00000000" w:rsidRDefault="00000000">
      <w:pPr>
        <w:pStyle w:val="SingleTxt"/>
        <w:spacing w:after="0" w:line="120" w:lineRule="exact"/>
        <w:rPr>
          <w:sz w:val="10"/>
        </w:rPr>
      </w:pPr>
    </w:p>
    <w:p w:rsidR="00000000" w:rsidRDefault="00000000">
      <w:pPr>
        <w:pStyle w:val="SingleTxt"/>
      </w:pPr>
      <w:r>
        <w:tab/>
        <w:t>Para formular una estrategia nacional con miras a la presentación del presente informe, se convocó una primera reunión consultiva que se celebró los días 25 y 26 de abril de 2001 en Jos (Nigeria). Asistieron diversos representantes de la sociedad civil, del mundo académico y de los organismos donantes y funcionarios de los m</w:t>
      </w:r>
      <w:r>
        <w:t>i</w:t>
      </w:r>
      <w:r>
        <w:t>nisterios y organismos sectoriales pertinentes. En la reunión se aprobó una estrategia y un plan de trabajo del país, además de destacarse las funciones y los cometidos de los diferentes organismos. Más adelante el Ministerio Federal de Asuntos de la M</w:t>
      </w:r>
      <w:r>
        <w:t>u</w:t>
      </w:r>
      <w:r>
        <w:t>jer actualizó el plan de trabajo para que se tuvieran en cuenta en él las deficiencias observadas y las necesidades en materia de capacidades técnicas de los interesados directos.</w:t>
      </w:r>
    </w:p>
    <w:p w:rsidR="00000000" w:rsidRDefault="00000000">
      <w:pPr>
        <w:pStyle w:val="SingleTxt"/>
      </w:pPr>
      <w:r>
        <w:tab/>
        <w:t>Además, el Ministerio creó un comité técnico compuesto de 13 miembros para la r</w:t>
      </w:r>
      <w:r>
        <w:t>e</w:t>
      </w:r>
      <w:r>
        <w:t>dacción del informe.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Cursos prácticos de capacitación</w:t>
      </w:r>
    </w:p>
    <w:p w:rsidR="00000000" w:rsidRDefault="00000000">
      <w:pPr>
        <w:pStyle w:val="SingleTxt"/>
        <w:spacing w:after="0" w:line="120" w:lineRule="exact"/>
        <w:rPr>
          <w:sz w:val="10"/>
        </w:rPr>
      </w:pPr>
    </w:p>
    <w:p w:rsidR="00000000" w:rsidRDefault="00000000">
      <w:pPr>
        <w:pStyle w:val="SingleTxt"/>
      </w:pPr>
      <w:r>
        <w:tab/>
        <w:t>Para atender las necesidades indicadas, se organizaron cursos prácticos de c</w:t>
      </w:r>
      <w:r>
        <w:t>a</w:t>
      </w:r>
      <w:r>
        <w:t>pacitación especializada a fin de ayudar a los interesados directos a entender los i</w:t>
      </w:r>
      <w:r>
        <w:t>n</w:t>
      </w:r>
      <w:r>
        <w:t>dicadores y las directrices de la Convención con miras a la redacción del informe del país, a saber:</w:t>
      </w:r>
    </w:p>
    <w:p w:rsidR="00000000" w:rsidRDefault="00000000">
      <w:pPr>
        <w:pStyle w:val="SingleTxt"/>
        <w:tabs>
          <w:tab w:val="right" w:pos="1685"/>
        </w:tabs>
        <w:ind w:left="1742" w:hanging="475"/>
      </w:pPr>
      <w:r>
        <w:tab/>
        <w:t>•</w:t>
      </w:r>
      <w:r>
        <w:tab/>
        <w:t>Capacitación en materia de supervisión y evaluación de la aplicación de la Plataforma de Acción de Beijing, impartida en septiembre de 2001 por la CEPA a funcionarios encargados, en cada una de las zonas geopolíticas, de los asuntos r</w:t>
      </w:r>
      <w:r>
        <w:t>e</w:t>
      </w:r>
      <w:r>
        <w:t xml:space="preserve">lativos al género </w:t>
      </w:r>
    </w:p>
    <w:p w:rsidR="00000000" w:rsidRDefault="00000000">
      <w:pPr>
        <w:pStyle w:val="SingleTxt"/>
        <w:tabs>
          <w:tab w:val="right" w:pos="1685"/>
        </w:tabs>
        <w:ind w:left="1742" w:hanging="475"/>
      </w:pPr>
      <w:r>
        <w:tab/>
        <w:t>•</w:t>
      </w:r>
      <w:r>
        <w:tab/>
        <w:t>Curso práctico de capacitación para los miembros del Comité Nacional Co</w:t>
      </w:r>
      <w:r>
        <w:t>n</w:t>
      </w:r>
      <w:r>
        <w:t>sultivo de Coordinación y el Equipo Técnico Nacional de Expertos en materia de redacción de informes relativos a la Convención, impartido en septiembre de 2001</w:t>
      </w:r>
    </w:p>
    <w:p w:rsidR="00000000" w:rsidRDefault="00000000">
      <w:pPr>
        <w:pStyle w:val="SingleTxt"/>
        <w:tabs>
          <w:tab w:val="right" w:pos="1685"/>
        </w:tabs>
        <w:ind w:left="1742" w:hanging="475"/>
      </w:pPr>
      <w:r>
        <w:tab/>
        <w:t>•</w:t>
      </w:r>
      <w:r>
        <w:tab/>
        <w:t>Curso práctico de capacitación para los funcionarios de la Secretaría Técnica para la Convención, consultores y ONG sobre la redacción de informes relat</w:t>
      </w:r>
      <w:r>
        <w:t>i</w:t>
      </w:r>
      <w:r>
        <w:t>vos a la Co</w:t>
      </w:r>
      <w:r>
        <w:t>n</w:t>
      </w:r>
      <w:r>
        <w:t>vención, impartido en febrero de 2002.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Participación pública</w:t>
      </w:r>
    </w:p>
    <w:p w:rsidR="00000000" w:rsidRDefault="00000000">
      <w:pPr>
        <w:pStyle w:val="SingleTxt"/>
        <w:spacing w:after="0" w:line="120" w:lineRule="exact"/>
        <w:rPr>
          <w:sz w:val="10"/>
        </w:rPr>
      </w:pPr>
    </w:p>
    <w:p w:rsidR="00000000" w:rsidRDefault="00000000">
      <w:pPr>
        <w:pStyle w:val="SingleTxt"/>
      </w:pPr>
      <w:r>
        <w:tab/>
        <w:t>Además de las actividades antes mencionadas, el Ministerio Federal de Asu</w:t>
      </w:r>
      <w:r>
        <w:t>n</w:t>
      </w:r>
      <w:r>
        <w:t>tos de la Mujer y Desarrollo de la Juventud puso anuncios en tres periódicos naci</w:t>
      </w:r>
      <w:r>
        <w:t>o</w:t>
      </w:r>
      <w:r>
        <w:t>nales p</w:t>
      </w:r>
      <w:r>
        <w:t>a</w:t>
      </w:r>
      <w:r>
        <w:t>ra pedir aportaciones del público en general. (Apéndice I)</w:t>
      </w:r>
    </w:p>
    <w:p w:rsidR="00000000" w:rsidRDefault="00000000">
      <w:pPr>
        <w:pStyle w:val="SingleTxt"/>
      </w:pPr>
      <w:r>
        <w:tab/>
        <w:t>También se abrió un buzón electrónico “ngcedaw@yahoo.com” en el Centro de Recursos del British Council para facilitar la participación de todos los ciudadanos en el proceso preparatorio. Las repuestas a los anuncios y a la solicitud de aport</w:t>
      </w:r>
      <w:r>
        <w:t>a</w:t>
      </w:r>
      <w:r>
        <w:t>ciones electrónicas, pese a haber sido escasas, representaron un cambio respecto de la anterior ausencia de oportunidades para que el publico en general, sin excepci</w:t>
      </w:r>
      <w:r>
        <w:t>o</w:t>
      </w:r>
      <w:r>
        <w:t>nes, h</w:t>
      </w:r>
      <w:r>
        <w:t>i</w:t>
      </w:r>
      <w:r>
        <w:t>ciera aportaciones.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Recogida de datos</w:t>
      </w:r>
    </w:p>
    <w:p w:rsidR="00000000" w:rsidRDefault="00000000">
      <w:pPr>
        <w:pStyle w:val="SingleTxt"/>
        <w:spacing w:after="0" w:line="120" w:lineRule="exact"/>
        <w:rPr>
          <w:sz w:val="10"/>
        </w:rPr>
      </w:pPr>
    </w:p>
    <w:p w:rsidR="00000000" w:rsidRDefault="00000000">
      <w:pPr>
        <w:pStyle w:val="SingleTxt"/>
      </w:pPr>
      <w:r>
        <w:tab/>
        <w:t>La concepción y la ejecución del proceso de recogida de datos para la prepar</w:t>
      </w:r>
      <w:r>
        <w:t>a</w:t>
      </w:r>
      <w:r>
        <w:t>ción de los informes periódicos cuarto y quinto del país sobre la Convención abarc</w:t>
      </w:r>
      <w:r>
        <w:t>a</w:t>
      </w:r>
      <w:r>
        <w:t>ron las siguientes fases: preparación y formulación de cuestionarios; capacitación en materia de recogida de datos; itinerario para la labor en el terreno, la recogida, el cot</w:t>
      </w:r>
      <w:r>
        <w:t>e</w:t>
      </w:r>
      <w:r>
        <w:t>jo, el análisis y la armonización de datos.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2.4.1</w:t>
      </w:r>
      <w:r>
        <w:tab/>
        <w:t>Preparación y formulación de cuestionarios</w:t>
      </w:r>
    </w:p>
    <w:p w:rsidR="00000000" w:rsidRDefault="00000000">
      <w:pPr>
        <w:pStyle w:val="SingleTxt"/>
        <w:spacing w:after="0" w:line="120" w:lineRule="exact"/>
        <w:rPr>
          <w:sz w:val="10"/>
        </w:rPr>
      </w:pPr>
    </w:p>
    <w:p w:rsidR="00000000" w:rsidRDefault="00000000">
      <w:pPr>
        <w:pStyle w:val="SingleTxt"/>
      </w:pPr>
      <w:r>
        <w:tab/>
        <w:t>Se constituyó un equipo de expertos representantes de diversos interesados d</w:t>
      </w:r>
      <w:r>
        <w:t>i</w:t>
      </w:r>
      <w:r>
        <w:t>rectos de los planos federal y estatal bajo la dirección del Ministerio Federal de Asuntos de la Mujer y Desarrollo de la Juventud para que preparara y formulase los cuestionarios con miras a la redacción del informe de Nigeria sobre la Convención. El equipo utilizó la lista de indicadores de la Convención como material de trabajo que sirviera de guía para la búsqueda de datos: en total 140 indicadores relativos a los 16 artículos de la Convención. El equipo trabajó asiduamente durante tres días y propuso dos tipos de instrumentos. El cuestionario 1, titulado “Informe sobre el gr</w:t>
      </w:r>
      <w:r>
        <w:t>a</w:t>
      </w:r>
      <w:r>
        <w:t>do de aplicación de la Convención en Nigeria en 2002”, era un instrumento cualit</w:t>
      </w:r>
      <w:r>
        <w:t>a</w:t>
      </w:r>
      <w:r>
        <w:t>tivo de diez páginas para la búsqueda de datos primarios y secundarios aplicables a 37 asuntos de la encuesta. Los datos de dicho instrumento iban encaminados a pr</w:t>
      </w:r>
      <w:r>
        <w:t>o</w:t>
      </w:r>
      <w:r>
        <w:t>ducir info</w:t>
      </w:r>
      <w:r>
        <w:t>r</w:t>
      </w:r>
      <w:r>
        <w:t>mación sobre el grado de aplicación de la Convención en Nigeria.</w:t>
      </w:r>
    </w:p>
    <w:p w:rsidR="00000000" w:rsidRDefault="00000000">
      <w:pPr>
        <w:pStyle w:val="SingleTxt"/>
      </w:pPr>
      <w:r>
        <w:tab/>
        <w:t>En cambio, el cuestionario 2, titulado “Recogida y cotejo de datos para la pr</w:t>
      </w:r>
      <w:r>
        <w:t>e</w:t>
      </w:r>
      <w:r>
        <w:t>sentación de informes sobre la Convención”, era un instrumento cuantitativo de cuatro páginas para la búsqueda de datos secundarios de instituciones, organismos y organizaciones sobre la representación y el relieve público de las mujeres en dif</w:t>
      </w:r>
      <w:r>
        <w:t>e</w:t>
      </w:r>
      <w:r>
        <w:t>rentes sectores. También se preparó un manual de instrucciones de tres páginas para que sirviera de guía a los entrevistadores sobre los procedimientos de recogida y cotejo de datos en el terreno.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2.4.2</w:t>
      </w:r>
      <w:r>
        <w:tab/>
        <w:t>Capacitación en materia de recogida de datos</w:t>
      </w:r>
    </w:p>
    <w:p w:rsidR="00000000" w:rsidRDefault="00000000">
      <w:pPr>
        <w:pStyle w:val="SingleTxt"/>
        <w:spacing w:after="0" w:line="120" w:lineRule="exact"/>
        <w:rPr>
          <w:sz w:val="10"/>
        </w:rPr>
      </w:pPr>
    </w:p>
    <w:p w:rsidR="00000000" w:rsidRDefault="00000000">
      <w:pPr>
        <w:pStyle w:val="SingleTxt"/>
      </w:pPr>
      <w:r>
        <w:tab/>
        <w:t>Se seleccionó a cursillistas de las seis zonas geopolíticas del país para que r</w:t>
      </w:r>
      <w:r>
        <w:t>e</w:t>
      </w:r>
      <w:r>
        <w:t>flejaran una representación adecuada. Hubo seis consultores, seis investigadores n</w:t>
      </w:r>
      <w:r>
        <w:t>a</w:t>
      </w:r>
      <w:r>
        <w:t>cionales, doce investigadores de zona y un analista de datos, que procedían de las diferentes zonas geopolíticas y hablaban las lenguas locales para que la comunic</w:t>
      </w:r>
      <w:r>
        <w:t>a</w:t>
      </w:r>
      <w:r>
        <w:t>ción fuera eficaz.</w:t>
      </w:r>
    </w:p>
    <w:p w:rsidR="00000000" w:rsidRDefault="00000000">
      <w:pPr>
        <w:pStyle w:val="SingleTxt"/>
      </w:pPr>
      <w:r>
        <w:tab/>
        <w:t>Antes de llevar a cabo esa operación en el terreno, se impartió capacitación en dos niveles. En uno participó el equipo de expertos que formuló los cuestionarios y en el otro todos los miembros del equipo de investigación. Se adoptó una metodol</w:t>
      </w:r>
      <w:r>
        <w:t>o</w:t>
      </w:r>
      <w:r>
        <w:t>gía sencilla para familiarizar a los cursillistas con los dos conjuntos de cuestion</w:t>
      </w:r>
      <w:r>
        <w:t>a</w:t>
      </w:r>
      <w:r>
        <w:t>rios. Se el</w:t>
      </w:r>
      <w:r>
        <w:t>i</w:t>
      </w:r>
      <w:r>
        <w:t>gió a especialistas de entre los consultores y del UNICEF.</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2.4.3</w:t>
      </w:r>
      <w:r>
        <w:tab/>
        <w:t>Recogida y supervisión de datos</w:t>
      </w:r>
    </w:p>
    <w:p w:rsidR="00000000" w:rsidRDefault="00000000">
      <w:pPr>
        <w:pStyle w:val="SingleTxt"/>
        <w:spacing w:after="0" w:line="120" w:lineRule="exact"/>
        <w:rPr>
          <w:sz w:val="10"/>
        </w:rPr>
      </w:pPr>
    </w:p>
    <w:p w:rsidR="00000000" w:rsidRDefault="00000000">
      <w:pPr>
        <w:pStyle w:val="SingleTxt"/>
        <w:rPr>
          <w:spacing w:val="2"/>
          <w:w w:val="100"/>
        </w:rPr>
      </w:pPr>
      <w:r>
        <w:rPr>
          <w:spacing w:val="2"/>
          <w:w w:val="100"/>
        </w:rPr>
        <w:tab/>
        <w:t>Para verificar y validar los informes presentados por los Estados en respuesta a las anteriores peticiones del Ministerio Federal de Asuntos de la Mujer y Desarrollo de la Juventud, se preparó una operación de recogida y supervisión de datos de dos semanas de duración en cada una de las zonas. Los entrevistadores, que eran consultores e inve</w:t>
      </w:r>
      <w:r>
        <w:rPr>
          <w:spacing w:val="2"/>
          <w:w w:val="100"/>
        </w:rPr>
        <w:t>s</w:t>
      </w:r>
      <w:r>
        <w:rPr>
          <w:spacing w:val="2"/>
          <w:w w:val="100"/>
        </w:rPr>
        <w:t>tigadores, velaron por que se respondiera en forma apropiada a los cuestionarios y dieron la necesaria orientación a los encargados de responder en los ministerios y los organi</w:t>
      </w:r>
      <w:r>
        <w:rPr>
          <w:spacing w:val="2"/>
          <w:w w:val="100"/>
        </w:rPr>
        <w:t>s</w:t>
      </w:r>
      <w:r>
        <w:rPr>
          <w:spacing w:val="2"/>
          <w:w w:val="100"/>
        </w:rPr>
        <w:t xml:space="preserve">mos consultados Para garantizar la eficacia del análisis, se dispuso el registro del sexo y la categoría de los encargados de responder a los cuestionarios. </w:t>
      </w:r>
    </w:p>
    <w:p w:rsidR="00000000" w:rsidRDefault="00000000">
      <w:pPr>
        <w:pStyle w:val="SingleTxt"/>
      </w:pPr>
      <w:r>
        <w:tab/>
        <w:t>Los Ministerios de Asuntos de la Mujer y Desarrollo de la Juventud de los e</w:t>
      </w:r>
      <w:r>
        <w:t>s</w:t>
      </w:r>
      <w:r>
        <w:t>tados, como principales interesados directos, se desempeñaron como centros de c</w:t>
      </w:r>
      <w:r>
        <w:t>o</w:t>
      </w:r>
      <w:r>
        <w:t>ordinación en cada uno de ellos para la operación de recogida de datos a fin de velar por una cobertura y una cooperación eficaces.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2.4.4</w:t>
      </w:r>
      <w:r>
        <w:tab/>
        <w:t>Reunión de trabajo sobre recuperación y armonización de datos</w:t>
      </w:r>
    </w:p>
    <w:p w:rsidR="00000000" w:rsidRDefault="00000000">
      <w:pPr>
        <w:pStyle w:val="SingleTxt"/>
        <w:spacing w:after="0" w:line="120" w:lineRule="exact"/>
        <w:rPr>
          <w:sz w:val="10"/>
        </w:rPr>
      </w:pPr>
    </w:p>
    <w:p w:rsidR="00000000" w:rsidRDefault="00000000">
      <w:pPr>
        <w:pStyle w:val="SingleTxt"/>
      </w:pPr>
      <w:r>
        <w:tab/>
        <w:t>La recuperación de los datos obtenidos en los 36 Estados y en el Territorio de la Capital Federal, Abuja, corrió a cargo del consultor de cada una de las zonas. El cotejo de los datos correspondientes a las zonas y la armonización de los resultados en un proyecto de informe nacional corrió a cargo de los consultores, investigadores nacionales, analistas de datos y funcionarios de los organismos sectoriales pertine</w:t>
      </w:r>
      <w:r>
        <w:t>n</w:t>
      </w:r>
      <w:r>
        <w:t>tes en una reunión de trabajo de cuatro días celebrada en Jos (Estado de Plateau).</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 xml:space="preserve">Reunión de trabajo de examen y finalización por parte de los interesados directos </w:t>
      </w:r>
    </w:p>
    <w:p w:rsidR="00000000" w:rsidRDefault="00000000">
      <w:pPr>
        <w:pStyle w:val="SingleTxt"/>
        <w:spacing w:after="0" w:line="120" w:lineRule="exact"/>
        <w:rPr>
          <w:sz w:val="10"/>
        </w:rPr>
      </w:pPr>
    </w:p>
    <w:p w:rsidR="00000000" w:rsidRDefault="00000000">
      <w:pPr>
        <w:pStyle w:val="SingleTxt"/>
      </w:pPr>
      <w:r>
        <w:tab/>
        <w:t>El proyecto de informe del país fue objeto de análisis y examen transparentes en una reunión de trabajo de los interesados directos nacionales, organizada en la primera semana de julio de 2002. La reunión de trabajo de finalización fue preced</w:t>
      </w:r>
      <w:r>
        <w:t>i</w:t>
      </w:r>
      <w:r>
        <w:t>da de un examen colegiado del proyecto de informe por parte de los consultores, los investigadores nacionales y los representantes del mundo académico. El examen y la finalización del informe del país por los interesados directos atrajo la participación de los ministerios de Asuntos de la Mujer y Desarrollo de la Juventud de los est</w:t>
      </w:r>
      <w:r>
        <w:t>a</w:t>
      </w:r>
      <w:r>
        <w:t>dos,, funcionarios de los ministerios y organismos sectoriales encargados de los asuntos relativos al género, en cada una de las zonas geopolíticas, el mundo acad</w:t>
      </w:r>
      <w:r>
        <w:t>é</w:t>
      </w:r>
      <w:r>
        <w:t>mico, representantes de los diversos medios de comunicación, las ONG y los org</w:t>
      </w:r>
      <w:r>
        <w:t>a</w:t>
      </w:r>
      <w:r>
        <w:t>nismos de las Naciones Unidas.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3.0</w:t>
      </w:r>
      <w:r>
        <w:tab/>
        <w:t xml:space="preserve">Colaboración con el sistema de las Naciones Unidas para el desarrollo </w:t>
      </w:r>
    </w:p>
    <w:p w:rsidR="00000000" w:rsidRDefault="00000000">
      <w:pPr>
        <w:pStyle w:val="SingleTxt"/>
        <w:spacing w:after="0" w:line="120" w:lineRule="exact"/>
        <w:rPr>
          <w:sz w:val="10"/>
        </w:rPr>
      </w:pPr>
    </w:p>
    <w:p w:rsidR="00000000" w:rsidRDefault="00000000">
      <w:pPr>
        <w:pStyle w:val="SingleTxt"/>
      </w:pPr>
      <w:r>
        <w:tab/>
        <w:t>Es necesario reconocer el compromiso y el apoyo del sistema de las Naciones Unidas para el desarrollo en Nigeria con miras a la consecución de los objetivos del Gobierno, las estrategias y las actividades que entrañan para la redacción del info</w:t>
      </w:r>
      <w:r>
        <w:t>r</w:t>
      </w:r>
      <w:r>
        <w:t>me periódico.</w:t>
      </w:r>
    </w:p>
    <w:p w:rsidR="00000000" w:rsidRDefault="00000000">
      <w:pPr>
        <w:pStyle w:val="SingleTxt"/>
      </w:pPr>
      <w:r>
        <w:tab/>
        <w:t>Cabe reconocer en especial la constante colaboración recibida del UNIFEM y del UNICEF para velar por una conclusión lograda del informe periódico y su pr</w:t>
      </w:r>
      <w:r>
        <w:t>e</w:t>
      </w:r>
      <w:r>
        <w:t>sentación a tiempo utilizando la metodología oportuna. También se agradece la labor de esos dos órganos de las Naciones Unidas y otros organismos, tales como el FNUAP, la OIT, la OMS, el PNUD, además de las de USAID/Oficina de las Iniciat</w:t>
      </w:r>
      <w:r>
        <w:t>i</w:t>
      </w:r>
      <w:r>
        <w:t>vas para la Transición y los organi</w:t>
      </w:r>
      <w:r>
        <w:t>s</w:t>
      </w:r>
      <w:r>
        <w:t>mos internacionales de desarrollo.</w:t>
      </w:r>
    </w:p>
    <w:p w:rsidR="00000000" w:rsidRDefault="00000000">
      <w:pPr>
        <w:pStyle w:val="SingleTxt"/>
      </w:pPr>
      <w:r>
        <w:tab/>
        <w:t>En consecuencia, se han realizado numerosas campañas de promoción en los medios de comunicación, actividades educativas, estudios de investigación, progr</w:t>
      </w:r>
      <w:r>
        <w:t>a</w:t>
      </w:r>
      <w:r>
        <w:t>mas de sensibilización, producción de material de información, educación y com</w:t>
      </w:r>
      <w:r>
        <w:t>u</w:t>
      </w:r>
      <w:r>
        <w:t>nicación, capacitación, seminarios y movilización de las mujeres para que participen en la gestión de los asuntos públicos como actividades de colaboración entre los d</w:t>
      </w:r>
      <w:r>
        <w:t>o</w:t>
      </w:r>
      <w:r>
        <w:t>nantes y los grupos locales, estatales y nacionales.</w:t>
      </w:r>
    </w:p>
    <w:p w:rsidR="00000000" w:rsidRDefault="00000000">
      <w:pPr>
        <w:pStyle w:val="SingleTxt"/>
      </w:pPr>
      <w:r>
        <w:tab/>
        <w:t>El Informe de análisis y evaluación de la situación (SAA 2001), preparado conjuntamente por la Comisión Nacional de Planificación y la Oficina del UNICEF en Nigeria, aportó indicadores actualizados e informes sobre la marcha de las activ</w:t>
      </w:r>
      <w:r>
        <w:t>i</w:t>
      </w:r>
      <w:r>
        <w:t>dades relativas a usos culturales, políticas y programas en el país.</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4.0</w:t>
      </w:r>
      <w:r>
        <w:tab/>
        <w:t>Situación dem</w:t>
      </w:r>
      <w:r>
        <w:t>o</w:t>
      </w:r>
      <w:r>
        <w:t>gráfica de Nigeria</w:t>
      </w:r>
    </w:p>
    <w:p w:rsidR="00000000" w:rsidRDefault="00000000">
      <w:pPr>
        <w:pStyle w:val="SingleTxt"/>
        <w:keepNext/>
        <w:keepLines/>
        <w:spacing w:after="0" w:line="120" w:lineRule="exact"/>
        <w:rPr>
          <w:sz w:val="10"/>
        </w:rPr>
      </w:pPr>
    </w:p>
    <w:p w:rsidR="00000000" w:rsidRDefault="00000000">
      <w:pPr>
        <w:pStyle w:val="SingleTxt"/>
        <w:keepNext/>
        <w:keepLines/>
      </w:pPr>
      <w:r>
        <w:tab/>
        <w:t>Nigeria, con una población prevista de 124 millones de personas, es una soci</w:t>
      </w:r>
      <w:r>
        <w:t>e</w:t>
      </w:r>
      <w:r>
        <w:t>dad multiétnica y multicultural. La inmensa diversidad del territorio y de la pobl</w:t>
      </w:r>
      <w:r>
        <w:t>a</w:t>
      </w:r>
      <w:r>
        <w:t>ción se refleja en su superficie de 923.678 kilómetros cuadrados y la existencia de más de 350 grupos étnicos con idiomas diferentes. Aunque las mujeres constituyen el 49,6 por ciento de dicha población, la propiedad de la tierra está regida en gran medida por usos patriarcales sometidos a normas de carácter cultural específico.</w:t>
      </w:r>
    </w:p>
    <w:p w:rsidR="00000000" w:rsidRDefault="00000000">
      <w:pPr>
        <w:pStyle w:val="SingleTxt"/>
      </w:pPr>
      <w:r>
        <w:tab/>
        <w:t>El sistema federal de Nigeria se compone de tres niveles de gobierno: federal, est</w:t>
      </w:r>
      <w:r>
        <w:t>a</w:t>
      </w:r>
      <w:r>
        <w:t>tal y local. La Constitución reconoce seis zonas geopolíticas, a saber: centro-septentrional (faja central), Nororiental, noroccidental, sudoriental, meridional y s</w:t>
      </w:r>
      <w:r>
        <w:t>u</w:t>
      </w:r>
      <w:r>
        <w:t>doccidental. En el cuadro y el mapa que se ofrecen a continuación figuran los Est</w:t>
      </w:r>
      <w:r>
        <w:t>a</w:t>
      </w:r>
      <w:r>
        <w:t>dos comprendidos en dichas zonas:</w:t>
      </w:r>
    </w:p>
    <w:p w:rsidR="00000000" w:rsidRDefault="00000000">
      <w:pPr>
        <w:pStyle w:val="BodyTextIndent"/>
        <w:spacing w:line="120" w:lineRule="exact"/>
        <w:ind w:left="0" w:firstLine="0"/>
        <w:rPr>
          <w:rFonts w:ascii="Times New Roman" w:hAnsi="Times New Roman"/>
          <w:sz w:val="10"/>
          <w:lang w:val="en-G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kern w:val="0"/>
          <w:sz w:val="10"/>
          <w:lang w:val="en-GB"/>
        </w:rPr>
      </w:pPr>
      <w:r>
        <w:rPr>
          <w:b w:val="0"/>
          <w:w w:val="100"/>
          <w:kern w:val="0"/>
          <w:lang w:val="en-GB"/>
        </w:rPr>
        <w:tab/>
      </w:r>
      <w:r>
        <w:rPr>
          <w:w w:val="100"/>
          <w:kern w:val="0"/>
          <w:lang w:val="en-GB"/>
        </w:rPr>
        <w:t>5.0</w:t>
      </w:r>
      <w:r>
        <w:rPr>
          <w:b w:val="0"/>
          <w:w w:val="100"/>
          <w:kern w:val="0"/>
          <w:lang w:val="en-GB"/>
        </w:rPr>
        <w:tab/>
      </w:r>
      <w:r>
        <w:rPr>
          <w:w w:val="100"/>
          <w:kern w:val="0"/>
          <w:lang w:val="en-GB"/>
        </w:rPr>
        <w:t>Zonas geopolíticas de Nigeria</w:t>
      </w:r>
    </w:p>
    <w:p w:rsidR="00000000" w:rsidRDefault="00000000">
      <w:pPr>
        <w:pStyle w:val="SingleTxt"/>
        <w:spacing w:after="0" w:line="120" w:lineRule="exact"/>
        <w:rPr>
          <w:sz w:val="10"/>
        </w:rPr>
      </w:pPr>
    </w:p>
    <w:tbl>
      <w:tblPr>
        <w:tblW w:w="0" w:type="auto"/>
        <w:tblInd w:w="1262" w:type="dxa"/>
        <w:tblLayout w:type="fixed"/>
        <w:tblLook w:val="00BF" w:firstRow="1" w:lastRow="0" w:firstColumn="1" w:lastColumn="0" w:noHBand="0" w:noVBand="0"/>
      </w:tblPr>
      <w:tblGrid>
        <w:gridCol w:w="2160"/>
        <w:gridCol w:w="5040"/>
      </w:tblGrid>
      <w:tr w:rsidR="00000000">
        <w:tblPrEx>
          <w:tblCellMar>
            <w:top w:w="0" w:type="dxa"/>
            <w:bottom w:w="0" w:type="dxa"/>
          </w:tblCellMar>
        </w:tblPrEx>
        <w:trPr>
          <w:trHeight w:val="277"/>
          <w:tblHeader/>
        </w:trPr>
        <w:tc>
          <w:tcPr>
            <w:tcW w:w="2160" w:type="dxa"/>
            <w:tcBorders>
              <w:top w:val="single" w:sz="4" w:space="0" w:color="auto"/>
            </w:tcBorders>
            <w:shd w:val="clear" w:color="808080" w:fill="auto"/>
            <w:vAlign w:val="bottom"/>
          </w:tcPr>
          <w:p w:rsidR="00000000" w:rsidRDefault="00000000">
            <w:pPr>
              <w:pStyle w:val="BodyTextIndent"/>
              <w:spacing w:before="80" w:after="80" w:line="160" w:lineRule="exact"/>
              <w:ind w:left="0" w:right="40" w:firstLine="0"/>
              <w:rPr>
                <w:rFonts w:ascii="Times New Roman" w:hAnsi="Times New Roman"/>
                <w:b/>
                <w:i/>
                <w:sz w:val="14"/>
                <w:lang w:val="en-GB"/>
              </w:rPr>
            </w:pPr>
            <w:r>
              <w:rPr>
                <w:rFonts w:ascii="Times New Roman" w:hAnsi="Times New Roman"/>
                <w:b/>
                <w:i/>
                <w:sz w:val="14"/>
                <w:lang w:val="en-GB"/>
              </w:rPr>
              <w:t>Nombre de la zona</w:t>
            </w:r>
          </w:p>
        </w:tc>
        <w:tc>
          <w:tcPr>
            <w:tcW w:w="5040" w:type="dxa"/>
            <w:tcBorders>
              <w:top w:val="single" w:sz="4" w:space="0" w:color="auto"/>
            </w:tcBorders>
            <w:shd w:val="clear" w:color="808080" w:fill="auto"/>
            <w:vAlign w:val="bottom"/>
          </w:tcPr>
          <w:p w:rsidR="00000000" w:rsidRDefault="00000000">
            <w:pPr>
              <w:pStyle w:val="BodyTextIndent"/>
              <w:spacing w:before="80" w:after="80" w:line="160" w:lineRule="exact"/>
              <w:ind w:left="0" w:right="40" w:firstLine="0"/>
              <w:jc w:val="left"/>
              <w:rPr>
                <w:rFonts w:ascii="Times New Roman" w:hAnsi="Times New Roman"/>
                <w:b/>
                <w:i/>
                <w:sz w:val="14"/>
                <w:lang w:val="en-GB"/>
              </w:rPr>
            </w:pPr>
            <w:r>
              <w:rPr>
                <w:rFonts w:ascii="Times New Roman" w:hAnsi="Times New Roman"/>
                <w:b/>
                <w:i/>
                <w:sz w:val="14"/>
                <w:lang w:val="en-GB"/>
              </w:rPr>
              <w:t>Estados abarbados por la zona geopolíca</w:t>
            </w:r>
          </w:p>
        </w:tc>
      </w:tr>
      <w:tr w:rsidR="00000000">
        <w:tblPrEx>
          <w:tblCellMar>
            <w:top w:w="0" w:type="dxa"/>
            <w:bottom w:w="0" w:type="dxa"/>
          </w:tblCellMar>
        </w:tblPrEx>
        <w:trPr>
          <w:trHeight w:hRule="exact" w:val="115"/>
          <w:tblHeader/>
        </w:trPr>
        <w:tc>
          <w:tcPr>
            <w:tcW w:w="2160" w:type="dxa"/>
            <w:tcBorders>
              <w:top w:val="single" w:sz="12" w:space="0" w:color="auto"/>
            </w:tcBorders>
            <w:vAlign w:val="bottom"/>
          </w:tcPr>
          <w:p w:rsidR="00000000" w:rsidRDefault="00000000">
            <w:pPr>
              <w:pStyle w:val="BodyTextIndent"/>
              <w:spacing w:before="40" w:after="80" w:line="240" w:lineRule="exact"/>
              <w:ind w:left="0" w:right="40" w:firstLine="0"/>
              <w:rPr>
                <w:rFonts w:ascii="Times New Roman" w:hAnsi="Times New Roman"/>
                <w:sz w:val="20"/>
                <w:lang w:val="en-GB"/>
              </w:rPr>
            </w:pPr>
          </w:p>
        </w:tc>
        <w:tc>
          <w:tcPr>
            <w:tcW w:w="5040" w:type="dxa"/>
            <w:tcBorders>
              <w:top w:val="single" w:sz="12" w:space="0" w:color="auto"/>
            </w:tcBorders>
            <w:vAlign w:val="bottom"/>
          </w:tcPr>
          <w:p w:rsidR="00000000" w:rsidRDefault="00000000">
            <w:pPr>
              <w:pStyle w:val="BodyTextIndent"/>
              <w:spacing w:before="40" w:after="80" w:line="240" w:lineRule="exact"/>
              <w:ind w:left="0" w:right="40" w:firstLine="0"/>
              <w:jc w:val="left"/>
              <w:rPr>
                <w:rFonts w:ascii="Times New Roman" w:hAnsi="Times New Roman"/>
                <w:sz w:val="20"/>
                <w:lang w:val="en-GB"/>
              </w:rPr>
            </w:pPr>
          </w:p>
        </w:tc>
      </w:tr>
      <w:tr w:rsidR="00000000">
        <w:tblPrEx>
          <w:tblCellMar>
            <w:top w:w="0" w:type="dxa"/>
            <w:bottom w:w="0" w:type="dxa"/>
          </w:tblCellMar>
        </w:tblPrEx>
        <w:trPr>
          <w:trHeight w:val="277"/>
        </w:trPr>
        <w:tc>
          <w:tcPr>
            <w:tcW w:w="2160" w:type="dxa"/>
            <w:vAlign w:val="bottom"/>
          </w:tcPr>
          <w:p w:rsidR="00000000" w:rsidRDefault="00000000">
            <w:pPr>
              <w:pStyle w:val="BodyTextIndent"/>
              <w:tabs>
                <w:tab w:val="left" w:pos="288"/>
                <w:tab w:val="left" w:pos="576"/>
                <w:tab w:val="left" w:pos="864"/>
                <w:tab w:val="left" w:pos="1152"/>
              </w:tabs>
              <w:spacing w:before="20" w:after="20"/>
              <w:ind w:left="0" w:right="43" w:firstLine="0"/>
              <w:rPr>
                <w:rFonts w:ascii="Times New Roman" w:hAnsi="Times New Roman"/>
                <w:sz w:val="20"/>
                <w:lang w:val="en-GB"/>
              </w:rPr>
            </w:pPr>
            <w:r>
              <w:rPr>
                <w:rFonts w:ascii="Times New Roman" w:hAnsi="Times New Roman"/>
                <w:sz w:val="20"/>
                <w:lang w:val="en-GB"/>
              </w:rPr>
              <w:t>Sudoccidental</w:t>
            </w:r>
          </w:p>
        </w:tc>
        <w:tc>
          <w:tcPr>
            <w:tcW w:w="5040" w:type="dxa"/>
            <w:vAlign w:val="bottom"/>
          </w:tcPr>
          <w:p w:rsidR="00000000" w:rsidRDefault="00000000">
            <w:pPr>
              <w:pStyle w:val="BodyTextIndent"/>
              <w:tabs>
                <w:tab w:val="left" w:pos="288"/>
                <w:tab w:val="left" w:pos="576"/>
                <w:tab w:val="left" w:pos="864"/>
                <w:tab w:val="left" w:pos="1152"/>
              </w:tabs>
              <w:spacing w:before="20" w:after="20"/>
              <w:ind w:left="0" w:right="43" w:firstLine="0"/>
              <w:jc w:val="left"/>
              <w:rPr>
                <w:rFonts w:ascii="Times New Roman" w:hAnsi="Times New Roman"/>
                <w:sz w:val="20"/>
                <w:lang w:val="en-GB"/>
              </w:rPr>
            </w:pPr>
            <w:r>
              <w:rPr>
                <w:rFonts w:ascii="Times New Roman" w:hAnsi="Times New Roman"/>
                <w:sz w:val="20"/>
                <w:lang w:val="en-GB"/>
              </w:rPr>
              <w:t>Ekiti, Lagos, Osun, Ondo, Ogun, Oyo</w:t>
            </w:r>
          </w:p>
        </w:tc>
      </w:tr>
      <w:tr w:rsidR="00000000">
        <w:tblPrEx>
          <w:tblCellMar>
            <w:top w:w="0" w:type="dxa"/>
            <w:bottom w:w="0" w:type="dxa"/>
          </w:tblCellMar>
        </w:tblPrEx>
        <w:trPr>
          <w:trHeight w:val="277"/>
        </w:trPr>
        <w:tc>
          <w:tcPr>
            <w:tcW w:w="2160" w:type="dxa"/>
            <w:vAlign w:val="bottom"/>
          </w:tcPr>
          <w:p w:rsidR="00000000" w:rsidRDefault="00000000">
            <w:pPr>
              <w:pStyle w:val="BodyTextIndent"/>
              <w:tabs>
                <w:tab w:val="left" w:pos="288"/>
                <w:tab w:val="left" w:pos="576"/>
                <w:tab w:val="left" w:pos="864"/>
                <w:tab w:val="left" w:pos="1152"/>
              </w:tabs>
              <w:spacing w:before="20" w:after="20"/>
              <w:ind w:left="0" w:right="43" w:firstLine="0"/>
              <w:rPr>
                <w:rFonts w:ascii="Times New Roman" w:hAnsi="Times New Roman"/>
                <w:sz w:val="20"/>
                <w:lang w:val="en-GB"/>
              </w:rPr>
            </w:pPr>
            <w:r>
              <w:rPr>
                <w:rFonts w:ascii="Times New Roman" w:hAnsi="Times New Roman"/>
                <w:sz w:val="20"/>
                <w:lang w:val="en-GB"/>
              </w:rPr>
              <w:t>Sudoriental</w:t>
            </w:r>
          </w:p>
        </w:tc>
        <w:tc>
          <w:tcPr>
            <w:tcW w:w="5040" w:type="dxa"/>
            <w:vAlign w:val="bottom"/>
          </w:tcPr>
          <w:p w:rsidR="00000000" w:rsidRDefault="00000000">
            <w:pPr>
              <w:pStyle w:val="BodyTextIndent"/>
              <w:tabs>
                <w:tab w:val="left" w:pos="288"/>
                <w:tab w:val="left" w:pos="576"/>
                <w:tab w:val="left" w:pos="864"/>
                <w:tab w:val="left" w:pos="1152"/>
              </w:tabs>
              <w:spacing w:before="20" w:after="20"/>
              <w:ind w:left="0" w:right="43" w:firstLine="0"/>
              <w:jc w:val="left"/>
              <w:rPr>
                <w:rFonts w:ascii="Times New Roman" w:hAnsi="Times New Roman"/>
                <w:sz w:val="20"/>
                <w:lang w:val="en-GB"/>
              </w:rPr>
            </w:pPr>
            <w:r>
              <w:rPr>
                <w:rFonts w:ascii="Times New Roman" w:hAnsi="Times New Roman"/>
                <w:sz w:val="20"/>
                <w:lang w:val="en-GB"/>
              </w:rPr>
              <w:t xml:space="preserve">Abia, Anambra, Ebonyi, Enugu, Imo </w:t>
            </w:r>
          </w:p>
        </w:tc>
      </w:tr>
      <w:tr w:rsidR="00000000">
        <w:tblPrEx>
          <w:tblCellMar>
            <w:top w:w="0" w:type="dxa"/>
            <w:bottom w:w="0" w:type="dxa"/>
          </w:tblCellMar>
        </w:tblPrEx>
        <w:trPr>
          <w:trHeight w:val="255"/>
        </w:trPr>
        <w:tc>
          <w:tcPr>
            <w:tcW w:w="2160" w:type="dxa"/>
            <w:vAlign w:val="bottom"/>
          </w:tcPr>
          <w:p w:rsidR="00000000" w:rsidRDefault="00000000">
            <w:pPr>
              <w:pStyle w:val="BodyTextIndent"/>
              <w:tabs>
                <w:tab w:val="left" w:pos="288"/>
                <w:tab w:val="left" w:pos="576"/>
                <w:tab w:val="left" w:pos="864"/>
                <w:tab w:val="left" w:pos="1152"/>
              </w:tabs>
              <w:spacing w:before="20" w:after="20"/>
              <w:ind w:left="0" w:right="43" w:firstLine="0"/>
              <w:rPr>
                <w:rFonts w:ascii="Times New Roman" w:hAnsi="Times New Roman"/>
                <w:sz w:val="20"/>
                <w:lang w:val="en-GB"/>
              </w:rPr>
            </w:pPr>
            <w:r>
              <w:rPr>
                <w:rFonts w:ascii="Times New Roman" w:hAnsi="Times New Roman"/>
                <w:sz w:val="20"/>
                <w:lang w:val="en-GB"/>
              </w:rPr>
              <w:t>Meridional</w:t>
            </w:r>
          </w:p>
        </w:tc>
        <w:tc>
          <w:tcPr>
            <w:tcW w:w="5040" w:type="dxa"/>
            <w:vAlign w:val="bottom"/>
          </w:tcPr>
          <w:p w:rsidR="00000000" w:rsidRDefault="00000000">
            <w:pPr>
              <w:pStyle w:val="BodyTextIndent"/>
              <w:tabs>
                <w:tab w:val="left" w:pos="288"/>
                <w:tab w:val="left" w:pos="576"/>
                <w:tab w:val="left" w:pos="864"/>
                <w:tab w:val="left" w:pos="1152"/>
              </w:tabs>
              <w:spacing w:before="20" w:after="20"/>
              <w:ind w:left="0" w:right="43" w:firstLine="0"/>
              <w:jc w:val="left"/>
              <w:rPr>
                <w:rFonts w:ascii="Times New Roman" w:hAnsi="Times New Roman"/>
                <w:sz w:val="20"/>
                <w:lang w:val="en-GB"/>
              </w:rPr>
            </w:pPr>
            <w:r>
              <w:rPr>
                <w:rFonts w:ascii="Times New Roman" w:hAnsi="Times New Roman"/>
                <w:sz w:val="20"/>
                <w:lang w:val="en-GB"/>
              </w:rPr>
              <w:t xml:space="preserve">Akwa-Ibom, Bayelsa, Cross-River, Delta, Edo, Rivers </w:t>
            </w:r>
          </w:p>
        </w:tc>
      </w:tr>
      <w:tr w:rsidR="00000000">
        <w:tblPrEx>
          <w:tblCellMar>
            <w:top w:w="0" w:type="dxa"/>
            <w:bottom w:w="0" w:type="dxa"/>
          </w:tblCellMar>
        </w:tblPrEx>
        <w:trPr>
          <w:trHeight w:val="277"/>
        </w:trPr>
        <w:tc>
          <w:tcPr>
            <w:tcW w:w="2160" w:type="dxa"/>
            <w:vAlign w:val="bottom"/>
          </w:tcPr>
          <w:p w:rsidR="00000000" w:rsidRDefault="00000000">
            <w:pPr>
              <w:pStyle w:val="BodyTextIndent"/>
              <w:tabs>
                <w:tab w:val="left" w:pos="288"/>
                <w:tab w:val="left" w:pos="576"/>
                <w:tab w:val="left" w:pos="864"/>
                <w:tab w:val="left" w:pos="1152"/>
              </w:tabs>
              <w:spacing w:before="20" w:after="20"/>
              <w:ind w:left="0" w:right="43" w:firstLine="0"/>
              <w:rPr>
                <w:rFonts w:ascii="Times New Roman" w:hAnsi="Times New Roman"/>
                <w:sz w:val="20"/>
                <w:lang w:val="en-GB"/>
              </w:rPr>
            </w:pPr>
            <w:r>
              <w:rPr>
                <w:rFonts w:ascii="Times New Roman" w:hAnsi="Times New Roman"/>
                <w:sz w:val="20"/>
                <w:lang w:val="en-GB"/>
              </w:rPr>
              <w:t>Centro-septe</w:t>
            </w:r>
            <w:r>
              <w:rPr>
                <w:rFonts w:ascii="Times New Roman" w:hAnsi="Times New Roman"/>
                <w:sz w:val="20"/>
                <w:lang w:val="en-GB"/>
              </w:rPr>
              <w:t>n</w:t>
            </w:r>
            <w:r>
              <w:rPr>
                <w:rFonts w:ascii="Times New Roman" w:hAnsi="Times New Roman"/>
                <w:sz w:val="20"/>
                <w:lang w:val="en-GB"/>
              </w:rPr>
              <w:t>trional</w:t>
            </w:r>
          </w:p>
        </w:tc>
        <w:tc>
          <w:tcPr>
            <w:tcW w:w="5040" w:type="dxa"/>
            <w:vAlign w:val="bottom"/>
          </w:tcPr>
          <w:p w:rsidR="00000000" w:rsidRDefault="00000000">
            <w:pPr>
              <w:pStyle w:val="BodyTextIndent"/>
              <w:tabs>
                <w:tab w:val="left" w:pos="288"/>
                <w:tab w:val="left" w:pos="576"/>
                <w:tab w:val="left" w:pos="864"/>
                <w:tab w:val="left" w:pos="1152"/>
              </w:tabs>
              <w:spacing w:before="20" w:after="20"/>
              <w:ind w:left="0" w:right="43" w:firstLine="0"/>
              <w:jc w:val="left"/>
              <w:rPr>
                <w:rFonts w:ascii="Times New Roman" w:hAnsi="Times New Roman"/>
                <w:sz w:val="20"/>
                <w:lang w:val="en-GB"/>
              </w:rPr>
            </w:pPr>
            <w:r>
              <w:rPr>
                <w:rFonts w:ascii="Times New Roman" w:hAnsi="Times New Roman"/>
                <w:sz w:val="20"/>
                <w:lang w:val="en-GB"/>
              </w:rPr>
              <w:t>Benue, FCT, Kogi, Kwara, Nassarawa, N</w:t>
            </w:r>
            <w:r>
              <w:rPr>
                <w:rFonts w:ascii="Times New Roman" w:hAnsi="Times New Roman"/>
                <w:sz w:val="20"/>
                <w:lang w:val="en-GB"/>
              </w:rPr>
              <w:t>i</w:t>
            </w:r>
            <w:r>
              <w:rPr>
                <w:rFonts w:ascii="Times New Roman" w:hAnsi="Times New Roman"/>
                <w:sz w:val="20"/>
                <w:lang w:val="en-GB"/>
              </w:rPr>
              <w:t>ger, Plateau</w:t>
            </w:r>
          </w:p>
        </w:tc>
      </w:tr>
      <w:tr w:rsidR="00000000">
        <w:tblPrEx>
          <w:tblCellMar>
            <w:top w:w="0" w:type="dxa"/>
            <w:bottom w:w="0" w:type="dxa"/>
          </w:tblCellMar>
        </w:tblPrEx>
        <w:trPr>
          <w:trHeight w:val="277"/>
        </w:trPr>
        <w:tc>
          <w:tcPr>
            <w:tcW w:w="2160" w:type="dxa"/>
            <w:vAlign w:val="bottom"/>
          </w:tcPr>
          <w:p w:rsidR="00000000" w:rsidRDefault="00000000">
            <w:pPr>
              <w:pStyle w:val="BodyTextIndent"/>
              <w:tabs>
                <w:tab w:val="left" w:pos="288"/>
                <w:tab w:val="left" w:pos="576"/>
                <w:tab w:val="left" w:pos="864"/>
                <w:tab w:val="left" w:pos="1152"/>
              </w:tabs>
              <w:spacing w:before="20" w:after="20"/>
              <w:ind w:left="0" w:right="43" w:firstLine="0"/>
              <w:rPr>
                <w:rFonts w:ascii="Times New Roman" w:hAnsi="Times New Roman"/>
                <w:sz w:val="20"/>
                <w:lang w:val="en-GB"/>
              </w:rPr>
            </w:pPr>
            <w:r>
              <w:rPr>
                <w:rFonts w:ascii="Times New Roman" w:hAnsi="Times New Roman"/>
                <w:sz w:val="20"/>
                <w:lang w:val="en-GB"/>
              </w:rPr>
              <w:t>Nororiental</w:t>
            </w:r>
          </w:p>
        </w:tc>
        <w:tc>
          <w:tcPr>
            <w:tcW w:w="5040" w:type="dxa"/>
            <w:vAlign w:val="bottom"/>
          </w:tcPr>
          <w:p w:rsidR="00000000" w:rsidRDefault="00000000">
            <w:pPr>
              <w:pStyle w:val="BodyTextIndent"/>
              <w:tabs>
                <w:tab w:val="left" w:pos="288"/>
                <w:tab w:val="left" w:pos="576"/>
                <w:tab w:val="left" w:pos="864"/>
                <w:tab w:val="left" w:pos="1152"/>
              </w:tabs>
              <w:spacing w:before="20" w:after="20"/>
              <w:ind w:left="0" w:right="43" w:firstLine="0"/>
              <w:jc w:val="left"/>
              <w:rPr>
                <w:rFonts w:ascii="Times New Roman" w:hAnsi="Times New Roman"/>
                <w:sz w:val="20"/>
                <w:lang w:val="en-GB"/>
              </w:rPr>
            </w:pPr>
            <w:r>
              <w:rPr>
                <w:rFonts w:ascii="Times New Roman" w:hAnsi="Times New Roman"/>
                <w:sz w:val="20"/>
                <w:lang w:val="en-GB"/>
              </w:rPr>
              <w:t xml:space="preserve">Adamawa, Bauchi, Borno, Gombe, Taraba, Yobe </w:t>
            </w:r>
          </w:p>
        </w:tc>
      </w:tr>
      <w:tr w:rsidR="00000000">
        <w:tblPrEx>
          <w:tblCellMar>
            <w:top w:w="0" w:type="dxa"/>
            <w:bottom w:w="0" w:type="dxa"/>
          </w:tblCellMar>
        </w:tblPrEx>
        <w:trPr>
          <w:trHeight w:val="277"/>
        </w:trPr>
        <w:tc>
          <w:tcPr>
            <w:tcW w:w="2160" w:type="dxa"/>
            <w:tcBorders>
              <w:bottom w:val="single" w:sz="12" w:space="0" w:color="auto"/>
            </w:tcBorders>
            <w:vAlign w:val="bottom"/>
          </w:tcPr>
          <w:p w:rsidR="00000000" w:rsidRDefault="00000000">
            <w:pPr>
              <w:pStyle w:val="BodyTextIndent"/>
              <w:tabs>
                <w:tab w:val="left" w:pos="288"/>
                <w:tab w:val="left" w:pos="576"/>
                <w:tab w:val="left" w:pos="864"/>
                <w:tab w:val="left" w:pos="1152"/>
              </w:tabs>
              <w:spacing w:before="20" w:after="20"/>
              <w:ind w:left="0" w:right="43" w:firstLine="0"/>
              <w:rPr>
                <w:rFonts w:ascii="Times New Roman" w:hAnsi="Times New Roman"/>
                <w:sz w:val="20"/>
                <w:lang w:val="en-GB"/>
              </w:rPr>
            </w:pPr>
            <w:r>
              <w:rPr>
                <w:rFonts w:ascii="Times New Roman" w:hAnsi="Times New Roman"/>
                <w:sz w:val="20"/>
                <w:lang w:val="en-GB"/>
              </w:rPr>
              <w:t>Noroccidental</w:t>
            </w:r>
          </w:p>
        </w:tc>
        <w:tc>
          <w:tcPr>
            <w:tcW w:w="5040" w:type="dxa"/>
            <w:tcBorders>
              <w:bottom w:val="single" w:sz="12" w:space="0" w:color="auto"/>
            </w:tcBorders>
            <w:vAlign w:val="bottom"/>
          </w:tcPr>
          <w:p w:rsidR="00000000" w:rsidRDefault="00000000">
            <w:pPr>
              <w:pStyle w:val="BodyTextIndent"/>
              <w:tabs>
                <w:tab w:val="left" w:pos="288"/>
                <w:tab w:val="left" w:pos="576"/>
                <w:tab w:val="left" w:pos="864"/>
                <w:tab w:val="left" w:pos="1152"/>
              </w:tabs>
              <w:spacing w:before="20" w:after="20"/>
              <w:ind w:left="0" w:right="43" w:firstLine="0"/>
              <w:jc w:val="left"/>
              <w:rPr>
                <w:rFonts w:ascii="Times New Roman" w:hAnsi="Times New Roman"/>
                <w:sz w:val="20"/>
                <w:lang w:val="en-GB"/>
              </w:rPr>
            </w:pPr>
            <w:r>
              <w:rPr>
                <w:rFonts w:ascii="Times New Roman" w:hAnsi="Times New Roman"/>
                <w:sz w:val="20"/>
                <w:lang w:val="en-GB"/>
              </w:rPr>
              <w:t>Kaduna, Katsina, Kano, Kebbi, Sokoto, Jigawa,, Za</w:t>
            </w:r>
            <w:r>
              <w:rPr>
                <w:rFonts w:ascii="Times New Roman" w:hAnsi="Times New Roman"/>
                <w:sz w:val="20"/>
                <w:lang w:val="en-GB"/>
              </w:rPr>
              <w:t>m</w:t>
            </w:r>
            <w:r>
              <w:rPr>
                <w:rFonts w:ascii="Times New Roman" w:hAnsi="Times New Roman"/>
                <w:sz w:val="20"/>
                <w:lang w:val="en-GB"/>
              </w:rPr>
              <w:t xml:space="preserve">fara </w:t>
            </w:r>
          </w:p>
        </w:tc>
      </w:tr>
    </w:tbl>
    <w:p w:rsidR="00000000" w:rsidRDefault="00000000">
      <w:pPr>
        <w:pStyle w:val="BodyTextIndent"/>
        <w:spacing w:line="120" w:lineRule="exact"/>
        <w:ind w:left="0" w:firstLine="0"/>
        <w:rPr>
          <w:rFonts w:ascii="Times New Roman" w:hAnsi="Times New Roman"/>
          <w:sz w:val="10"/>
          <w:lang w:val="en-GB"/>
        </w:rPr>
      </w:pPr>
      <w:r>
        <w:rPr>
          <w:rFonts w:ascii="Times New Roman" w:hAnsi="Times New Roman"/>
          <w:sz w:val="10"/>
          <w:lang w:val="en-GB"/>
        </w:rPr>
        <w:t xml:space="preserve">  </w:t>
      </w:r>
    </w:p>
    <w:p w:rsidR="00000000" w:rsidRDefault="00000000">
      <w:pPr>
        <w:pStyle w:val="BodyTextIndent"/>
        <w:spacing w:line="120" w:lineRule="exact"/>
        <w:ind w:left="0" w:firstLine="0"/>
        <w:rPr>
          <w:rFonts w:ascii="Times New Roman" w:hAnsi="Times New Roman"/>
          <w:sz w:val="10"/>
          <w:lang w:val="en-GB"/>
        </w:rPr>
      </w:pPr>
      <w:r>
        <w:rPr>
          <w:rFonts w:ascii="Times New Roman" w:hAnsi="Times New Roman"/>
          <w:noProof/>
          <w:sz w:val="10"/>
        </w:rPr>
        <w:pict>
          <v:group id="_x0000_s2703" style="position:absolute;left:0;text-align:left;margin-left:62.65pt;margin-top:5.3pt;width:410.9pt;height:323.85pt;z-index:3" coordorigin="2448,7483" coordsize="8218,6477" o:allowincell="f">
            <v:rect id="_x0000_s2054" style="position:absolute;left:2515;top:7563;width:8151;height:6364" o:regroupid="1" fillcolor="black" stroked="f"/>
            <v:rect id="_x0000_s2055" style="position:absolute;left:2448;top:7483;width:8150;height:6363" o:regroupid="1" stroked="f"/>
            <v:rect id="_x0000_s2056" style="position:absolute;left:2498;top:7493;width:884;height:6328" o:regroupid="1" fillcolor="#09c" stroked="f"/>
            <v:shape id="_x0000_s2057" style="position:absolute;left:2498;top:9066;width:884;height:406" coordsize="945,416" o:regroupid="1" path="m945,r,18l945,54r,73l945,199r,72l945,344r,36l945,398,727,380r-182,l400,380,291,398r-91,18l109,416r-54,l,398,,,945,r,xe" fillcolor="#5490a8" stroked="f">
              <v:path arrowok="t"/>
            </v:shape>
            <v:shape id="_x0000_s2058" style="position:absolute;left:2498;top:8677;width:884;height:424" coordsize="945,434" o:regroupid="1" path="m945,r,416l872,434r-109,l654,434,527,416,254,398r-145,l,416,,,945,r,xe" fillcolor="#e1e1b7" stroked="f">
              <v:path arrowok="t"/>
            </v:shape>
            <v:shape id="_x0000_s2059" style="position:absolute;left:2498;top:7634;width:884;height:283" coordsize="945,289" o:regroupid="1" path="m945,36r,217l872,271r-127,l618,271,472,289,327,271r-145,l73,271,,253,,36,55,18,145,,254,,363,,491,,654,18,818,36r127,l945,36xe" fillcolor="#5490a8" stroked="f">
              <v:path arrowok="t"/>
            </v:shape>
            <v:shape id="_x0000_s2060" style="position:absolute;left:2498;top:8412;width:884;height:300" coordsize="945,308" o:regroupid="1" path="m945,r,272l872,290,745,308r-127,l472,308r-145,l182,308,73,290,,272,,,200,18r163,l509,18r109,l799,,945,r,xe" fillcolor="black" stroked="f">
              <v:path arrowok="t"/>
            </v:shape>
            <v:shape id="_x0000_s2061" style="position:absolute;left:2498;top:8129;width:884;height:389" coordsize="945,398" o:regroupid="1" path="m945,r,18l945,54r,72l945,199r,72l945,344r,36l945,398,854,380,763,362r-91,l581,362r-145,l291,380,127,398,,398,,,945,r,xe" fillcolor="#36c" stroked="f">
              <v:path arrowok="t"/>
            </v:shape>
            <v:shape id="_x0000_s2062" style="position:absolute;left:2498;top:7864;width:884;height:301" coordsize="945,308" o:regroupid="1" path="m945,18r,272l872,308r-73,l581,290r-145,l273,308r-164,l36,308,,290,,18,73,r91,l273,,382,,618,18r109,l799,18r73,l909,18r18,l945,18r,xe" fillcolor="#036" stroked="f">
              <v:path arrowok="t"/>
            </v:shape>
            <v:shape id="_x0000_s2063" style="position:absolute;left:2482;top:11152;width:883;height:406" coordsize="945,416" o:regroupid="1" path="m945,r,18l945,54r,73l945,199r,72l945,344r,36l945,398,727,380r-182,l400,380,291,398r-91,18l127,416r-73,l,398,,,945,r,xe" fillcolor="#5490a8" stroked="f">
              <v:path arrowok="t"/>
            </v:shape>
            <v:shape id="_x0000_s2064" style="position:absolute;left:2482;top:10763;width:883;height:424" coordsize="945,434" o:regroupid="1" path="m945,r,416l872,434r-109,l654,434,527,416,254,398r-145,l,416,,,945,r,xe" fillcolor="black" stroked="f">
              <v:path arrowok="t"/>
            </v:shape>
            <v:shape id="_x0000_s2065" style="position:absolute;left:2482;top:9720;width:883;height:282" coordsize="945,289" o:regroupid="1" path="m945,36r,217l872,271r-127,l618,271,472,289,327,271r-127,l73,271,,253,,36,73,18,145,,363,,509,,672,18r145,l945,36r,xe" fillcolor="#036" stroked="f">
              <v:path arrowok="t"/>
            </v:shape>
            <v:shape id="_x0000_s2066" style="position:absolute;left:2482;top:10480;width:883;height:318" coordsize="945,326" o:regroupid="1" path="m945,r,290l872,308,745,326r-127,l472,326r-145,l200,326,73,308,,290,,,200,18r163,l509,18r109,l799,,945,r,xe" fillcolor="#e1e1b7" stroked="f">
              <v:path arrowok="t"/>
            </v:shape>
            <v:shape id="_x0000_s2067" style="position:absolute;left:2482;top:10214;width:883;height:390" coordsize="945,399" o:regroupid="1" path="m945,r,19l945,55r,72l945,200r,72l945,344r,37l945,399,854,362,763,344r-73,l581,344,436,362,291,381,127,399,,399,,,945,r,xe" fillcolor="#36c" stroked="f">
              <v:path arrowok="t"/>
            </v:shape>
            <v:shape id="_x0000_s2068" style="position:absolute;left:2482;top:9950;width:883;height:301" coordsize="945,308" o:regroupid="1" path="m945,18r,272l890,308r-91,l708,290r-127,l436,290,272,308r-163,l36,308,,290,,18,73,r90,l272,,381,,618,18r109,l799,18r55,l890,18r37,l927,18r18,l945,18xe" fillcolor="#9cf" stroked="f">
              <v:path arrowok="t"/>
            </v:shape>
            <v:shape id="_x0000_s2069" style="position:absolute;left:2498;top:12106;width:867;height:407" coordsize="927,417" o:regroupid="1" path="m927,r,18l927,55r,72l927,199r,73l927,344r,36l927,398,709,380r-182,l400,380,273,398r-91,19l109,417r-54,l,398,,,927,r,xe" fillcolor="#9cf" stroked="f">
              <v:path arrowok="t"/>
            </v:shape>
            <v:shape id="_x0000_s2070" style="position:absolute;left:2498;top:11717;width:867;height:424" coordsize="927,434" o:regroupid="1" path="m927,r,416l854,434r-91,l654,434,527,416,254,398r-145,l,416,,,927,r,xe" fillcolor="#036" stroked="f">
              <v:path arrowok="t"/>
            </v:shape>
            <v:shape id="_x0000_s2071" style="position:absolute;left:2482;top:12760;width:883;height:265" coordsize="945,271" o:regroupid="1" path="m945,36r,199l872,253r-127,l618,253,472,271,327,253r-127,l73,253,,235,,36,54,r91,l254,,363,,509,,672,18r145,l945,36r,xe" fillcolor="#e1e1b7" stroked="f">
              <v:path arrowok="t"/>
            </v:shape>
            <v:shape id="_x0000_s2072" style="position:absolute;left:2482;top:13520;width:883;height:336" coordsize="945,344" o:regroupid="1" path="m945,r,344l18,344,,,200,18r163,l509,18r109,l799,,945,r,xe" fillcolor="black" stroked="f">
              <v:path arrowok="t"/>
            </v:shape>
            <v:shape id="_x0000_s2073" style="position:absolute;left:2482;top:13238;width:883;height:406" coordsize="945,416" o:regroupid="1" path="m945,r,18l945,72r,54l945,217r,72l945,344r,54l945,416,854,380,763,362r-73,l581,362,436,380,291,398,127,416,,416,,,945,r,xe" fillcolor="#36c" stroked="f">
              <v:path arrowok="t"/>
            </v:shape>
            <v:shape id="_x0000_s2074" style="position:absolute;left:2482;top:12990;width:883;height:283" coordsize="945,290" o:regroupid="1" path="m945,18r,254l890,290r-91,l708,272r-127,l436,272,272,290r-163,l36,290,,272,,18,73,r90,l272,,381,,618,18r109,l799,18r55,l890,18r37,l927,18r18,l945,18xe" fillcolor="#036" stroked="f">
              <v:path arrowok="t"/>
            </v:shape>
            <v:rect id="_x0000_s2075" style="position:absolute;left:2448;top:7493;width:17;height:6398" o:regroupid="1" fillcolor="#fefefe" stroked="f"/>
            <v:rect id="_x0000_s2076" style="position:absolute;left:2465;top:7493;width:33;height:6398" o:regroupid="1" fillcolor="#fcfcfc" stroked="f"/>
            <v:rect id="_x0000_s2077" style="position:absolute;left:2498;top:7493;width:17;height:6398" o:regroupid="1" fillcolor="#f9f9f9" stroked="f"/>
            <v:rect id="_x0000_s2078" style="position:absolute;left:2515;top:7493;width:35;height:6398" o:regroupid="1" fillcolor="#f4f4f4" stroked="f"/>
            <v:rect id="_x0000_s2079" style="position:absolute;left:2550;top:7493;width:17;height:6398" o:regroupid="1" fillcolor="#ededed" stroked="f"/>
            <v:rect id="_x0000_s2080" style="position:absolute;left:2567;top:7493;width:33;height:6398" o:regroupid="1" fillcolor="#e5e5e5" stroked="f"/>
            <v:rect id="_x0000_s2081" style="position:absolute;left:2600;top:7493;width:17;height:6398" o:regroupid="1" fillcolor="#dbdbdb" stroked="f"/>
            <v:rect id="_x0000_s2082" style="position:absolute;left:2617;top:7493;width:35;height:6398" o:regroupid="1" fillcolor="#cfcfcf" stroked="f"/>
            <v:rect id="_x0000_s2083" style="position:absolute;left:2652;top:7493;width:17;height:6398" o:regroupid="1" fillcolor="#c1c1c1" stroked="f"/>
            <v:rect id="_x0000_s2084" style="position:absolute;left:2669;top:7493;width:33;height:6398" o:regroupid="1" fillcolor="#b4b4b4" stroked="f"/>
            <v:rect id="_x0000_s2085" style="position:absolute;left:2702;top:7493;width:17;height:6398" o:regroupid="1" fillcolor="#a6a6a6" stroked="f"/>
            <v:rect id="_x0000_s2086" style="position:absolute;left:2719;top:7493;width:35;height:6398" o:regroupid="1" fillcolor="#999" stroked="f"/>
            <v:rect id="_x0000_s2087" style="position:absolute;left:2754;top:7493;width:16;height:6398" o:regroupid="1" fillcolor="#8d8d8d" stroked="f"/>
            <v:rect id="_x0000_s2088" style="position:absolute;left:2770;top:7493;width:34;height:6398" o:regroupid="1" fillcolor="#848484" stroked="f"/>
            <v:rect id="_x0000_s2089" style="position:absolute;left:2804;top:7493;width:17;height:6398" o:regroupid="1" fillcolor="#7d7d7d" stroked="f"/>
            <v:rect id="_x0000_s2090" style="position:absolute;left:2821;top:7493;width:34;height:6398" o:regroupid="1" fillcolor="#787878" stroked="f"/>
            <v:rect id="_x0000_s2091" style="position:absolute;left:3126;top:7493;width:17;height:6398" o:regroupid="1" fillcolor="#777" stroked="f"/>
            <v:rect id="_x0000_s2092" style="position:absolute;left:3143;top:7493;width:35;height:6398" o:regroupid="1" fillcolor="#7e7e7e" stroked="f"/>
            <v:rect id="_x0000_s2093" style="position:absolute;left:3178;top:7493;width:17;height:6398" o:regroupid="1" fillcolor="#888" stroked="f"/>
            <v:rect id="_x0000_s2094" style="position:absolute;left:3195;top:7493;width:33;height:6398" o:regroupid="1" fillcolor="#969696" stroked="f"/>
            <v:rect id="_x0000_s2095" style="position:absolute;left:3228;top:7493;width:17;height:6398" o:regroupid="1" fillcolor="#a7a7a7" stroked="f"/>
            <v:rect id="_x0000_s2096" style="position:absolute;left:3245;top:7493;width:35;height:6398" o:regroupid="1" fillcolor="#bababa" stroked="f"/>
            <v:rect id="_x0000_s2097" style="position:absolute;left:3280;top:7493;width:17;height:6398" o:regroupid="1" fillcolor="#ccc" stroked="f"/>
            <v:rect id="_x0000_s2098" style="position:absolute;left:3297;top:7493;width:33;height:6398" o:regroupid="1" fillcolor="#dcdcdc" stroked="f"/>
            <v:rect id="_x0000_s2099" style="position:absolute;left:3330;top:7493;width:18;height:6398" o:regroupid="1" fillcolor="#e9e9e9" stroked="f"/>
            <v:rect id="_x0000_s2100" style="position:absolute;left:3348;top:7493;width:34;height:6398" o:regroupid="1" fillcolor="#f3f3f3" stroked="f"/>
            <v:rect id="_x0000_s2101" style="position:absolute;left:3382;top:7493;width:16;height:6398" o:regroupid="1" fillcolor="#f9f9f9" stroked="f"/>
            <v:rect id="_x0000_s2102" style="position:absolute;left:3398;top:7493;width:34;height:6398" o:regroupid="1" fillcolor="#fdfdfd" stroked="f"/>
            <v:rect id="_x0000_s2103" style="position:absolute;left:3500;top:7917;width:5502;height:18" o:regroupid="1" fillcolor="#12244a" stroked="f"/>
            <v:rect id="_x0000_s2104" style="position:absolute;left:3500;top:7935;width:5502;height:35" o:regroupid="1" fillcolor="#13274f" stroked="f"/>
            <v:rect id="_x0000_s2105" style="position:absolute;left:3500;top:7970;width:5502;height:18" o:regroupid="1" fillcolor="#152a56" stroked="f"/>
            <v:rect id="_x0000_s2106" style="position:absolute;left:3500;top:7988;width:5502;height:35" o:regroupid="1" fillcolor="#172f5f" stroked="f"/>
            <v:rect id="_x0000_s2107" style="position:absolute;left:3500;top:8023;width:5502;height:18" o:regroupid="1" fillcolor="#1a346a" stroked="f"/>
            <v:rect id="_x0000_s2108" style="position:absolute;left:3500;top:8041;width:5502;height:35" o:regroupid="1" fillcolor="#1d3b76" stroked="f"/>
            <v:rect id="_x0000_s2109" style="position:absolute;left:3500;top:8076;width:5502;height:17" o:regroupid="1" fillcolor="#204183" stroked="f"/>
            <v:rect id="_x0000_s2110" style="position:absolute;left:3500;top:8093;width:5502;height:36" o:regroupid="1" fillcolor="#244890" stroked="f"/>
            <v:rect id="_x0000_s2111" style="position:absolute;left:3500;top:8129;width:5502;height:18" o:regroupid="1" fillcolor="#274e9d" stroked="f"/>
            <v:rect id="_x0000_s2112" style="position:absolute;left:3500;top:8147;width:5502;height:35" o:regroupid="1" fillcolor="#2a54a8" stroked="f"/>
            <v:rect id="_x0000_s2113" style="position:absolute;left:3500;top:8182;width:5502;height:18" o:regroupid="1" fillcolor="#2c59b2" stroked="f"/>
            <v:rect id="_x0000_s2114" style="position:absolute;left:3500;top:8200;width:5502;height:35" o:regroupid="1" fillcolor="#2e5dba" stroked="f"/>
            <v:rect id="_x0000_s2115" style="position:absolute;left:3500;top:8235;width:5502;height:18" o:regroupid="1" fillcolor="#3060c0" stroked="f"/>
            <v:rect id="_x0000_s2116" style="position:absolute;left:3500;top:8253;width:5502;height:36" o:regroupid="1" fillcolor="#3162c5" stroked="f"/>
            <v:rect id="_x0000_s2117" style="position:absolute;left:3500;top:8289;width:5502;height:17" o:regroupid="1" fillcolor="#3264c8" stroked="f"/>
            <v:rect id="_x0000_s2118" style="position:absolute;left:3500;top:8306;width:5502;height:35" o:regroupid="1" fillcolor="#3265cb" stroked="f"/>
            <v:rect id="_x0000_s2119" style="position:absolute;left:3500;top:8341;width:5502;height:18" o:regroupid="1" fillcolor="#3265cb" stroked="f"/>
            <v:rect id="_x0000_s2120" style="position:absolute;left:3500;top:8359;width:5502;height:35" o:regroupid="1" fillcolor="#3264c9" stroked="f"/>
            <v:rect id="_x0000_s2121" style="position:absolute;left:3500;top:8394;width:5502;height:18" o:regroupid="1" fillcolor="#3163c6" stroked="f"/>
            <v:rect id="_x0000_s2122" style="position:absolute;left:3500;top:8412;width:5502;height:35" o:regroupid="1" fillcolor="#3061c2" stroked="f"/>
            <v:rect id="_x0000_s2123" style="position:absolute;left:3500;top:8447;width:5502;height:18" o:regroupid="1" fillcolor="#2f5ebc" stroked="f"/>
            <v:rect id="_x0000_s2124" style="position:absolute;left:3500;top:8465;width:5502;height:36" o:regroupid="1" fillcolor="#2d5ab5" stroked="f"/>
            <v:rect id="_x0000_s2125" style="position:absolute;left:3500;top:8501;width:5502;height:17" o:regroupid="1" fillcolor="#2a55ac" stroked="f"/>
            <v:rect id="_x0000_s2126" style="position:absolute;left:3500;top:8518;width:5502;height:35" o:regroupid="1" fillcolor="#2850a1" stroked="f"/>
            <v:rect id="_x0000_s2127" style="position:absolute;left:3500;top:8553;width:5502;height:18" o:regroupid="1" fillcolor="#254a94" stroked="f"/>
            <v:rect id="_x0000_s2128" style="position:absolute;left:3500;top:8571;width:5502;height:35" o:regroupid="1" fillcolor="#214387" stroked="f"/>
            <v:rect id="_x0000_s2129" style="position:absolute;left:3500;top:8606;width:5502;height:18" o:regroupid="1" fillcolor="#1e3d7a" stroked="f"/>
            <v:rect id="_x0000_s2130" style="position:absolute;left:3500;top:8624;width:5502;height:36" o:regroupid="1" fillcolor="#1b366d" stroked="f"/>
            <v:rect id="_x0000_s2131" style="position:absolute;left:3500;top:8660;width:5502;height:17" o:regroupid="1" fillcolor="#183062" stroked="f"/>
            <v:rect id="_x0000_s2132" style="position:absolute;left:3500;top:8677;width:5502;height:35" o:regroupid="1" fillcolor="#162c58" stroked="f"/>
            <v:rect id="_x0000_s2133" style="position:absolute;left:3500;top:8712;width:5502;height:18" o:regroupid="1" fillcolor="#142851" stroked="f"/>
            <v:rect id="_x0000_s2134" style="position:absolute;left:3500;top:8730;width:5502;height:35" o:regroupid="1" fillcolor="#12254b" stroked="f"/>
            <v:rect id="_x0000_s2135" style="position:absolute;left:3794;top:8055;width:4990;height:406" o:regroupid="1" filled="f" stroked="f">
              <v:textbox style="mso-next-textbox:#_x0000_s2135;mso-rotate-with-shape:t" inset="0,0,0,0">
                <w:txbxContent>
                  <w:p w:rsidR="00000000" w:rsidRDefault="00000000">
                    <w:r>
                      <w:rPr>
                        <w:snapToGrid w:val="0"/>
                        <w:color w:val="000000"/>
                        <w:sz w:val="30"/>
                        <w:lang w:val="en-US" w:eastAsia="en-US"/>
                      </w:rPr>
                      <w:t>Nigeria – Seis zonas geopolíticas</w:t>
                    </w:r>
                  </w:p>
                </w:txbxContent>
              </v:textbox>
            </v:rect>
            <v:shape id="_x0000_s2136" style="position:absolute;left:5691;top:12230;width:288;height:477" coordsize="309,489" o:regroupid="1" path="m309,271r,l291,253r,l272,271r,-18l254,253r,l236,235r,l236,217r,l218,199r,l218,217r,l218,235r-18,l200,235r-18,l182,253r-19,l182,271r,l182,290r,l163,290r,l145,290r-18,18l145,308r,l163,308r-18,18l145,308r,18l127,326r18,l127,344r,18l127,362r18,l127,380r,18l127,398r,18l127,416r-18,l109,416r,18l109,434r,l127,434r,l127,434r,l127,452r-18,l109,452r,l127,471r,l127,471r,18l109,489r,l109,489r-18,l91,489r-18,l73,489r,l54,489r,l36,489r-18,l18,489r,l,489r,l,471r,l,471r,l,452r,l,452r,l,434r,l18,434r,l18,434,36,416r,l36,416r,-18l36,398r,-36l36,362r,l36,362,18,344r,l36,344r,-18l36,326r,l36,326r,-18l36,308r,l54,308r,-18l54,290r,l54,290r,-19l54,271r,-18l73,253r,l73,235r,l73,235r18,l91,217r,l91,217r,-18l91,199r18,l109,181r,l109,163r,l109,163,91,145r,l91,145r,-18l91,145r,l109,127r,l91,127r,-18l91,109r,-19l91,90r,-18l91,72r,l91,54r,l73,54r,-18l54,36r,l54,36r,l54,36r-18,l36,36r,l36,18r,l54,r,l54,,73,r,l73,r,l91,r,l91,r,l91,r18,l109,r,l127,r18,l145,18r,l127,18r,18l127,36r,l127,54r,l127,72r,l127,72r18,l145,72r18,l163,72r19,l182,72r,l182,72r18,l200,90r,l200,90r18,l218,90r,l236,90r,l236,109r,l236,127r18,l272,127r,l291,145r,l291,181r,l291,199r,l291,217r18,l309,235r,l309,253r,l309,271xe" fillcolor="#016400" strokeweight=".9pt">
              <v:stroke color2="white pure"/>
              <v:path arrowok="t"/>
            </v:shape>
            <v:shape id="_x0000_s2137" style="position:absolute;left:7320;top:10268;width:900;height:1414" coordsize="963,1448" o:regroupid="1" path="m963,r,l963,18r,l945,18r,18l945,36,927,54r,18l927,72r-18,l909,90r,l909,90r,18l909,108r,18l909,126r,19l891,163r,18l891,199r,18l891,217r,l891,235r-19,l872,235r,18l872,253r,18l872,271r,18l872,289r-18,l854,307r,l854,307r-18,l836,307r,l836,326r-18,l818,326r,l800,326r,18l800,344r,l800,344r,l782,362r,l782,362r,l782,380r,l782,380r,18l782,398r,18l782,416r,l782,434r,18l782,452r,l782,470r,l782,470r,19l782,489r,18l782,507r,18l782,525r,l782,543r,l763,543r,18l763,561r,l763,561r-18,l745,561r,l727,561r,l727,561r-18,l709,561r-18,l691,579r,l691,579r-18,l673,579r,l673,597r,l654,597r,l636,615r,l636,633r,l636,633r,18l636,651r,l636,670r,18l636,688r,l636,706r,l618,760r,l618,796r,l618,814r,l618,832r,19l618,851r,l600,869r,l600,887r,l600,887r-18,l582,905r,l582,905r-18,l564,923r,l545,923r,l527,941r,l527,941r-18,l509,941r,l491,941r-18,l473,923r,l473,941r,l473,941r-19,l454,959r,l454,959r,18l454,977r,l436,995r,l436,995r-18,l418,1032r-18,l400,1032r,l400,1032r,18l382,1050r,18l382,1068r,l382,1086r,l382,1104r,18l382,1140r,18l382,1176r,18l382,1194r-18,19l364,1213r,l364,1231r-19,l345,1231r,18l345,1249r,l345,1267r-18,l327,1267r,18l327,1285r-18,l309,1285r,18l309,1303r,18l309,1321r,l309,1339r,l291,1357r,l291,1375r,l291,1375r,19l273,1394r,l273,1394r,18l273,1412r-18,18l236,1430r,18l218,1448r,l218,1430r,l218,1430r,l200,1412r,l200,1394r,l200,1375r,-18l200,1339r,l200,1339r,-18l200,1321r,-18l182,1303r,l182,1285r,l182,1285r-18,l164,1285r,-18l146,1267r,l146,1249r,l127,1231r,l127,1231r-18,l109,1231r,l91,1231r,l91,1231r,l91,1249r,l91,1267r-18,l73,1267r,l55,1267r,l55,1249,37,1231r,l37,1213r,l37,1213,18,1194r,l18,1194r-18,l,1176r,l,1176r,l,1176r18,-18l18,1158r,l37,1158r,-18l37,1140r,-18l55,1122r,l55,1104r,l55,1104r,l73,1104r,-18l73,1086r,l73,1086r,-18l91,1068r,l91,1068r,-18l91,1050r,l109,1050r,-18l109,1032r18,l127,1032r19,l146,1032r,-19l164,1013r,-18l164,995r,l164,995r,l164,977r,l164,959r,-18l182,941r,-18l182,923r,-18l182,905r,-18l182,887r18,l200,869r,l218,851r,l218,851r,-19l218,832r,l218,814r-18,l200,814r,l200,814,182,796r,l182,796,164,778r,l164,778r,-18l146,760r,l146,760r,-18l146,742r,l146,724r,-18l146,706r,-18l146,688r,l127,670r,l127,670r,-19l109,651r,l109,651r,l109,651r,-18l91,633r,l91,633r-18,l73,633r,-18l55,615r,l55,597r,l55,579r-18,l37,579r,l18,561r19,l37,561r18,l73,561r,l73,561,91,543r,l91,543r18,l109,543r,l109,525r18,l127,525r19,l146,525r,l164,525r,-18l164,507r,l164,507r18,l182,489r,l182,489r,l200,470r,l200,452r,l200,434r,-18l200,416r,l200,398r,l182,380r,l182,380r,-18l200,380r18,l236,380r,l236,380r19,l255,380r18,l291,362r,l291,344r,-18l291,326r,-19l309,307r,l309,307r,-18l309,289r,l327,289r,l327,271r18,l345,271r,-18l364,253r,l364,253r18,l382,253r,l382,253r18,l418,253r,l436,253r18,l454,253r19,l473,253r,-18l473,235r18,l491,217r36,-18l527,199r,l545,181r,l545,163r19,l564,163r18,-18l582,145r,l582,145r18,l600,145r18,-19l618,126r,l636,145r,l636,145r18,l654,163r,l673,163r,l673,163r,l691,163r,18l691,181r,l709,181r,l727,181r18,l745,181r18,l763,181r,l763,163r19,l782,163r,-18l782,145r,l782,126r,l782,126r,-18l782,108r,l782,108r,-18l800,90r,l800,72r,-18l818,36r,l818,36r,-18l818,18r18,l836,18r18,l854,18,872,r19,l891,r,l909,r,l909,r18,l927,r36,l963,xe" fillcolor="#eec900" strokeweight=".9pt">
              <v:stroke color2="white pure"/>
              <v:path arrowok="t"/>
            </v:shape>
            <v:shape id="_x0000_s2138" style="position:absolute;left:5793;top:12424;width:357;height:443" coordsize="382,453" o:regroupid="1" path="m382,398r,l382,398r,l382,398r,l363,398r,l382,398r-19,18l363,416r,l345,416r,l345,416r,l327,416r,l309,416r,l291,416r-37,l236,416r-18,l218,416r-18,l200,434r-18,l182,434r,l163,434r,l163,434r,l145,434r,l127,434r,l127,434r-18,l109,453r-18,l91,453r,l73,453r,l73,453r,l73,434r-19,l54,434r,l54,416r,l54,398r,l54,398r,-18l54,380r,-18l54,362r,l54,344r,l54,344r,-18l36,308r,l36,308r-18,l18,290r,l18,290,,290r18,l18,272r,l18,272,,253r,l,253r18,l18,235r,l18,235r,l,235r,l,235,,217r,l18,217r,l18,199r,l18,181,36,163r-18,l18,163r,-18l36,127r-18,l36,127r,-18l36,127,54,109r-18,l36,109r-18,l36,91r18,l54,91r19,l73,91r,-19l73,72,54,54r19,l73,36r18,l91,36r18,l109,18r,l109,r,l127,18r,l127,36r,l145,54r,l163,54r,18l163,72r19,l182,91r-19,l163,91r,l163,91r,l182,109r,l182,109r18,l200,109r18,18l218,127r18,l236,127r18,l254,127r,18l254,163r,l254,181r19,18l291,217r,18l309,235r18,l327,253r18,l327,253r18,19l345,272r,l345,290r,l345,290r,18l345,308r18,18l363,326r,l363,326r19,l382,344r,l382,344r,l382,362r,l382,362r,l363,362r19,l382,380r,l382,380r,18l382,398xm363,290r,l363,290r-18,l345,290r,-18l345,272r,l363,290r,l363,290xm382,308r,18l363,326r,-18l363,308r,l363,290r,18l382,308r,xm363,308r-18,l345,290r18,l363,308r,xe" fillcolor="#7a8a34" strokeweight=".9pt">
              <v:stroke color2="white pure"/>
              <v:path arrowok="t"/>
              <o:lock v:ext="edit" verticies="t"/>
            </v:shape>
            <v:shape id="_x0000_s2139" style="position:absolute;left:5470;top:11929;width:289;height:425" coordsize="309,435" o:regroupid="1" path="m309,308r,l290,308r,l290,308r-18,18l272,326r,18l272,344r-18,l236,362r,l218,362r,l200,344r-19,l181,362r-18,l145,362r,l127,362r,l145,380r,l127,398r,l109,417r,l109,417r-18,l72,398r,19l54,417r,l36,417r-18,l18,435,,417r,l,398,,380r18,l18,362r,l18,362r,-18l36,326r,l36,308r,l36,290,54,272r,l54,254r,-18l54,236r,-19l54,217r,-18l36,181r,-18l36,163r,-18l18,127r,l18,109r,l36,109,18,91r36,l54,91r,l72,91r,l72,91r19,l91,91r,-18l91,73r,-18l91,55,109,36r,l109,36r,l109,18r18,l127,r,l127,18r,18l145,36r,l163,36r,l163,36r18,l181,36r,l200,36r,l218,55r,l218,55r,18l218,73r,l200,91r,l181,91r,18l181,109r,l181,127r,l181,145r,l181,145r19,l200,145r,l218,163r,l218,163r,18l218,181r18,l236,199r,l218,199r,l218,217r,l218,217r18,l236,217r,l254,217r,19l254,236r,18l254,254r,18l254,272r18,l272,290r,l272,308r18,l290,308r,l309,308r,l309,308r,l309,308xe" fillcolor="#016400" strokeweight=".9pt">
              <v:stroke color2="white pure"/>
              <v:path arrowok="t"/>
            </v:shape>
            <v:shape id="_x0000_s2140" style="position:absolute;left:6302;top:9614;width:883;height:1237" coordsize="945,1267" o:regroupid="1" path="m945,525r-18,l927,543r,l927,561r-18,l909,579r-19,l872,597r,l872,597r-18,l854,597,836,579r,l818,597r,l800,615r,l800,634r-19,l763,652r,l763,670r,l781,670r,18l781,688r,l763,688r,l763,688r-18,l745,688r,l745,706r,18l745,724r,l745,742r-18,l727,760r,l727,778r,l727,778r,18l727,796r18,l745,815r,l745,833r,l763,833r,18l781,851r19,l818,851r18,l854,869r,18l854,887r,l854,905r,18l854,923r,18l872,941r-18,18l854,959r,18l854,996r-18,l836,996r-18,18l800,1014r,l800,1032r18,l836,1050r18,18l872,1068r37,18l909,1104r18,18l927,1122r-18,18l927,1159r,18l927,1177r,36l927,1231r,l909,1231r-19,l890,1231r,l872,1231r,l872,1231r-18,l854,1249r,l854,1249r-18,l836,1249r,l836,1249r-18,l818,1267r-18,l800,1267r,l781,1267r-18,l763,1267r-18,-18l745,1249r,l727,1231r,l709,1231r,l709,1213r-18,l691,1213r,l691,1213r-19,l672,1195r,l654,1195r,l636,1177r-18,l618,1177r-18,l600,1177r,l600,1159r-19,l581,1159r,l581,1159r,l563,1159r,-19l563,1140r-18,l527,1140r,l527,1140r-18,l509,1140r-18,-18l491,1122r,l472,1122r,l472,1122r,18l454,1140r,l454,1140r18,l472,1159r,l472,1159r,l472,1159r19,l491,1177r,l491,1177r-19,l472,1177r-18,18l454,1195r-18,18l436,1213r,18l418,1231r,l400,1231r,l382,1231r-19,18l345,1249r,l327,1249r,l309,1249r-36,-18l273,1231r-19,l254,1213r,l254,1213r-18,l236,1213r,-18l236,1195r,-18l218,1177r,l218,1177r,l200,1177r,-18l200,1159r,l182,1159r,-19l182,1140r18,l200,1122r,l200,1122r,l200,1104r,l200,1104r,-18l200,1086r,-18l200,1068r,l200,1050r,l182,1050r,l164,1032r,l145,1032r,l145,1032r-18,18l127,1050r,l127,1050r-18,l109,1050r,l109,1050r,-18l109,1014r,l109,996r,l109,977r,l109,959r-18,l91,959r,-18l91,941r,l91,923r,l91,905r,l91,905r-18,l73,905r-18,l55,905r,l36,905r,l36,887r-18,l18,887r,l18,887r,l,869r,l,851r,l,833r,l,833,18,815r,l18,815r,l18,796r18,l36,796r,-18l36,778r,l36,778r,-18l36,760r,l36,742r,l36,724r,l36,724r,-18l18,706r,l18,706r,-18l18,688r,-18l18,652r,l18,634r,l18,615r,l18,597r,l36,597r,l36,597r,l55,597r,-18l73,579r,l73,579r,l91,561r,l91,561r,l91,543r,l109,543r,-18l109,525r,l127,525r,l127,525r,-18l127,507r,l145,507r,l145,507r19,l164,507r,l182,507r,l182,489r18,l200,489r,l218,489r,l218,489r,l236,489r,l236,489r,l254,489r,l254,489r19,l273,489r,18l273,507r18,l309,507r,l327,507r,l327,507r18,l345,507r,18l345,525r,l363,525r,18l363,543r,l382,543r,l400,543r,-18l400,525r18,l436,525r,l436,525r18,l454,525r,18l454,543r,l454,543r,18l472,561r,l472,579r,l472,597r,18l491,615r,19l491,634r,l491,634r,18l491,652r18,l509,652r18,l563,652r,l563,652r18,l581,652r,l581,652r19,l600,652r-19,l581,634r,l581,634r,-19l581,615r,-18l600,597r,l600,597r18,l618,597r18,l636,597r,-18l636,579r18,l654,579r,-18l672,561r,l672,561,654,543r-18,l636,543r,l618,543r,l600,543r,l581,543r,-18l563,525r,l545,525r,l527,525r-18,l509,525r,l491,525r,-18l491,507r,-18l491,489r,l472,489r,-18l472,471r,-18l472,453r-18,l454,453,436,434r,l436,434r,l436,416r,l436,416r,-18l454,398r,l454,380r,l454,362r,l454,362r,-18l436,344r,l436,326r,l436,326r-18,l418,326r-18,l400,326r,l382,326r,l363,326r,l363,326r,-18l382,308r,l382,308r,l382,308r,-18l400,290r,-18l400,272r,l418,272r18,l436,272r18,l454,253r18,l491,253r,l491,253r,-18l509,235r,l509,235r18,l527,235r,l545,235r,-18l545,217r18,l563,217r,l563,217r18,l581,199r,l581,199r,-18l581,181r,-36l581,127r,-18l600,109r,-18l600,91r,-19l600,72r,l618,54r,l618,54r,-18l636,36r,l636,36r18,l672,36r,l691,36r,l691,36r18,l709,36r,l709,36r18,l727,18r,l727,18r18,l745,18,745,r18,l763,r,l763,r,l781,r,l781,18r19,l800,18r,l818,36r,l818,36r,18l818,54r,18l818,72r,19l818,91r,18l818,109r,18l818,127r,18l836,145r,l836,163r,l836,163r,l836,181r,l836,199r,l836,217r,l836,235r18,l854,253r,l854,253r,l854,272r,l854,290r,l854,290r,18l872,308r,l872,326r,l872,326r,18l890,344r,l890,362r19,18l909,380r,18l909,416r,l909,416r,18l909,434r,19l909,453r,l909,453r-19,l890,471r,l872,471r,18l872,489r,l890,507r,l909,507r,l909,507r,18l927,507r,l945,507r,l945,525r,xe" fillcolor="#eec900" strokeweight=".9pt">
              <v:stroke color2="white pure"/>
              <v:path arrowok="t"/>
            </v:shape>
            <v:shape id="_x0000_s2141" style="position:absolute;left:4995;top:12495;width:458;height:442" coordsize="491,453" o:regroupid="1" path="m491,272r-19,18l472,290r-18,18l454,308r,l454,308r,18l472,326r,l472,344r,l472,362r-18,l454,362r,19l454,381r,18l454,399r-18,18l436,417r18,l454,435r,l454,435r,l454,435r,l436,435r,l418,453r-18,l400,453r,l382,453r,l363,453r,l363,453r,l345,453r,l327,453r,l309,453r,l291,453r,l273,453r,l254,435r,l254,435r,l236,435r,l236,435r,-18l218,417r,l218,417r-18,l200,399r-18,l182,399,164,381r-19,l145,381r,-19l145,362r-18,l127,344r,l127,344,109,326r,l109,326r,l109,308r-18,l91,308,73,290r,l73,272r,l73,272r-19,l54,254r,l54,254r,l54,236r,l36,218r,l36,218r,l36,200r,l36,200r,l36,181r-18,l18,181r18,l36,181r,l36,181r,l36,181,18,163r,l18,163r,-18l18,145r,l18,145r,l18,127r,l,127r,l,109r,l,91r,l18,91r,l18,91r,l36,91r,18l36,109r18,18l54,127r,l73,127r,l73,145r18,l109,145r,l109,145r18,l127,163r,l127,145r18,l145,145r,l164,145r18,l182,127r,l182,127r18,l200,127r,l218,109r,l218,91r,l236,91r,l236,91r,l236,91r18,l254,109r,l273,109r,l273,109r,-18l291,91r,l309,91r,l309,91r,l327,91r,l327,91,345,73r,l327,73r,-18l345,55r,l345,55r18,l363,55r,l363,37r19,l382,37r18,l400,37r18,l418,37r18,l436,37,454,19r,l472,19,454,r,l472,r,l491,r,l491,19r-19,l472,19r,18l472,37r,l472,55r,l491,55r,18l491,73r,l472,91r,l454,73r,18l454,91r,l436,109r-18,18l418,145r,l418,145r,18l418,163r,18l418,181r,l418,181r,19l418,200r-18,18l400,218r,18l400,254r18,l418,254r,l418,272r,l436,272r,l454,272r,l472,272r19,-18l491,272r,l491,272xe" fillcolor="#7a8a34" strokeweight=".9pt">
              <v:stroke color2="white pure"/>
              <v:path arrowok="t"/>
            </v:shape>
            <v:shape id="_x0000_s2142" style="position:absolute;left:5826;top:11364;width:935;height:724" coordsize=",742" o:regroupid="1" path="m1000,308r,18l1000,344r,18l981,380r,36l981,416r,l981,434r,l963,434r,l963,434r-18,l945,453r,l945,453r,l945,453r-18,18l927,471r,18l927,489r,l927,507r,l927,507r,18l909,525r,l909,525r,18l891,543r,l909,561r,18l909,579r,18l909,597r,37l909,634r-18,18l891,670r,l891,688r,l872,688r,l872,706r,l872,706r-18,l854,724r,l854,724r,l836,724r,l836,724r,l818,742r,l818,724r,l818,724r,l818,706r,-18l818,688r,l800,670r,l782,670r,l782,652r,l763,652r,-18l763,634r,l763,634r,-19l763,615r-18,l745,615r,l727,615r-18,l709,615r-18,l691,615r,19l673,634r,l673,634r,l654,634r,l654,634r,l654,634r-18,l636,615r,l636,615r-18,l618,615r,-18l618,597r,l618,579r,l618,561r,l618,561r,l600,561r,l582,561,564,543r,l545,543r,l527,543r,l509,543r,l491,543r,l491,543,473,525r,l473,543r-18,l455,543r,l455,543r-19,18l436,561r,l436,561r19,l455,561r18,l473,561r,18l473,579r,18l473,597r,l455,597r,18l455,615r,l436,615r,l436,597r-18,l418,597r-18,18l400,615r-18,l382,615r,l382,615r-18,19l364,634r,l346,634r,18l346,634r,l346,634r-19,l327,615r,l327,615r,l327,597r-18,l309,597r,-18l309,579r-18,l291,597r,l273,597r,l255,615r-18,l237,615r-19,l218,615r,l200,615r,l200,615r,19l200,634r,l200,652r,l200,670r,l200,670r,18l182,688r,l182,688r,l182,688r-18,l164,670r,l164,670r,l146,670r,l146,652r,l146,652r,l146,634r,l146,634r,-19l146,615r,l146,615r,-18l164,597r,l164,579r-18,l146,561r,l146,561r,-18l146,543r-19,l127,543r,l109,543r,l109,543r-18,l91,543r-18,l55,543r,l55,543r,-18l37,525r,l37,525r,l37,507r-19,l18,507r,-18l,489r,l18,489r,l37,489,18,471r,l18,453r19,l37,453r,l37,434r18,l55,434r,-18l73,416r,l73,416r18,l91,416r,l109,416r,-18l109,398r,l109,380r,l109,380r,-18l127,362r,-18l127,344r,l127,326r,l127,326r-18,l109,326r,-18l91,308r,l91,290r,l91,290r,-18l91,253r,-18l91,217r,-18l91,181r,l91,181,73,163r,l73,163r,-18l73,145r-18,l55,127r,l55,127r,-18l55,109r,l55,91r,l55,91r,-19l55,54r,l55,54,73,72r,l73,72r18,l91,72r18,l109,72r,l127,72r19,19l164,91r,l182,91r,l182,91r18,l200,91r18,l218,109r,l237,109r,l237,109r18,l255,109r18,l273,127r,l291,127r,l309,145r,l309,145r,l327,145r,l327,145r,l346,163r,l346,163r18,l364,163r18,18l382,181r,l382,163r,l382,145r,l382,145r,-18l382,109r-18,l364,109r,l364,91r,l364,91r,-19l364,72r,l364,72r,-18l364,54r18,l382,54,400,36r,l418,18r,l418,18r18,l436,r,l436,18r19,l455,18r,l455,18r18,l473,36r18,l491,36r18,l509,36r,l509,36r18,l527,54r18,l545,54r,l564,54r,l582,54r,l600,54r,l600,54r,l618,54r,l618,54r18,l636,54r,l654,54r,18l654,72r19,l673,72r,l673,91r,l673,91r,18l691,109r,l691,109r,l691,127r,l691,145r,l691,145r,18l691,163r-18,l673,181r,l691,181r,l709,181r,l709,181r18,-18l727,163r,l727,163r,l745,163r,l745,163r,-18l782,145r,l818,145r,l836,145r18,l854,145r,l872,145r,l872,145r,l891,163r,l891,163r,l909,163r,18l909,181r,l927,181r,18l945,199r,l963,217r,l963,235r18,l981,253r,l981,253r,l1000,272r,l1000,272r,18l1000,290r,l1000,308r,xe" fillcolor="#b5ff00" strokeweight=".9pt">
              <v:stroke color2="white pure"/>
              <v:path arrowok="t"/>
            </v:shape>
            <v:shape id="_x0000_s2143" style="position:absolute;left:7389;top:9101;width:1205;height:1538" coordsize="1290,1575" o:regroupid="1" path="m1290,887r-18,l1272,905r,l1272,923r,l1272,923r-18,18l1254,941r,l1235,941r,18l1235,959r,l1235,959r-18,l1217,959r,l1217,978r-18,l1199,978r,l1199,978r-18,l1181,978r,l1181,996r,l1181,996r-18,l1163,996r,l1163,996r,18l1145,1014r,l1145,1014r-19,l1126,1014r,18l1126,1032r,l1108,1032r,l1108,1050r-18,l1090,1050r,l1072,1050r,l1054,1050r,-18l1054,1032r-18,l1036,1032r,l1036,1014r-19,l1017,1014r,l1017,1014r-18,18l999,1032r,l981,1050r,l981,1050r,l981,1068r,l963,1068r,18l963,1086r,l963,1104r-18,l945,1104r,l945,1122r-18,l927,1140r,l927,1140r-19,l908,1140r,19l908,1159r,l908,1177r,l890,1177r,l890,1195r,l854,1195r,l836,1195r,l836,1195r-18,l818,1195r,l799,1195r-18,18l781,1213r-18,l763,1213r-18,l745,1213r,18l745,1231r,l727,1249r,18l727,1285r,l709,1285r,18l709,1303r,l709,1303r,18l709,1321r,l709,1340r,l709,1340r,18l709,1358r-19,l690,1376r,l690,1376r-18,l672,1376r-18,l636,1376r,l618,1376r,l618,1376r,-18l600,1358r,l600,1358r,l581,1358r,l581,1340r-18,l563,1340r,l545,1321r,l545,1321r-18,19l527,1340r-18,l509,1340r,l509,1340r-18,18l491,1358r-19,l472,1376r,l454,1394r,l454,1394r-36,18l418,1430r-18,l400,1430r,18l400,1448r-19,l381,1448r-18,l345,1448r,l327,1448r-18,l309,1448r,l309,1448r-18,l291,1448r,l272,1448r,18l272,1466r-18,l254,1484r,l236,1484r,l236,1484r,18l236,1502r,l218,1521r,l218,1521r,18l218,1557r,l200,1575r-18,l182,1575r-19,l163,1575r,l145,1575r-18,l109,1557r,l109,1557r,-18l109,1539r,l109,1539r-18,l91,1521r,l91,1521r,l73,1521r,l73,1502r-19,l36,1484r,l36,1484r,l36,1484,18,1466r,l18,1466r,l18,1448r-18,l,1448r,l,1430r,l,1430r18,l18,1412r,l18,1412r,l18,1412r18,l36,1412r,-18l36,1394r18,l54,1394r,l73,1394r,-18l73,1376r,l73,1376r,l73,1358r-19,l54,1358r-18,l36,1358r,l18,1358r,-18l18,1340r,l,1340r,l,1340r,l,1321r,l18,1321r,l18,1321r,l36,1321r,l36,1321r,-18l54,1303r,l54,1303r,-18l54,1285r,-18l54,1267r,-18l54,1249r,l54,1231r19,-18l73,1213r,l73,1195r,l91,1195r,l91,1195r,l109,1195r,l127,1177r,l127,1177r18,l145,1177r,l163,1177r,l163,1159r,l182,1159r,l182,1159r18,-19l200,1140r,l218,1140r,-18l218,1122r,l236,1122r,-18l236,1104r,l218,1086r,l218,1068r,-18l218,1050r,l218,1050r18,l236,1032r,l236,1032r,l254,1014r,l254,1014r,l254,996r,l254,996r18,-18l272,978r,l272,978r,-19l291,959r,l291,959r,l309,959r,-18l309,941r,l309,941r,l309,923r,-18l291,905r,-18l272,887r,l272,887r-18,l254,869r,l254,869r,-18l254,851r,l254,833r,l254,833r18,l272,833r,l272,815r,l272,797r,l272,778r,-18l272,760r,-18l272,724r,-18l291,688r,l291,688r,-18l309,634r,l309,634r,-18l291,616r,-19l291,579r,l291,579r-19,l272,561r,l272,561r19,-18l291,543r18,l309,543r,l327,525r,l327,525r,l327,525r18,l345,507r,l345,507r,-18l345,489r18,l363,489r,-18l363,471r,l363,471r,-18l363,453r,-18l363,435r,l363,416r-18,l345,416r,l345,398r,l345,398r-18,l327,398r,-18l327,380r,l327,362r,l327,362r,-18l345,326r,l345,308r,-18l345,290r,-18l345,272r18,l363,272r,l363,254r,l381,254r,l381,235r,l381,217r,l400,217r,-18l400,199r,l418,199r,-18l436,181r,l454,181r,l454,181r,l454,163r18,l472,163r,l472,145r,l472,145r19,l491,145r,l491,127r,l491,127r18,l509,109r,l509,109r,l509,109r18,l545,109r,-18l563,91r,l581,91r,l600,91r,-18l618,73r,18l636,91r18,l654,73r,l654,73r,l654,73r,-19l672,54r,l672,36r,l690,36r,l690,36r,-18l709,18r,l709,18r18,l727,18,763,r,l781,18r18,l799,18r19,l818,18r,l836,18r,l836,36r,l854,36r,l854,54r,l854,54r,l872,73r,l872,73r,l890,73r,18l890,91r,l908,109r,l908,127r19,l927,127r,l927,145r,l927,163r18,l945,163r,l945,181r18,l963,181r,18l963,199r,l981,199r,18l981,217r,l981,217r,l999,235r,l1017,254r,l1017,254r,l1017,272r,l1017,272r19,l1036,290r,l1036,290r,18l1036,326r,l1036,344r18,18l1054,380r,18l1054,398r,18l1054,416r,19l1072,435r,18l1072,471r,l1072,489r,l1072,507r,l1072,525r,l1072,543r,l1072,561r18,l1090,561r,l1090,579r,l1108,579r18,l1126,579r19,l1145,579r18,l1163,579r,l1181,579r,l1199,579r,l1199,579r,l1199,579r18,18l1217,597r,l1217,616r18,l1235,616r,l1235,634r,l1235,634r19,l1254,634r,18l1272,652r,l1272,652r,l1272,652r,18l1272,670r,18l1272,706r,18l1272,742r,l1272,742r,18l1254,778r,l1254,778r,19l1254,797r,18l1254,815r,18l1254,833r,l1272,851r,l1272,851r,l1272,869r,l1290,869r,18l1290,887xe" fillcolor="#eec900" strokeweight=".9pt">
              <v:stroke color2="white pure"/>
              <v:path arrowok="t"/>
            </v:shape>
            <v:shape id="_x0000_s2144" style="position:absolute;left:5928;top:11876;width:663;height:991" coordsize="709,1014" o:regroupid="1" path="m691,235r,l691,235r,l691,235r-18,l673,253r,l654,253r,l654,253r,18l654,271r,l636,290r,l636,290r,18l636,308r-18,l618,308r,18l600,326r,l600,326r-18,l582,344r,l582,344r-18,l564,344r,l564,362r,l564,362r,l545,362r,18l545,380r,l527,380r-18,18l509,416r,l509,416r,l509,416r-18,18l491,434r,l473,452r,l473,452r-18,l455,471r,l455,489r18,l473,489r,l491,489r,18l491,507r,18l491,525r,l491,543r,l491,543r,18l491,561r,l491,561r,18l491,579r,l491,579r-18,18l473,597r,l473,615r,l455,615r,18l455,633r,19l455,670r,18l455,688r,18l455,706r,l455,706r,18l436,724r,l436,724r,18l436,742r,l418,742r,l418,760r,l418,778r,l400,778r,18l400,796r,l400,796r-18,18l382,814r,l382,814r,19l364,833r,l364,851r,l364,851r,18l364,869r,18l364,887r,l364,905r,l346,887r,l346,905r,l346,905r-19,l327,887r,l346,887r,-18l346,869r,l346,869r,l346,851r-19,l327,869r,l327,869r-18,18l327,887r,l327,905r-18,l327,905r,l327,905r,18l309,923r,l309,923r-18,l291,905r18,l309,905r-18,l291,905r,l291,905r-18,l273,905r,-18l273,887r,l273,887r,l255,887r,l255,887r,-18l255,869r,-18l237,869r,-18l237,851r,l218,851r,-18l218,833r,l200,833r,l200,814r-18,l182,796r-18,l146,796r,-18l128,760,109,742r,-18l109,724r,-18l109,688r,l91,688r,l73,688r,l55,670r,l37,670r,l37,670,18,652r,l,652r18,l18,652r19,l37,633r-19,l18,633,37,615r,l55,633r,l55,615r,l55,597r,l55,579r-18,l37,561r,l37,543r,l37,525r,-18l37,489r,l37,471r,l55,471r,l55,452r,l55,452r,-18l55,434r18,l73,416r,-18l73,380r,l73,362r,l91,362r18,18l109,362r,l109,362r19,18l128,380r,l146,398r,l146,398r,l164,398r,-18l164,380r18,l182,362r,l200,362r,l200,362r,18l218,380r,-18l218,362r,l218,344r,l218,344r,l218,326r,l218,326r,-18l218,308r,l237,308r,-18l255,290r,l255,271r,l255,271r18,l273,253r,l291,253r,l291,253r18,l309,235r,l309,235r,-18l291,217r,l291,217r,l291,199r,l291,199r,l273,181r,-18l273,163r,l273,145r,l255,145r,l255,127r-18,l237,127r,-18l255,109r,l255,109,273,90r,l273,90r,l291,90r,l309,72r,l327,72r,18l327,90r19,l346,90r,l346,72r18,l364,72r,-18l364,54r,l364,36r,l346,36r,l327,36r,l327,36r,l346,18r,l346,18r,l364,18,364,r,l382,18r,l382,18r18,l400,18r18,l418,18r18,l436,18r19,l455,18r18,18l491,36r,l509,36r,l509,36r,l509,54r,l509,54r,18l509,72r,18l509,90r18,l527,90r,l527,109r18,l545,109r,l545,109r,l564,109r,l564,109r,l582,109r,-19l582,90r,l600,90r18,l636,90r,l636,90r18,l654,90r,19l654,109r,l654,109r,18l673,127r,l673,145r,l691,145r,l691,163r18,l709,163r,l709,199r,l709,199r,l709,217r,l691,235r,xm400,995r,19l400,1014r-18,l382,1014r,l364,1014r,l346,1014r,l346,1014r-19,l327,995r,l327,995r,-18l327,977r,-18l346,959r,l364,977r,l364,977r18,18l382,995r,l382,995r,l400,995r,l400,995r,l400,995r,l400,995r,xm382,977r,l382,977r,-18l364,959r,l346,959r,l346,959r,l346,941r,l346,941r18,l364,959r,l382,959r-18,l364,941r,l364,941r,-18l364,923r18,l382,941r,l382,941r,18l382,959r,l382,977r,l382,977xm327,941r,l327,959r,l309,941r,l309,923r18,l327,923r,l327,923r,l327,941r,l327,941r,xm364,923r,18l346,941r,l346,941r,l346,941r,l346,941r-19,l346,923r,l346,923r18,l364,923xm327,959r,18l327,977r,18l309,995r,l309,995r,-18l309,977r,-18l309,977r18,l327,959r,l327,959xm364,923r,l346,923r,l346,923r-19,l327,923r19,l346,923r,l364,923r,l364,923xm364,905r,18l364,923r-18,l346,905r,18l346,905r18,l364,905r,l364,905xm346,905r,l346,923r,l327,923r,l327,905r,l327,905r,l346,905r,xm346,959r,l327,959r,l327,959r19,l346,959r,l346,959xm327,959r,l327,959r,l327,959r,xm327,887r,18l327,905r,l327,887r,l327,887r,l327,887r,xm327,869r,18l327,869r,l327,869r,l327,869xm237,851r-19,l218,851r,l218,851r,l218,851r,l237,851r,xm218,833r-18,l200,833r,l200,833r18,l218,833xm327,923r,l327,923r,l327,923r,xm346,905r,18l346,905r,l346,905xm327,995r,l327,995r,l327,995r,xe" fillcolor="#7a8a34" strokeweight=".9pt">
              <v:stroke color2="white pure"/>
              <v:path arrowok="t"/>
              <o:lock v:ext="edit" verticies="t"/>
            </v:shape>
            <v:shape id="_x0000_s2145" style="position:absolute;left:4824;top:12036;width:697;height:618" coordsize="745,633" o:regroupid="1" path="m727,163r,18l727,199r,l727,217r,18l709,235r,18l709,253r,l709,271r-18,l691,289r,19l691,308r,18l673,326r18,18l691,362r-18,l673,380r,l654,380r,18l654,416r,l654,434r,l636,452r,l636,452r,18l636,470r18,19l636,489r,l618,507r,l600,507r,l582,507r,l564,507r,l545,507r,18l545,525r,l527,525r,l527,525r-18,l509,543r18,l527,543r-18,18l509,561r-18,l491,561r,l491,561r,l473,561r,l455,561r,18l455,579r,l436,579r,l436,561r-18,l418,561r,l418,561r,l400,561r,l400,579r,l382,597r,l382,597r-18,l364,597r,l364,615r-18,l327,615r,l327,615r-18,l309,633r,l309,615r-18,l291,615r,l273,615r-18,l255,597r,l236,597r,l236,597,218,579r,l218,561r-18,l200,561r,l200,561r-18,l182,561r,l182,561r,-18l164,543r,l164,525r,-18l164,507,146,489r,l146,489r,-19l164,470r,l182,470r,-18l164,452r,l146,452r,l146,452r-19,l127,434r,l127,434r,l109,434r,l109,434r,-18l91,416r,l91,398r,l91,398r,-18l91,380r,l91,380r,l91,362r-18,l55,344r,-18l55,326r,l37,326r,-18l37,308r-19,l18,308r,-19l18,289r,l18,289,,271r,l,271r,l18,253r,-18l18,235r,l37,217r,l37,199r,l55,199r,l55,181r,l55,163r,l73,163r,-18l73,145r,l73,145r18,l91,163r,l91,163r18,l109,163r,l109,181r,l109,181r,l127,181r,l127,199r,l127,199r,18l127,217r,18l127,235r,l127,235r,18l127,253r19,l146,253r,-18l146,235r,l164,235r,l164,235r18,l164,235r,-18l164,217r,-18l164,199r18,l182,199r,l200,199r,l200,199r,l218,199r,l218,199r18,l236,199r,18l255,217r,l255,199r18,l273,199r,l291,199r,l291,199r,-18l309,181r,18l309,199r,l327,199r,l327,199r,18l346,217r,l346,217r,l364,235r,l364,235r18,18l400,253r,l400,253r,l400,271r18,l418,271r-18,l400,289r,l400,289r,l400,308r,l400,308r18,l418,308r18,l436,308r,l436,308r19,l455,308r,l473,308r,l473,289r,l491,289r,l491,271r,l491,271r,l509,271r,l509,253r18,l527,253r,l527,253r,-18l527,235r18,l545,217r,l545,199r,l545,199r,l527,199r,l527,181r-18,l509,163r-18,l491,163r,l491,145r,-18l491,127r,-19l473,108r,l473,90r,l473,90r,-18l473,72r18,l491,72r,l509,72r,l527,72r,l527,90r,l527,90r18,l545,90r,-18l545,72r,l564,72r,l564,54r,l582,54r,l582,54r18,l600,54r,-18l618,36r,l618,36r18,l636,36r,l636,36r,-18l654,18r,l654,18r,l673,18r,l691,18r,l709,r,18l709,18r18,18l727,54r,l727,72r,18l727,108r,19l727,127r18,l745,145r,18l727,163xe" fillcolor="#7a8a34" strokeweight=".9pt">
              <v:stroke color2="white pure"/>
              <v:path arrowok="t"/>
            </v:shape>
            <v:shape id="_x0000_s2146" style="position:absolute;left:5809;top:11929;width:408;height:443" coordsize="436,453" o:regroupid="1" path="m436,181r,18l418,199r,l418,199r-18,l400,199r,18l382,217r,l382,217r,19l382,236r-18,l364,254r-19,l345,254r,l345,272r,l345,272r,18l345,290r,l345,290r,18l345,308r,l345,326r-18,l327,308r,l327,308r-18,l309,308r,18l291,326r,l291,344r-18,l273,344r,l273,344,255,326r,l255,326,236,308r,l236,308r,18l218,308r-18,l200,308r,18l200,326r,18l200,362r,18l182,380r,l182,398r,l182,398r,19l182,417r-18,l164,417r,18l164,435r,18l145,435r,l127,435r-18,l109,417r,l109,398r,l91,398r,l91,398r-18,l73,398r,l73,380r-18,l55,380r,l55,380r-19,l36,380r-18,l18,380,,380r,l,380,,362r,l,344r,l,344,,326r18,l18,326r,l36,326r,l36,326r,l55,326r,l73,344r,l73,344r18,l91,344r,18l91,344r,l91,344r,-18l91,326r,l91,326r,-18l91,308r,l91,308r18,-18l109,290r,l109,272r,-18l109,236r,l91,236r,-19l91,217r-18,l73,199r,-18l91,181r,-18l91,163r,-18l91,127r,-18l91,91r,l73,73r,l73,55r,l91,55r18,l127,55r37,l164,55r,18l164,73r,l164,73r,18l164,91r18,l182,91r,l182,91r,18l200,109r,l200,109r,l200,109r18,l218,91r,l218,91r,-18l218,73r,-18l218,55r,l218,36r,l218,36r18,l236,36r,l255,36r,l273,36,291,18,291,r18,l309,r,l327,r,l327,r,18l345,18r,18l345,36r,l345,36r,19l364,55r,l364,55r,18l364,73r18,l382,91r,l400,91r,l400,109r,l400,109r,18l418,145r,l418,145r,l418,163r,l418,163r,l436,163r,18l436,181r,xe" fillcolor="#016400" strokeweight=".9pt">
              <v:stroke color2="white pure"/>
              <v:path arrowok="t"/>
            </v:shape>
            <v:shape id="_x0000_s2147" style="position:absolute;left:4841;top:11611;width:680;height:725" coordsize="727,743" o:regroupid="1" path="m727,181r,l709,181r,19l709,200r,l709,218r,l709,236r,18l709,254r,18l691,272r,l691,272r,18l691,290r,l691,290r,18l691,308r,l691,326r,18l691,362r,l691,381r,l691,399r,l691,399r,18l691,417r18,18l691,435r,l673,435r,l655,435r,l636,435r,18l636,453r,l618,453r,18l618,471r,l618,471r-18,l600,471r,l582,471r,18l582,489r-18,l564,489r,l546,489r,l546,507r,l527,507r,l527,507r,18l527,525r-18,l509,525r,l509,507r,l491,507r,l491,507r-18,l473,507r-18,l455,507r,18l455,525r,l455,543r,l473,543r,l473,562r,18l473,598r18,l491,598r,l491,616r18,l509,634r,l527,634r,l527,634r,l527,652r,l527,652r-18,18l509,670r,18l509,688r,l509,688r-18,l491,706r,l491,706r,l473,706r,l473,724r,l455,724r,l455,743r,l437,743r,l437,743r-19,l418,743r,l418,743r-18,l400,743r-18,l382,743r,l382,724r,l382,724r,l382,706r18,l400,706r-18,l382,688r,l382,688r,l364,688,346,670r,l346,652r-18,l328,652r,l328,652r-19,l309,634r,l309,634r-18,l291,634r,l291,616r-18,l273,634r,l273,634r-18,l255,634r,l255,634r-18,18l237,652r-19,l218,634r,l200,634r,l200,634r-18,l182,634r,l182,634r-18,l164,634r,l146,634r,l146,652r,l146,652r18,l146,652r,18l146,670r,l146,670r-18,l128,688r,l109,688r,l109,670r,l109,670r,-18l109,652r,l109,634r,l109,634r,-18l109,616r-18,l91,616r,l91,616r,-18l91,598r,l73,598r,l73,598r,-18l55,580r,l55,580r,-18l37,562r,l19,543r,l19,543,,525r,l,525,19,507r,l19,489r18,l37,489r,l37,489r,l55,489r,-18l55,471r,l55,453r,l55,435r18,l73,435r,-18l73,417r,l73,417,55,399r,l55,381r,l55,381r,-19l55,362r,l55,344r18,l73,344r,l73,344r,-18l91,326r,l91,308r,l91,308r,l91,308r,-18l109,290r,l109,272r,l128,272r18,l164,290r18,l182,290r,l200,290r,l218,290r,l237,290r,l237,290r,l255,290r,18l237,308r,l218,308r,l218,308r,l218,326r19,l237,326r,l237,344r,l255,344r,l255,344r,l255,344r18,l273,344r,-18l273,326r,18l291,344r,l291,344r,l309,344r,l309,326r,l309,308r,l309,308r,-18l328,290r,l328,290r,-18l328,272r18,l346,254r,l346,254r,-18l346,236r,l346,218r,l346,200r18,l364,200r,l364,200r,-19l382,181r,-18l382,163r,l382,163r,-18l382,145r,l382,145r,-18l382,127r18,l400,127r,-18l400,109r,l400,91r18,l418,91r,l418,91r,-18l418,73r,l418,73r,-18l418,55r,l418,55r,-18l418,37r,l400,37r,l400,19r18,l418,19r,l418,19r19,l437,19r,l437,r,l455,r,l455,r,l455,r18,l473,19r,l491,r,19l491,19r,l491,19r-18,l473,37r,l473,37r,18l491,55r,l491,55r18,l509,55r,l527,37r,l527,37r19,l546,37r,l546,55r18,l564,55r,l564,55r,l564,73r18,l582,73r,l600,73r,l600,91r,l600,91r18,l618,91r,l618,91r18,18l636,109r,l636,127r,l655,127r,l655,109r18,l673,109r18,l691,109r,l709,127r,l709,127r,l709,145r,l709,145r,l727,145r,18l727,163r,18xe" fillcolor="#7a8a34" strokeweight=".9pt">
              <v:stroke color2="white pure"/>
              <v:path arrowok="t"/>
            </v:shape>
            <v:shape id="_x0000_s2148" style="position:absolute;left:4808;top:11399;width:340;height:318" coordsize="364,326" o:regroupid="1" path="m364,145r,l364,145r,18l345,163r-18,l309,163r-18,36l291,217r,l291,217r,l291,236r,l291,236r,18l273,254r,18l273,290r,l254,308r,l254,326r-18,l218,326r,l200,326r,l200,326r-18,l182,308r,l182,290r,-18l182,272r-18,l145,272r-18,l127,272r-18,l91,272r,l91,272r-18,l73,254r,l55,272r,l36,272r,l18,272r,l18,272r,l18,254,,254r,l,236r,l,236,,217r,l,199r,l,181,,163r,l,163,,145r,l,127r,l,109r,l,109,,91r,l18,73r,l18,73r,l36,55r,l36,55r19,l55,36r,l73,36r,-18l73,18r,l73,18r18,l91,18r,l91,18r18,l109,18r,l127,18r,l127,36r,l145,36r,l145,36r,l164,36r,19l182,55r,-19l200,36r,l200,36r,l200,18r,l200,18,200,r18,l218,r18,l236,r,l254,r,l254,r,18l254,18r,l254,36r,l254,36r,l254,36r19,l273,36r,l273,36r18,l291,18r18,l309,18r,l309,36r18,l327,36r,l309,36r,19l309,55r,l291,55r,18l291,73r,l291,91r18,18l309,109r,l327,109r,l327,109r18,l345,127r,l345,127r19,l364,127r,l364,127r,18xe" fillcolor="#aea5ff" strokeweight=".9pt">
              <v:stroke color2="white pure"/>
              <v:path arrowok="t"/>
            </v:shape>
            <v:shape id="_x0000_s2149" style="position:absolute;left:5589;top:11788;width:390;height:495" coordsize="418,507" o:regroupid="1" path="m418,163r,l400,163r,18l400,181r,l400,181r,19l400,200r-37,l345,200r-18,l309,200r,l309,218r,l327,236r,l327,272r,l327,290r,18l327,308r,18l309,326r,18l309,362r18,19l327,381r,l345,381r,l345,399r,18l345,435r,l345,435r-18,18l327,453r,l327,453r,18l327,471r,l327,471r,18l327,489r,18l327,507r,l327,507r-18,l309,489r,l291,471r,l272,471r,l272,471r,l254,471r,l254,453r-18,l218,453r,l218,453r-18,l200,453r,l200,453r,l182,453r,l182,453r-19,l163,453r,l145,453r,-18l145,435r,-18l127,417r,l127,399r,l127,381r,l127,381r-18,l109,381r,l91,381r,-19l91,362r,-18l91,344r18,l109,344r,-18l91,326r,l91,308r,l91,308,73,290r,l73,290r-19,l54,290r,l54,272r,l54,272r,l54,254r,-18l73,236r,l91,218r,l91,218r,-18l91,200r,l73,181r,l54,181r,l54,181r-18,l36,181r,l18,181r,l,181,,163r,l,163r,l,145r18,l18,127r,l18,109r18,l36,109r,18l36,127r,l36,127r,18l54,145r,l54,145r19,l73,127r,l73,127r18,l91,109r,l109,109r,-18l109,91r18,l127,91,145,73r,l145,73r,-18l163,55r,l163,55r,l163,37r19,l182,37r,l182,19r18,l200,19r,l200,19,200,r18,l236,r,19l236,19r,l254,19r,18l272,37r,18l272,55r,l272,73r,l291,73r,18l291,91r,l291,91r18,l309,109r,l309,109r18,l345,109r,l363,109r,l363,109r18,l381,109r,l400,109r,l400,127r,l400,127r,18l418,145r,18xe" fillcolor="#016400" strokeweight=".9pt">
              <v:stroke color2="white pure"/>
              <v:path arrowok="t"/>
            </v:shape>
            <v:shape id="_x0000_s2150" style="position:absolute;left:5537;top:10886;width:341;height:371" coordsize="364,380" o:regroupid="1" path="m364,37r-18,l346,37r,18l346,55r,l346,73r,l346,109r,18l346,145r,18l346,181r,l346,199r,l346,218r,l346,236r-19,l327,254r,18l327,290r-18,l309,290r,l309,308r-18,l291,308r,l291,308r,18l291,326r-18,l273,326r,l273,344r,l255,344r,l255,344r,18l237,362r,l237,362r-19,l218,362r-18,18l200,380r-18,l164,380r-18,l128,380r,l128,380r-19,l91,380r-18,l73,380r,l55,380r,l37,380r,l37,380,,380,,199,19,91r,-36l37,55r36,l109,55r,l146,91r18,18l182,109,255,37r,-19l255,18r36,l291,18,309,r18,l364,18r,l364,37r,xe" fillcolor="#b5ff00" strokeweight=".9pt">
              <v:stroke color2="white pure"/>
              <v:path arrowok="t"/>
            </v:shape>
            <v:shape id="_x0000_s2151" style="position:absolute;left:6981;top:10109;width:526;height:725" coordsize="563,742" o:regroupid="1" path="m563,633r,l545,652r,l545,652r,l545,670r-18,l527,670r,l527,670r,18l509,688r,l490,688r,l490,688r-18,l472,706r,l472,706r-18,l454,706r,l436,724r,l436,724r-18,l400,724r,l381,724r-18,l363,742r,l363,742r-18,l345,742,327,724r,l327,724r-18,l309,724r-18,l272,724r-18,l236,724r-18,l218,724r-18,l200,724r,-18l200,670r,l200,652,182,633r18,-18l200,615,182,597r,-18l163,561r-36,l109,543,91,525r-18,l73,507r,l91,507r18,-18l109,489r18,l127,470r,-18l127,452r18,-18l127,434r,-18l127,416r,-18l127,380r,l127,380r,-18l109,344r-18,l73,344r-19,l36,344r,-18l18,326r,l18,308r,l18,289,,289r,l,271r,l,271,,253r,l,235r18,l18,217r,l18,217r,-18l18,181r,l18,181r18,l36,181r18,l54,181r,l54,181r,-18l54,163r,l54,145r-18,l54,127r19,l73,108r,l91,90r,l109,72r,l127,90r,l145,90r,l163,90r,-18l182,72r,-18l200,54r,-18l200,36r,-18l218,18r,l218,r,l236,r18,l254,r18,18l272,18r,l291,18r,l309,36r18,l327,36r,l327,36r18,l345,36r,18l345,54r,l345,72r,l363,72r,18l363,90r,l381,108r,l381,108r19,l400,127r18,l418,145r,l418,145r,18l436,163r,l436,181r,l436,199r,l436,217r,18l436,253r,18l436,271r,l436,289r,l436,308r,l436,308r,l454,308r,l454,308r,18l472,326r,l472,326r18,l490,326r,l490,344r19,l509,344r,l490,344r,18l490,362r,l490,362r-18,l472,362r,18l472,380r-18,l454,380r,l454,380r,l454,398r-18,l436,398r,l436,416r,l436,416r18,l454,434r,l454,434r,l472,452r,l472,452r,l472,452r18,18l490,470r19,19l509,489r18,l527,489r,l527,489r,18l545,507r,l545,507r,l545,525r,l545,525r,18l545,543r,l563,561r,l563,579r,l563,579r,18l563,615r,l563,633xe" fillcolor="#eec900" strokeweight=".9pt">
              <v:stroke color2="white pure"/>
              <v:path arrowok="t"/>
            </v:shape>
            <v:shape id="_x0000_s2152" style="position:absolute;left:5470;top:12265;width:323;height:301" coordsize="345,308" o:regroupid="1" path="m345,145r,18l327,163r,l327,181r,l327,181r,18l309,199r,l309,199r,18l309,217r-19,l290,235r,l290,254r,l290,254r,l290,272r-18,l272,272r,l272,290r,l272,290r,l272,308r,l272,308r-18,l254,308r-18,l236,308r-18,l218,308r,l200,308r,l200,308r-19,l181,308r,l163,308r,l145,308r,l127,308r,l109,308r-18,l91,308r,l91,290r-19,l72,290r,l72,272r,l54,272r,l54,272r,-18l54,254r,l54,254r,-19l54,235r,-18l54,217r18,l72,199r,l54,199r,l54,199r-18,l18,199r,l,199r,l,181r18,l18,181r,-18l18,163r,l18,145r,l18,145r,-18l18,127r18,l36,109,18,91r,-18l36,73r18,l54,73r18,l72,54,91,73r18,l109,73r,l127,54r,l145,36r,l127,18r,l145,18r,l163,18r18,l181,r19,l218,18r,l236,18r,l254,r18,l272,r18,l290,r,l290,18r,l309,18r,l327,18r,l327,36r,l327,36r,18l327,54r,19l327,73r,18l345,91r,l327,109r,l327,91r,18l327,109r,l345,127r,l345,127r,18l345,145xe" fillcolor="#016400" strokeweight=".9pt">
              <v:stroke color2="white pure"/>
              <v:path arrowok="t"/>
            </v:shape>
            <v:shape id="_x0000_s2153" style="position:absolute;left:6065;top:9402;width:950;height:849" coordsize="1017,869" o:regroupid="1" path="m1017,217r,l1017,217r-18,l999,235r,l981,235r,l981,235r,18l963,253r,l963,253r,l945,253r,l945,253r-19,l926,253r-18,l890,253r,l890,253r-18,l872,271r,l872,271r-18,18l854,289r,l854,308r,l854,326r-19,l835,344r,18l835,398r,l835,416r,l835,416r,18l817,434r,l817,434r,l799,434r,l799,452r-18,l781,452r,l763,452r,l763,452r-18,l745,470r,l745,470r-19,l708,470r,19l690,489r,l672,489r-18,l654,507r,l654,507r-18,l636,525r,l636,525r,l636,525r-19,l617,543r,l617,543r19,l636,543r18,l654,543r,l672,543r,l690,543r,l690,543r,18l690,561r18,l708,579r,l708,579r,18l708,597r,18l708,615r-18,l690,633r,l690,633r,18l690,651r,l690,651r18,19l708,670r18,l726,670r,18l726,688r,18l745,706r,l745,706r,18l745,724r,18l763,742r,l763,742r18,l799,742r,l817,742r,l835,742r,18l854,760r,l872,760r,l890,760r,l890,760r18,l926,778r,l926,778r-18,l908,796r,l890,796r,l890,814r,l872,814r,l854,814r,l854,814r-19,l835,832r,l835,851r,l835,851r,18l854,869r,l835,869r,l835,869r,l817,869r,l817,869r-36,l763,869r,l745,869r,l745,851r,l745,851r,l745,832r-19,l726,814r,-18l726,796r,-18l726,778r-18,l708,760r,l708,760r,l708,742r,l690,742r,l690,742r-18,l654,742r,l654,760r-18,l636,760r-19,l617,760r,l617,742r-18,l599,742r,l599,724r,l581,724r,l581,724r-18,l545,724r,l527,724r,l527,706r,l508,706r,l508,706r-18,l490,706r,l490,706r-18,l472,706r,l472,688r,l472,670r,l472,670r,l472,651r18,l490,651r,l490,651r18,l508,651r,-18l508,633r,l508,633r19,l527,615r,l508,615r,l508,615r,-18l490,597r,l472,579r,l472,579r,l472,579r,-18l472,561r,l472,561r,-18l472,543r,l472,543r-18,18l454,561r,l436,561r,-18l436,543r,l436,525r,l436,525r,-18l436,507r18,l454,507r,l454,489r,-19l454,452r,l454,434r,l454,434r,-18l454,416r,-18l454,398r-18,l436,398r,18l418,416r,l418,416r,18l418,434,399,416r,l399,416r,l399,416r,-18l399,398r-18,l381,398r-18,18l363,416,345,398r,l345,398r,l345,398r,-18l345,380r,l345,380r,-18l345,362r,l345,344r,l345,344r,-18l345,326r-18,l327,308r,l309,308r,l290,308r,l272,308r,l272,308r,l272,308r,-19l272,289r,l272,289r,-18l272,271r,l272,253r,l254,253r,l236,253r,l236,235r,l236,235r,l236,235r,-18l236,217r,-18l236,199r,l218,199r,l200,199r,l200,199r,l181,199r,-18l181,181r,l163,199r,l163,199r-18,l145,199r,l145,199r-18,l127,199r,l127,199r,18l109,217r,l109,235r,l109,235r,18l109,253r-18,l91,253r,-18l91,235r,l91,217r-19,l72,217r,l72,217r,-18l54,199r,l54,199r-18,l36,181r,l18,181r,l18,181r,l18,163r,l18,163r,-18l,145,,127r,l,108r18,l18,108r,-18l18,90r,l36,90r,l54,90r,l54,90r18,l72,90r,l91,90r18,l109,90r,l127,90r,l127,90r18,l145,90r18,l163,90r,l181,90r,18l181,108r,l181,108r,19l200,127r,l200,145r18,l218,145r,l236,163r,l254,163r,l272,163r,l290,163r,l309,163r,-18l309,145r,l327,145r,-18l327,127r,l345,127r,-19l345,108r,l363,72r,l363,90r,l381,90r,l381,90r18,l399,90r19,l418,90r,l418,90r18,l454,90r,l472,90r,l472,90r18,l490,90r,l508,90r,l508,90r19,l527,90r18,l545,90r18,l563,90r18,l581,90r18,l599,90r,l636,90r,l636,90r,18l654,90r,l654,90r18,l690,90r,l690,90r18,l708,90r,l726,90r,l726,72r,l745,54r,l745,54r,l745,54r,-18l763,36r,l763,36r,l763,18r18,l799,18r,l799,18r18,l817,18r18,l835,r,l854,r,l854,r18,l872,18r,l872,18r,18l872,54r,18l872,72r,l890,90r,l890,90r,l890,90r18,l908,90r,l926,90r,l926,90r19,l945,90r,l945,90r18,l963,90r18,l999,90r,18l999,108r,l999,127r,l1017,163r,l1017,199r,l1017,217r,xe" fillcolor="#cd3333" strokeweight=".9pt">
              <v:stroke color2="white pure"/>
              <v:path arrowok="t"/>
            </v:shape>
            <v:shape id="_x0000_s2154" style="position:absolute;left:5266;top:10020;width:1053;height:1025" coordsize="1126,1050" o:regroupid="1" path="m1126,507r,l1126,525r,l1126,525r,l1108,525r,18l1108,543r,l1108,543r,l1090,543r,18l1090,561r,19l1090,580r,l1090,580r,36l1090,616r,l1090,634r,l1090,634r,18l1072,652r,l1072,670r,18l1072,688r-18,l1054,706r,18l1054,724r,19l1054,743r,l1054,761r,l1054,761r,l1054,779r,l1054,779r,18l1035,815r,l1035,815r,l1035,833r,18l1035,851r,l1054,851r,18l1054,869r,l1072,887r18,l1090,887r,l1090,905r18,l1108,924r,l1108,924r-18,l1090,942r,l1090,942r,18l1090,960r,l1072,960r,18l1072,978r,l1072,978r,18l1054,996r,l1054,996r,18l1054,1014r,l1054,1032r,l1035,1050r,l1035,1050r-18,l1017,1050r-18,l999,1050r,l981,1032r,l981,1032r,-18l981,1014r,l981,1014r-18,l963,996r,l963,996r,l945,996r-19,l926,996r,l908,996r,l908,996r,l890,996r,18l890,1014r,l890,1014r-18,18l872,1032r,l872,1050r,l854,1050r,l854,1032r,-36l854,996r,l854,978r,l854,978r,l854,960r-18,l836,960r,l836,942r-19,l817,942r,l817,924r,l817,905r,l799,887r,l799,887r,l781,887r,l781,887r-18,l763,887r,l763,887r,18l745,905r,19l726,924r,l708,924r,l708,905r,l690,905r,l690,905r,l690,905r,-18l672,887r,l672,887r,l654,887r,l654,905,617,887r-18,l581,905r,l545,905r,-18l545,887r,l527,905r,l527,905r-19,l508,905r,l490,905r,l490,887r18,l508,887r,-18l508,869r-18,l490,869r-18,l472,869r,l472,869r,-18l472,851r,l472,851r,-18l490,833r,l490,833r,l508,833r,-18l508,815r,l508,797r,l527,797r,l527,797r,-18l527,779r,l508,779r,-18l508,761r,l508,761r,l508,743r,l508,743r-18,l490,743r-18,l472,743r,-19l472,724r18,l490,724r18,l508,706r,l508,706r,-18l508,688r,-18l508,670r,-18l508,652r,l508,634r,l508,616r,l508,616r-18,l490,616r-18,l472,616r,l454,616r,l454,616r-18,l436,616r,l436,616r-18,l418,616r,l399,616r,l381,616r,l381,598r-18,l363,598r-18,l345,580r,l345,580r,-19l345,561r18,l363,543r,l363,543r18,l381,543r,-18l381,525r18,l399,525r,l399,507r,l399,507r,-18l399,489r,l399,489r,l381,489r,-18l381,471r,l363,471r,l345,471r18,-18l363,453r,-18l363,435r,l363,417r,l345,417r,l345,399r,l327,417r,l327,399r,l327,399r,-19l327,380r,l309,362r,l309,362r-19,l290,362r,l272,362r,l272,380r,l272,380r,l254,380r,19l236,399r,l218,399r,l218,399r,l200,399r,l200,399r-19,l181,380r,l181,380r,l163,380r,l163,380r,l145,380r,19l145,399r,l145,399r-18,l127,417r-18,l109,417r,l109,417,91,435r,l91,435r,l91,453r-19,l72,453r,18l72,471r-18,l54,471r,l54,471r-18,l36,471r,l36,471r,-18l36,453r,-18l18,435r,l,435r,l,417r,l18,417r,l18,399r,l18,399r18,l36,380r-18,l18,362r18,l36,362r,-18l18,344r,l18,344r,-18l18,326r,l18,308r,l18,308r,l18,290r18,l36,272r,l36,272r18,l54,272r18,l72,254r,l72,236r,l91,236r,l91,218r18,l109,199r18,l127,199r18,l145,199r18,l163,199r18,l181,199r,l200,199r,l218,199r,l236,199r,l236,199r,-18l254,181r,l254,181r18,l272,163r,l272,163r,-18l272,145r18,l290,127r,l290,127r,-18l290,109r,l290,109r,-18l309,91r,l309,91r,l327,91r,-18l327,73r,l345,73r,-18l345,55r,l363,73r18,l381,73r,l381,73r18,l399,91r-18,l381,91r,18l381,109r,18l381,127r18,l399,127r,l418,127r,18l418,145r,l436,145r,18l454,163r,l454,163r,l454,145r,l454,145r,-18l454,127r,-18l454,109r,-18l472,91r,l472,91r18,l508,91r,l508,109r,l527,91r,l527,73r18,l545,55r,l563,55r,l563,55r18,l581,55r,l599,55r,18l599,73r,l617,73r,l617,73r,18l636,91r,l636,91r,18l636,127r,l636,127r18,l654,127r,l654,127r,l672,127r,-18l672,109r,l690,109r,-18l690,91r,l708,91r,l708,91r,-18l726,73r,l745,73r,-18l745,55r18,l763,55r,-18l781,37r,l781,37,799,18r,l817,18r,l817,18r19,l836,18,854,r,l854,18r,l872,18r,19l872,37,854,55r,l854,55r18,18l872,73r,l872,73r,l890,73r,l890,91r,l908,91r,l908,91r,l908,91r,18l926,109r,18l926,127r,l945,127r,l963,127r,l981,127r,18l981,145r18,l999,145r,l999,145r,18l1017,163r,l1017,163r,l1035,181r,l1035,181r,l1035,199r,l1054,199r,19l1054,218r,18l1035,236r,l1035,254r,18l1035,272r,l1035,290r,18l1054,308r,18l1054,326r,l1035,326r,18l1035,344r,l1017,344r,l1017,362r,l1035,362r,l1035,362r19,l1054,362r,l1054,362r,18l1072,380r,l1072,380r,l1072,399r18,l1090,399r18,l1108,399r,l1126,399r-18,18l1108,417r,l1108,435r,l1108,453r,l1126,471r,l1126,471r,l1126,489r,l1126,489r,18xe" fillcolor="#cd3333" strokeweight=".9pt">
              <v:stroke color2="white pure"/>
              <v:path arrowok="t"/>
            </v:shape>
            <v:shape id="_x0000_s2155" style="position:absolute;left:5878;top:9579;width:679;height:831" coordsize="727,851" o:regroupid="1" path="m727,434r,l708,434r,18l708,452r,l708,470r,l690,470r,l690,470r,l672,470r,19l672,489r,l672,489r,18l672,507r,18l672,525r-18,l654,525r,l636,525r,18l636,543r-18,l618,543r,l599,543r,l599,543r-18,l581,543r,l581,543r,l581,561r-18,l563,561r,l563,579r-18,l545,579r,18l545,597r,l545,597r-18,18l527,615r,l527,615r-18,l509,633r-19,l490,633r,l490,633r-18,l472,633r,18l472,651r,l472,670r,18l472,688r,18l472,724r,l472,742r,l472,742r18,l490,760r,l490,760r,18l490,778r,l490,796r,l490,814r,l490,814r,l490,832r,l472,832r,19l472,851r,l472,851r-18,l454,851r,l436,851r,l418,851r,-19l418,832r,l418,832r-18,l400,814r,l400,814r,l381,814r,l381,814r-18,l363,814r,-18l363,796r18,l381,796r,l381,778r19,l400,778r,l400,760r-19,l381,742r,-18l381,724r,l381,706r,-18l381,688r19,l400,670r,l400,651r-19,l381,651r,-18l381,633r,l381,633,363,615r,l363,615r,l345,615r,-18l345,597r,l345,597r-18,l327,597r,-18l309,579r,l291,579r,l272,579r,l272,579r,-18l254,561r,-18l254,543r,l254,543r,l236,543r,l236,525r,l218,525r,l218,525r,l218,525,200,507r,l200,507r18,-18l218,489r,-19l200,470r,l200,452r,l182,470r,l163,470r,l163,470r-18,l145,470r-18,19l127,489r,l109,489r,18l109,507r-18,l91,507r,18l72,525r,l54,525r,l54,525r-18,l36,507r,l18,507r,-18l18,489r,l18,489r,-19l,470r,l,470,18,452r,l18,452r,l18,434r,l36,434r,-18l36,416r18,l54,416r,l54,416r18,l91,416r,l91,416r,l109,398r,l109,398r,-18l91,380r,l91,380r,-18l91,344r,l91,344r,-18l91,326r,-18l91,308r-19,l72,308r,-19l72,289r,l72,271r,l72,253r,l72,235r,l72,217r,l72,199r-18,l54,181r,l54,181r,-18l54,163r,l54,163r,-18l72,145r,l72,145,91,127r,l91,127r18,l109,127r18,-19l127,108r,l145,108r,l145,108r18,l163,108r19,l182,90r,l200,90r,l200,90r,-18l200,72r,l218,72r,-18l218,54r,-18l218,36r,l218,36r18,l236,18r,l236,18r18,l254,18r,l254,18r18,l272,36r,l272,36r,l291,36r,18l291,54r,l291,72r,l309,72r,l309,54r,l309,54r,-18l309,36r18,l327,18r,l327,18r,l345,18r,l345,18r,l363,18r,l363,18,381,r,l381,r,18l400,18r,l400,18r,l418,18r,l436,18r,l436,18r,18l436,36r,18l436,54r,l436,54r,l436,72r,l454,72r,l472,72r,l472,90r,l472,90r,18l472,108r,l472,108r,19l472,127r,l472,127r,l490,127r,l509,127r,l527,127r,l527,145r18,l545,145r,18l545,163r,l545,181r,l545,181r,18l545,199r,l545,199r,l545,217r,l545,217r,l563,235r,l581,217r,l599,217r,l599,235r,l599,235r,l599,235r19,18l618,253r,-18l618,235r,l636,235r,-18l636,217r18,l654,217r,18l654,235r,18l654,253r,l654,271r,l654,289r,19l654,308r,l654,308r-18,18l636,326r,18l636,344r,l636,362r,l636,362r,18l654,380r,l654,380r18,-18l672,362r,l672,362r,18l672,380r,l672,380r,18l672,398r,l672,398r,l690,416r,l708,416r,18l708,434r,l727,434r,xe" fillcolor="#cd3333" strokeweight=".9pt">
              <v:stroke color2="white pure"/>
              <v:path arrowok="t"/>
            </v:shape>
            <v:shape id="_x0000_s2156" style="position:absolute;left:5572;top:9278;width:832;height:901" coordsize="890,923" o:regroupid="1" path="m872,235r,l872,235r,19l854,254r,l854,254r,18l836,272r,l836,272r,l817,290r,l799,290r,l781,290r,l763,272r,l745,272r,l745,272r-18,l727,254r,l708,254r,-19l708,235r,l708,235r,-18l690,217r,l690,217r-18,l672,217r-18,l654,217r,l636,217r,l636,217r-18,l599,217r,l599,217r-18,l581,217r,l563,217r,l545,217r,l545,217r,18l545,235r-18,l527,254r,l527,272r18,l545,272r,18l545,290r,18l545,308r,l545,308r18,l563,308r,18l581,326r,l563,326r,l563,326r,18l545,344r,l545,344r,l545,362r,l545,380r-18,l527,380r,l527,398r,l527,398r-18,l509,398r,l490,398r,l472,416r,l472,416r-18,l454,416r,l436,435r,l418,435r,l418,435r-19,18l399,453r,l399,453r,18l399,471r,l381,471r,18l399,489r,l399,507r,l399,525r,l399,543r,l399,561r,l399,579r,l399,597r,l399,597r,19l399,616r19,l418,616r,18l418,634r,18l418,652r,l418,670r,18l418,688r,l436,688r,18l436,706r,l418,724r,l418,724r,l399,724r,l381,724r,l381,724r-18,l363,724r,18l345,742r,l345,760r,l345,760r,l327,778r,l327,778r18,l345,797r,l345,797r,l345,815r18,l363,815r,18l381,833r,l399,833r,l399,833r,l381,833r,18l381,851r,l363,851r,l363,851r,18l345,869r,l345,869r,18l327,887r,l327,887r,l327,887r-18,l309,887r,l309,869r,-18l309,851r,l290,851r,-18l290,833r,l272,833r,l272,833r,-18l254,815r,l254,815r-18,l236,815r,l218,815r,l218,833r-18,l200,851r,l181,869r,l181,851r,l163,851r-18,l145,851r,l127,851r,18l127,869r,18l127,887r,18l127,905r,l127,923r,l127,923r,l109,923r,-18l91,905r,l91,905r,-18l72,887r,l72,887r-18,l54,887,36,869r,l54,851r,l72,851r,-18l54,833r,l54,833r-18,l36,833,18,815r,l18,815r,l18,797r,l18,797r,l18,778r,l18,778r,-18l18,760r,-18l18,742r,l,742r,l,724r,l,724,,706r,l,706,18,688r,l18,688r,-18l18,670r,l18,670r,-18l18,652r18,l36,652r18,l54,652r18,l72,652r,l91,652r,l109,634r,l109,634r,-18l109,616r,l127,616r,-19l127,597r,l145,616r,-19l145,597r,l145,597r,-18l145,579r-18,l127,561r,l127,561r,l109,561r,l109,543r,l109,543r,l109,525r,l109,525r18,-18l127,507r,l127,489r,l127,489,109,471r,l109,471r,-18l109,453r,l109,435r,l109,416r-18,l91,398r,l91,398r,-18l91,380r,-18l91,362r,-18l91,344r,l91,326,72,308r,l72,290r,l72,272r,l72,272r,-37l72,217r,l72,217r,-18l72,199r,-18l72,163r,-18l91,145r,l109,145r,-18l109,127r,l109,127r18,l127,127r,l127,127r,-18l145,109r,l145,109r,l163,109r,l181,109r,l181,109r19,l200,109r,l218,109r,l236,109r,l236,109r,l254,109r,-18l272,91r,l272,73r18,l290,73r,l290,73r,l309,73r,-19l327,54r,-18l327,36r,l327,36r18,l345,18r,l345,18r18,l363,18,381,r,l399,r19,l418,r18,l436,r,l436,18r18,l454,18r,l454,18r18,l472,18r,l490,18r,l509,18r18,18l527,36r,l545,36r,18l545,54r,l563,54r,l563,73r,l563,73r18,l581,73r,18l599,91r,l599,91r,l599,91r19,18l618,109r,l636,109r,l654,109r,l672,109r,l690,109r,l690,109r,18l708,127r,l708,127r,18l727,145r,l727,163r,l727,163r,l727,181r18,l745,181r,l763,181r18,l799,181r,18l799,199r18,l817,199r,l817,199r19,l836,199r18,l872,199r,l872,199r18,l872,235xe" fillcolor="#cd3333" strokeweight=".9pt">
              <v:stroke color2="white pure"/>
              <v:path arrowok="t"/>
            </v:shape>
            <v:shape id="_x0000_s2157" style="position:absolute;left:4265;top:9313;width:985;height:1255" coordsize="1054,1285" o:regroupid="1" path="m1054,887r,l1035,887r,18l1035,905r,l1035,905r-18,l1017,905r,18l1017,923r,l999,923r,l999,923r-18,l963,942r-18,l945,942r-19,l926,942r-18,l890,942r-18,l854,942r,l835,942r,l835,942,817,923r,l817,923r-18,l799,923r,-18l799,905r,l781,905r,-18l781,869r,l781,851r,l781,851r,-18l781,833r,-18l763,815r,l763,815r,-18l763,797r,l745,797r,l726,797r,-18l726,779r-18,l708,779r-18,l690,797r-18,l654,797r-18,l617,797r,l581,797r,l563,797r,l563,815r,l545,815r,l545,815r,l527,815r,l527,833r,l527,833r,18l527,851r,l527,851r18,l545,869r,l563,869r,l563,869r18,18l581,887r,l581,887r18,l599,887r,18l617,905r19,l636,905r,l654,905r,l654,905r,18l654,923r,19l654,960r,l654,960r,18l654,978r,l654,978r,18l654,996r,l654,996r18,l672,996r,l672,996r,18l672,1014r,l672,1032r-18,l654,1032r,l636,1032r,l636,1032r-19,l617,1050r-18,l599,1050r,l581,1050r,l581,1050r-18,l563,1032r,l563,1032r-18,l545,1050r,l545,1068r18,18l563,1086r,18l563,1104r,19l563,1141r,l563,1141r,18l563,1159r,l581,1159r,l581,1177r,18l581,1195r18,l599,1195r,18l599,1213r,l581,1231r,l581,1231r,l563,1231r,l563,1231r-18,l527,1231r,l508,1231r,l508,1231r-18,l490,1231r,l490,1249r,l490,1249r,18l490,1285r,l490,1285r-18,l472,1285r,l454,1285r,l454,1285r-18,l436,1267r,l436,1267r,l436,1267r,-18l436,1249r,-18l436,1231r-18,l418,1213r,l418,1213r,l418,1195r,l418,1177r,-18l418,1141r,l418,1141r,-18l418,1123r,l436,1123r,l436,1123r,-19l454,1104r,l454,1104r,l472,1086r,l472,1086r,l490,1086r,l490,1068r,l490,1050r18,l508,1050r,l508,1032r,-36l508,996r,l508,978r,l490,978r,l490,978r-18,l472,978r,l472,978r,18l454,996r,l454,996r-18,l436,996r,l418,996r,l418,996r-19,l399,996r-18,l381,996,363,978r,l363,978r,l345,978r,l345,960r,l345,960r-18,l327,942r,l309,942r,-19l309,923r-19,l290,923r,l272,923r,l272,923r-18,l254,923r,l254,942r,l236,942r,l218,942r,l200,942r-19,l181,923r,l163,923r,l163,923r-18,l145,923r,-18l145,905r-18,l127,905r,l127,905r,l109,905r,-18l109,887r,l91,887r,-18l72,869r,l72,869r,l72,869,54,851r,l54,851r-18,l36,833r-18,l18,815,,815r,l,797r,l,797,,779r,l,761r,l,724,,706,,688r,l,688,,670r18,l18,670r,l18,670r,-18l18,652r,l36,634r,l36,616r,l54,616r,-36l54,580r,l54,561r,l54,561r,-18l54,543r,l72,543r,-18l72,525r,l72,507r,l72,489r,l54,489r,-18l54,471r,-18l54,453r,-18l54,435r,l54,435r,-18l72,417r,-18l72,399r,-19l72,362,54,344r,-18l54,326r,-18l72,308r,l72,290r,l72,290r,l72,290,91,272r,l91,272r,l109,254r,l109,254r18,l127,254r,l127,236r,l145,236r18,-18l163,218r18,l181,218r,-19l181,199r19,l200,181r18,l218,181r,-18l218,163r18,-18l236,145r,-18l236,127r,l254,109r,l254,109r,l254,91r,l254,91r,l254,73r18,l272,73r,l272,55r,-18l272,37r,l272,18,272,r18,l290,r19,l309,r18,l327,r,l345,r,l345,r,l345,r,18l363,18r,l363,18r18,l381,37r,l381,37r18,18l399,55r19,l418,55r18,l436,55r18,l454,55r,18l472,73r,l490,73r,l490,73r,l490,55r18,l508,55r19,l527,37r,l527,37r,18l527,55r18,l545,55,527,73r,l527,73r,18l527,91r,18l527,109r-19,l508,127r,l508,145r,l527,145r,18l527,163r,18l527,199r,l527,218r,18l527,236r,18l527,254r,l527,272r,18l545,308r,18l527,326r,18l527,344r,l527,344r-19,l490,326r-18,18l472,344r-18,l454,362r-18,l436,380r,19l436,417r,18l436,453r,18l436,489r,18l436,507r,18l436,543r,18l436,561r-18,37l418,616r,18l418,652r-19,l399,670r,18l418,688r,l436,688r,l436,688r,18l454,688r,l454,688r,l454,670r18,l472,670r,l490,670r,-18l490,652r,l508,652r,l527,652r,l527,652r,l545,652r,-18l545,634r,l563,634r,l563,634r,l581,634r,l581,634r,l599,634r,l599,652r,l599,652r18,-18l617,634r19,l654,634r,18l654,652r18,l672,652r,l690,652r,l690,652r18,l708,634r,l708,634r,l708,634r,l708,634r18,l726,634r,l745,634r,l763,634r,-18l763,616r,18l781,634r,l781,634r,18l781,652r,l799,652r,l799,652r,l817,652r,l817,670r18,l835,670r,l835,688r19,-18l854,670r18,l872,670r,l890,670r,l890,670r18,l908,670r,l908,670r18,l926,670r,l945,670r,l945,670r18,l963,670r,l981,670r,l981,670r,l981,688r18,l999,688r,l999,688r,36l999,724r,18l999,742r,l999,761r,l999,761r,l999,779r,l1017,779r,l1017,779r,l1035,779r,l1035,797r,l1035,797r,l1035,815r19,l1054,815r,18l1054,851r,l1054,869r,l1054,869r,18l1054,887xe" fillcolor="#cd3333" strokeweight=".9pt">
              <v:stroke color2="white pure"/>
              <v:path arrowok="t"/>
            </v:shape>
            <v:shape id="_x0000_s2158" style="position:absolute;left:4995;top:11134;width:950;height:884" coordsize="1017,905" o:regroupid="1" path="m1017,579r,l1017,579r,18l999,597r,18l999,615r,l999,633r,l999,633r,18l981,651r,l981,651r-18,l963,651r,l945,651r,18l945,669r-18,l927,688r,l927,688r-19,l908,706r,l927,724r-19,l908,724r-18,l890,706r,l890,688r-18,l872,688r,l872,669r-18,l836,669r,19l836,688r,l836,688r-18,l818,706r,l818,706r-19,l799,724r,l799,724r,l781,724r,18l781,742r-18,l763,760r,l745,760r,l745,778r-18,l727,778r,18l709,796r,l709,796r,18l690,814r,l690,814r-18,l672,796r,l672,796r,l672,778r-18,l654,778r,18l654,796r,18l636,814r,l636,814r,18l618,832r,18l618,850r,l618,850r-18,19l600,869r,18l600,887r,18l600,905r-19,l581,905r,l563,905r,l563,905r-36,l527,905r,-18l527,887r,l527,869r,l527,850r,l527,832r,-18l527,796r,l527,796r,-18l527,778r,l527,778r,-18l527,760r,l545,760r,-18l545,742r,-18l545,706r,l545,688r18,l563,688r,-19l563,669r,l563,651r,l563,633r,l563,633r,l545,633r,-18l545,615r,l545,615,527,597r,l527,597r-18,l509,597r-18,l491,615r,l472,615r,l472,597r,l472,597,454,579r,l454,579r,l436,579r,l436,561r,l436,561r,l418,561r,l400,561r,-18l400,543r,l400,543r,l382,543r,-18l382,525r,l363,525r,l363,525r-18,18l345,543r,l327,543r,l327,543r-18,l309,525r,l309,525r,-18l327,507r,l327,507r,l327,488r-18,19l309,507r,-19l291,488r,l291,488r,l291,488r-18,l273,488r,-18l254,470r,l254,452r,l236,452r,l236,434r,l236,434r,-18l236,416r,l236,398r,l236,398r-18,l218,398r-18,l182,398r,l164,398r,l164,398r,l145,398r,l145,398r,-18l127,380r,l127,380r-18,l109,380r,l91,362r,-18l91,344r,l91,326r18,l109,326r,l109,307r18,l127,307r,l109,307r,-18l109,289r,l91,289r,18l91,307r-18,l73,307r,l54,307r,l54,307r,l54,307r,-18l54,289r19,l73,289r,l73,271r,l73,271r,-18l73,253r,l73,253r-19,l54,253r,l36,253r,l36,235r,-18l36,217r-18,l18,217,,217,,199r,l,199r,l,181r,l,163r,l,163r,l,145r18,l18,145r,l18,145r,-19l36,126r,l36,126r,-18l36,108r,l36,108,54,90r,l54,90r19,l73,90r,l91,90r,18l91,108r,l91,108r18,l109,108r,l109,126r,l127,126r,l127,126r,19l145,145r,l145,145r19,l164,145r18,l182,145r18,l200,145r,l218,145r18,l236,145r,l254,145r19,l273,145r,l291,145r,l291,145r18,l309,145r,-19l309,108r,l309,108r,-18l309,90r,l327,72r,l327,72r,l327,54r,l327,54r18,l345,36r,l345,36r,-18l345,18,363,r,l363,r19,18l382,18r,l400,18r,l400,36r,l418,36r,l418,54r,l436,54r,18l436,72r,l436,90r,l436,90r,18l454,108r,l454,108r,18l454,126r,19l472,145r,l472,145r,18l491,163r,l491,163r18,l509,181r,l509,181r18,l527,199r,l527,199r,l527,199r18,l545,217r,l563,217r,l563,217r,l563,217r,-18l581,199r,l581,199r,l581,181r,l581,181r19,l600,163r,l600,163r,-18l618,145r,l618,145r,l636,145r,l654,145r,l654,145r18,l690,145r-18,l672,163r,l654,181r,l654,199r,l654,217r18,l672,217r,18l672,235r18,l690,253r,l672,253r,18l672,271r,l672,289r,l672,289r,18l672,307r,l654,326r,l654,344r,l654,344r,18l672,344r18,l690,344r,l709,344r18,-18l727,326r,l727,326r18,l745,326r,l763,326r,-19l763,307r18,l799,307r,l818,307r,l836,307r,-18l836,289r18,l854,289r18,l872,289r,l890,289r,l908,289r19,l927,289r18,l945,307r,19l945,326r,l945,344r,l945,344r,18l945,362r,l945,380r18,l963,380r,18l963,398r,l981,416r,l981,416r,18l981,452r,18l981,488r,19l981,525r,l981,525r,18l981,543r18,l999,561r,l1017,561r,l1017,561r,18xe" fillcolor="#b5ff00" strokeweight=".9pt">
              <v:stroke color2="white pure"/>
              <v:path arrowok="t"/>
            </v:shape>
            <v:shape id="_x0000_s2159" style="position:absolute;left:3959;top:10586;width:1358;height:867" coordsize="1453,887" o:regroupid="1" path="m1453,579r,l1453,597r,l1453,597r,18l1435,615r,l1435,615r,18l1435,633r,l1435,633r-18,18l1417,651r,l1417,669r,l1417,669r,18l1417,706r,l1399,706r,l1399,706r-18,l1381,706r,l1362,706r-18,l1344,706r,l1326,706r-18,l1308,706r,l1290,706r,l1272,706r,l1253,706r,l1253,706r-18,l1235,687r,l1235,687r-18,l1217,687r,-18l1217,669r,l1199,669r,l1199,669r-18,l1181,651r,l1181,651r,l1162,651r,l1162,651r-18,18l1144,669r,l1144,669r,18l1144,687r,l1126,687r,19l1126,706r,l1126,706r-18,l1108,724r,l1108,724r,l1108,742r,l1108,760r,l1108,760r,l1108,778r18,l1126,778r18,l1144,778r,18l1144,814r,l1162,814r,l1162,814r19,l1181,814r,l1181,814r,18l1181,832r,l1181,850r,l1181,850r-19,l1162,850r,-18l1162,832r,l1144,832r,l1144,832r-18,l1126,832r-18,l1108,850r,l1108,850r,18l1108,868r,l1108,868r-18,l1090,887r-18,l1072,868r-19,l1053,868r,l1053,868r-18,l1035,868r,-18l1035,850r-18,l1017,850r,l999,850r,l999,850r,l981,850r,l981,850r,l963,850r-19,l944,850r,l944,850r,l926,850r,-18l926,832r,l926,832r-18,l908,832r,l890,832r,l890,850,872,832r,l872,832r-18,18l854,850r,l854,850r-19,l817,850r,l817,850r,l799,850r,l799,850r-18,l781,850r,l763,850r,l763,832r-18,l745,832r,-18l745,814r,l745,796r,l745,778r-19,l726,778,708,760r,l708,760,690,742r,l690,742r,l672,724r,l672,724r,l672,706r,l654,706r,-19l654,687r,-18l654,669r,l654,651r-18,l636,651r,l636,651r,-18l636,633r-19,l617,633r,-18l617,615r,l617,597r-18,l599,597r,-18l599,579r,l599,561r,l599,543r,l599,543r,l617,525r,l617,525r,-19l617,506r,l636,506r,-18l636,488r,l654,488r,l672,470r,l672,470r,l672,452r-18,l654,452r,l636,452r,l636,452r,18l636,470r-19,l617,470r,18l599,488r,l581,488r,-18l581,470r,l581,470r-18,l563,470r,l563,452r-18,l545,434r,l545,434r-18,l527,434r,l527,416r,l527,416r,l527,398r,l508,398r,l508,380r-18,l490,380r-18,l472,380r,l454,380r,l454,380r-18,l436,398r,l436,398r,l418,398r18,18l436,416r-18,l418,416r,18l418,434r,l418,434r,18l418,452r-19,l399,470r,l381,470r,l381,470r-18,l363,488r-18,l327,488r,l309,488r,18l309,506r-19,l290,506r,l290,525r-18,l272,525r-18,l254,525r-18,l236,525r,18l218,543r,l218,543r,l199,543r,l199,543r-18,l181,543r,l163,543r,l163,543r-18,l145,543r,18l127,561r,l127,561r,l109,561r,18l109,579r,l90,597r,l90,597r,l90,597r-18,l72,615r,l72,615r,l54,615r,l54,615r-18,l36,615r,l18,615r,18l18,633,,633r,l,615r,l,597r,l,579,,561,,543r,l,543,,525r,l,525r,l,506r,l,506r18,l18,488r,l18,488r,-18l18,470r,l18,434r,l18,416r18,l36,416r18,l54,416r,l72,416r,l72,416r,l90,416r,l90,416r19,l127,416r,l127,398r,l145,398r,l145,398r,-18l145,380r,l163,362r,l163,344r,l163,344r,-19l163,325r,-18l163,307r,l163,289r,-18l181,271r,-18l181,253r,l181,235r,l181,217r18,l199,217r,-18l199,199r,l199,199r19,-18l218,181r,l218,181r18,l236,181r,l254,181r,-18l254,163r,l254,144r-18,l236,144r,-18l236,126r18,l254,126r,l254,108r18,l272,90r,l290,90r,l290,90r,l309,90r,l327,90r,l327,90,345,72r,l345,72r,l345,54r,l345,36r18,l363,36r,-18l363,18r,l363,r,l363,r18,l381,18r,l399,18r,l418,18r18,l436,18r,l436,36r,l436,36r18,l454,36r,l454,36r,-18l472,18r,l472,18r,l472,18r,18l490,36r,l490,36r,l490,54r-18,l472,54r18,l490,54r18,l508,54r,l508,54r,l508,72r,l527,72r,l527,72r,l508,72r,18l508,90r19,l527,90r,l545,90r,l545,108r,l545,108r18,l563,108r,l563,108r18,l581,90r,l581,108r,l581,108r18,l599,126r,l617,126r,18l617,144r,l617,144r19,19l636,163r,l654,181r,l654,181r,18l672,199r,l672,217r,l690,235r,l708,253r,l708,253r,l726,253r,18l745,271r,l745,289r,l763,289r,18l763,307r18,l781,325r18,l799,325r,l799,325r,19l817,344r,l835,344r,l835,344r19,l854,362r,l854,380r,l854,380r,l854,398r,l872,398r,l872,398r36,-18l908,380r,l908,380r18,l926,380r,l944,380r,l963,380r,l963,380r,l981,380r,l981,398r,l981,398r18,l999,398r,l999,416r,l1017,416r,l1017,416r,18l1017,434r18,l1035,434r,l1035,452r18,l1072,452r18,l1090,452r18,18l1126,470r,l1144,470r,l1144,488r,l1162,488r,l1181,506r,l1199,506r,19l1217,525r,l1217,525r18,l1235,525r,l1253,543r,l1253,543r,l1272,561r,l1272,561r18,l1290,561r36,l1326,561r18,l1344,561r18,l1362,561r19,l1381,561r18,l1399,561r,l1417,561r,l1435,561r,18l1435,579r,l1453,579r,l1453,579xe" fillcolor="#b5ff00" strokeweight=".9pt">
              <v:stroke color2="white pure"/>
              <v:path arrowok="t"/>
            </v:shape>
            <v:shape id="_x0000_s2160" style="position:absolute;left:3941;top:11947;width:629;height:141" coordsize="673,145" o:regroupid="1" path="m673,145r,l673,145r-18,l655,145r,l618,145r,l600,145,582,127r,l582,127r-18,l546,127r,l546,127r-37,l491,127r,l473,127r,l455,127r-18,l437,127r-19,l400,127r,l400,127r-18,l382,127r,l364,127r,l346,127r-18,l328,127r-19,l309,127r,l291,127r,l291,127r-18,l273,127r-18,l255,127r-18,l237,127r-19,l218,127r-18,l200,127r-18,l164,127r-18,l146,127r-37,l109,127r-18,l73,127r,l55,127r-18,l19,127,,127r,l,127r,l,109r,l,91r,18l,109r19,l19,109r,-18l37,91r,l55,109r,-18l55,91r18,l73,73r,l73,73r18,l91,73r,l109,73r,l109,73r,l128,73r,l146,73r,l146,73r18,l164,73r,l182,73r,l200,73r,l200,73r,l218,55r,l218,37r,l218,37r,-19l237,18r,l237,18r,l255,r,18l273,18r,l273,37r18,l291,37r,-19l309,18r,l309,18r,l309,18r109,l437,18r18,l527,18r37,l600,18r,l600,18r,l600,37r-18,l582,37r,l564,37r,18l582,55r,l582,73r,l582,73r18,l600,55r,l600,55r18,l618,55r,l636,55r,l636,73r,l618,73r,l618,73r,l600,73r,18l600,91r,18l618,109r,l618,109r18,l636,109r19,l655,109r,l673,109r,l673,109r,18l673,145xe" fillcolor="#aea5ff" strokeweight=".9pt">
              <v:stroke color2="white pure"/>
              <v:path arrowok="t"/>
            </v:shape>
            <v:shape id="_x0000_s2161" style="position:absolute;left:5606;top:10886;width:1053;height:655" coordsize="1127,670" o:regroupid="1" path="m1127,417r,l1108,435r,l1108,435r,18l1108,453r-18,l1090,453r,l1072,453r,l1072,453r,l1054,453r,l1036,453r,-18l1036,435r-18,l1018,435r-19,l999,453r,l999,453r,18l999,471r,18l999,507r19,l1018,507r,l1018,525r,l1018,525r,l1018,543r,l1018,561r,l1018,561r,l999,561r,l999,561r,19l981,580r,l981,580r,l981,598r-18,l963,598r,l945,616r,l927,616r,l927,616r,-18l927,598r,l909,598r,-18l909,580r,l909,561r,l909,561r-19,l890,561r,-18l872,543r,l872,543r-18,l854,543r,l836,543r,l836,543r,l818,543r,l800,543r,l781,543r,l781,543r-18,l763,525r-18,l745,525r,l745,525r-18,l727,525r-18,l709,507r-18,l691,507r,l691,507r-19,l672,507r,l672,507r-18,l654,507r,l636,525r,l618,543r,l600,543r,l600,561r,l600,561r,l600,580r,l600,580r,18l600,598r,l618,616r,l618,634r,l618,634r,18l618,652r,18l618,670r,l600,652r,l582,652r,l582,652,563,634r,l563,634r,l545,634r,l545,634r,l527,616r,l509,616r,l509,616r-18,l491,598r-18,l473,598r,l454,598r,l454,580r-18,l436,580r-18,l418,580r,l400,580r,l382,580,363,561r-18,l345,561r,l327,561r,l309,561r,l309,561,291,543r,l291,543r-18,l273,543r-19,l236,543r,l218,543r,l218,543r-18,l200,543r-18,l182,543r,18l164,561r,l145,561r,l127,561r-18,l109,561r,19l91,580r,l91,580r-18,l73,580r,l73,580,55,598r-19,l36,598r,l18,616,,616r,l,598r,l,580r,l18,561r,l18,561r,-18l18,543r,l18,525r,l18,525r,-18l36,507r,l36,489r-18,l18,489r,-18l18,471,,471,,453r,l,435r,l18,417r,l18,399r18,l55,399r,l55,399r18,l91,380r18,l127,380r,l145,362r,l164,362r,l164,362r18,l182,344r,l182,344r18,l200,344r,-18l200,326r,l218,326r,l218,308r,l218,308r,l236,308r,-18l236,290r,l254,290r,-18l254,254r,-18l273,236r,-18l273,218r,-19l273,199r,-18l273,181r,-18l273,145r,-18l273,109r,-36l273,73r,-18l273,55r,l273,37r,l291,37r,l291,18r,l291,r,l309,r,l309,r,l327,r,18l327,18r,l327,18r,l345,18r,l345,37r,l363,37r,l382,37r,-19l400,18,400,r,l400,r,l418,r,l418,r18,l436,r,l436,r18,18l454,18r,19l454,37r,18l454,55r,l473,55r,18l473,73r,l491,73r,18l491,91r,l491,91r,18l491,109r,l491,145r,18l491,163r18,l509,163r,-18l509,145r,l527,127r,18l527,163r,l527,181r,l545,199r,l545,199r,l563,199r,l582,199r18,l618,199r,l636,199r18,l654,199r18,l672,218r,l672,218r,l691,218r,18l709,236r,-18l709,218r18,l745,218r18,l763,218r18,l781,218r19,-19l800,199r,-18l800,163r18,l818,145r,l836,145r,l854,127r,18l854,127r18,l872,127r,18l872,145r,18l872,181r,l872,199r,l854,199r,19l836,218r,l836,218r,18l818,236r,18l800,272r,l818,290r,l818,308r,l836,308r,18l836,326r18,l854,344r,l854,362r,l854,362r18,-18l872,362r,l890,362r,18l890,380r,l909,380r18,l945,380r18,-18l963,380r18,-18l981,362r18,l1018,362r,18l1054,399r18,l1072,399r18,18l1090,417r18,l1127,417r,l1127,417r,xe" fillcolor="#b5ff00" strokeweight=".9pt">
              <v:stroke color2="white pure"/>
              <v:path arrowok="t"/>
            </v:shape>
            <v:shape id="_x0000_s2162" style="position:absolute;left:4281;top:10074;width:1495;height:1272" coordsize="1599,1303" o:regroupid="1" path="m1599,850r,19l1526,941r-18,l1490,923r-37,-36l1453,887r-36,l1381,887r-18,l1363,923r-19,108l1344,1231r37,l1381,1231r-18,l1363,1249r,l1363,1249r,18l1344,1267r,l1344,1267r,18l1344,1285r,l1344,1285r-18,l1326,1303r,l1308,1303r,l1308,1303r,l1308,1303r,-18l1290,1285r,l1290,1285r,l1290,1285r,-18l1272,1267r,l1272,1267r,-18l1254,1249r,l1254,1249r-19,l1235,1231r,l1235,1231r-18,l1217,1212r,l1217,1212r,-18l1217,1194r-18,l1199,1176r,l1199,1176r,-18l1199,1158r-18,l1181,1140r,l1181,1140r,-18l1181,1122r-18,l1163,1122r,-18l1163,1104r-18,l1145,1104r,l1126,1104r,l1126,1104r-18,l1108,1104r,l1090,1104r,l1090,1104r,l1072,1104r,-18l1054,1086r,l1054,1086r-18,l1036,1086r-19,l1017,1086r-18,18l999,1104r-18,l981,1104r-36,l945,1104r-18,-18l927,1086r,l908,1068r,l908,1068r,l890,1050r,l890,1050r-18,l872,1050r,l854,1050r,-19l836,1031r,l817,1013r,l799,1013r,l799,995r,l781,995r,l763,995,745,977r,l727,977r-19,l690,977r,-18l690,959r,l672,959r,l672,941r,l672,941r-18,l654,941r,-18l654,923r,l636,923r,l636,923r,-18l636,905r-18,l618,905r,l618,905r-19,l599,905r-18,l581,905r,l563,905r,l563,905r,l527,923r,l527,923r-18,l509,923r,-18l509,905r,l509,905r,-18l509,887r,-18l490,869r,l490,869r-18,l472,869r-18,l454,850r,l454,850r,l436,850r,-18l418,832r,l418,814r-18,l400,814r,-18l400,796r-19,l381,778r,l381,778r-18,l363,778,345,760r,l327,742r,l327,742r,-18l309,724r,-18l309,706r,l291,688r,l291,688,272,669r,l272,669r,l272,651r-18,l254,651r,-18l236,633r,l236,633r,l236,633r,l218,633r,l218,633r,l200,633r,l200,633r,l200,615r-18,l182,615r,l163,615r,l163,597r19,l182,597r,l182,597r-19,l163,597r,-18l163,579r,l163,579r,l145,579r,l127,579r,l145,579r,-18l145,561r,l145,561r-18,l127,543r,l127,543r,l127,543r-18,l109,561r,l109,561r,l91,561r,l91,561r,-18l91,543r,l73,543r-19,l54,543r-18,l36,543r,-18l18,525r,l36,506r,l18,506r,-18l18,488r,l18,470r,l,452r,l,452,,434,,416r,l,416,18,398r,l18,380r,l36,380r,l54,362r,l54,380r19,l73,380r,l91,380r,l91,380r,-18l91,362r18,l109,344r,l109,325r,l109,307r18,l127,289r-18,l109,271r,l109,271r,l109,253r-18,l91,253r,l91,253r,-18l73,235r,l73,217r,l73,199r,l73,181r,l73,163r,-19l73,126r,-18l73,108r18,l91,108r,l91,126r18,l109,126r,l109,126r,l127,126r,l127,144r,l145,144r,l145,144r18,19l163,163r,l182,163r18,l200,163r18,l218,163r18,l236,163r,l236,163r,-19l254,144r,l272,144r,l272,163r,l291,163r,l291,163r18,l309,163r,18l327,181r,l327,181r,18l327,199r18,l345,199r,l345,199r18,18l363,217r18,l381,217r19,l400,217r,l418,217r,l418,217r18,l436,217r,l454,217r,-18l454,199r,l454,199r18,l472,199r,l490,199r,l490,217r,l490,217r,36l490,271r,l490,289r-18,l472,289r,l472,307r,l454,307r,l454,307r,l436,325r,l436,325r,l418,325r,19l418,344r,l400,344r,l400,344r,18l400,362r,l400,380r,18l400,416r,l400,434r,l400,434r,l400,452r18,l418,452r,18l418,470r,18l418,488r,l418,488r,l418,506r18,l436,506r,l454,525r,-19l454,506r18,l472,506r,l472,488r,-18l472,470r,l472,452r,l472,452r18,l490,452r,l509,452r,l527,452r18,l545,452r,l563,452r,l563,452r,l581,434r,l581,434r,-18l581,416r-18,l563,416r,-18l563,380r,l545,380r,l545,380r,-18l545,362r,l545,344r,-19l545,325r,-18l545,307,527,289r,-18l527,271r,-18l545,253r,l545,253r,18l563,271r,l563,271r18,l581,271r,l599,271r,-18l618,253r,l618,253r18,l636,253r,l654,253r,-18l654,235r,l654,217r,l654,217r,l636,217r,l636,217r,l636,199r,l636,199r,l636,181r,l636,181r,-18l636,163r,-19l636,126r,l636,126r-18,l618,126r,l599,126r-18,l581,108r,l563,108r,l563,108r,l545,90r,l545,90r-18,l527,90r,-18l509,72r,l509,72r,l509,54r,l509,54r,l509,54,527,36r,l527,36r,l545,36r,l545,18r,l563,18r,l599,18r,l618,18r18,l654,18r18,l672,r18,l690,r18,l708,r,18l727,18r,l745,18r,l745,18r,18l745,36r,18l763,54r,l763,54r,18l763,72r,l763,90r,l763,108r,18l781,126r,l781,126r,18l781,144r18,l799,163r,l817,163r,l817,163r19,l836,163r,l872,163r18,l908,163r,l927,163r,l945,163r18,l981,163r,-19l981,144r18,l999,144r,l999,126r,l1017,126r,l1017,126r,l1017,108r19,l1036,108r,18l1036,126r18,l1054,126r,18l1054,144r,l1054,163r18,l1072,163r,18l1090,181r,l1090,181r,l1090,199r,l1090,199r,18l1090,217r,l1090,217r,18l1072,235r,18l1072,253r,l1072,253r,18l1072,271r,18l1072,289r,l1072,289r18,l1090,307r,l1072,307r,18l1090,325r,19l1072,344r,l1072,344r,18l1072,362r-18,l1054,362r,18l1054,380r18,l1072,380r18,l1090,398r,l1090,416r,l1090,416r,l1108,416r,l1108,416r,l1126,416r,l1126,398r,l1145,398r,-18l1145,380r,l1145,380r18,-18l1163,362r,l1163,362r18,l1181,344r,l1199,344r,l1199,344r,-19l1217,325r,l1217,325r,l1235,325r,l1235,325r,l1235,344r19,l1254,344r,l1272,344r,l1272,344r,l1290,344r,l1308,344r,-19l1326,325r,l1326,325r,l1326,307r,l1344,307r,l1344,307r19,l1363,307r,l1381,325r,l1381,325r,19l1381,344r,l1381,362r,l1399,344r,l1399,362r,l1417,362r,l1417,380r,l1417,380r,18l1417,398r-18,18l1417,416r,l1417,416r18,l1435,416r,18l1453,434r,l1453,434r,l1453,434r,18l1453,452r,l1453,470r,l1453,470r-18,l1435,470r,18l1417,488r,l1417,488r,l1417,506r-18,l1399,506r,19l1399,525r,l1399,543r18,l1417,543r,l1435,561r,l1453,561r,l1472,561r,l1472,561r18,l1490,561r,l1490,561r18,l1508,561r,l1526,561r,l1526,561r18,l1544,561r18,l1562,561r,l1562,579r,l1562,597r,l1562,597r,18l1562,615r,18l1562,633r,18l1562,651r,l1562,669r-18,l1544,669r-18,l1526,669r,19l1526,688r18,l1544,688r18,l1562,688r,l1562,706r,l1562,706r,l1562,706r,18l1581,724r,l1581,724r,18l1581,742r,l1562,742r,l1562,760r,l1562,760r,18l1544,778r,l1544,778r,l1526,778r,18l1526,796r,l1526,796r,18l1526,814r,l1526,814r18,l1544,814r18,l1562,814r,18l1562,832r-18,l1544,850r,l1562,850r,l1562,850r19,l1581,850r,l1599,832r,l1599,832r,18l1599,850xe" fillcolor="#b5ff00" strokeweight=".9pt">
              <v:stroke color2="white pure"/>
              <v:path arrowok="t"/>
            </v:shape>
            <v:shape id="_x0000_s2163" style="position:absolute;left:3941;top:11434;width:748;height:672" coordsize="800,688" o:regroupid="1" path="m800,580r,l782,580r,18l782,598r18,18l800,616r,18l800,634r-18,l782,634r,l782,652r-18,l764,652r-19,l745,652r,l745,670r,l764,670r,l782,670r,l800,670r,18l800,688r-18,l782,688r,l764,688r,l764,688r,l745,688r,-18l727,670r,l727,670r-18,l709,670r-18,l691,670r-18,l673,652r,-18l673,634r,l655,634r,l655,634r-19,l636,634r,l618,634r,l600,634r,-18l600,616r,-18l618,598r,l636,598r,l636,598r,l636,580r,l636,580r-18,l618,580r-18,l600,580r,l600,598r-18,l582,598r,l582,580r,l564,580r,-18l582,562r,l582,562r18,l600,543r,l600,543r,l564,543r-37,l455,543r-18,l418,543r-109,l309,543r,l309,543r,l291,543r,19l291,562r-18,l273,543r,l255,543r,-18l237,543r,l237,543r,l218,543r,19l218,562r,l218,580r,l200,598r,l200,598r,l182,598r,l164,598r,l164,598r-18,l146,598r,l128,598r,l109,598r,l109,598r,l91,598r,l91,598r-18,l73,598r,l73,616r-18,l55,616r,18l37,616r,l19,616r,18l19,634,,634r,l,616r,l,598r,l,598,,580r,l,580,,562r19,l19,543r,l19,525r,l19,507r,l19,489r,l,489,,471r,l19,453r,l19,435,,435r,l,417r,l,399r,l19,381r,l19,362r,-18l19,344r,l19,344r,-18l19,326r,l19,308r,l19,308r,-18l19,290r,-18l19,272r,-18l19,236r,-18l19,218r,l19,218r,l37,218r,-18l37,200r,l37,181r-18,l19,181r,l19,181r,l19,163r,l,163,,145,,127r,l19,91r,l19,73,,73,,55r,l,55,,37,,19r,l,19,,,19,r,l37,r,l37,,55,r,l55,,73,r,19l73,19r,l73,37r,18l73,73r,l73,73r,18l91,91r,l91,91r,-18l91,73r,l109,55r,l109,55r19,l128,73r,l128,73r,18l128,91r,l128,91r-19,18l109,109r,18l109,145r,l128,163r,l128,163r,l128,181r,l146,181r,19l146,200r,l164,200r,18l164,218r,l164,218r,18l182,236r,l182,236r18,18l200,254r,l200,272r,l218,272r,l218,272r19,l237,272r,l255,272r,l255,272r,-18l273,254r,l273,236r,l273,236r,-18l273,218r18,l291,218r18,l309,218r,l309,236r,l328,236r,l346,236r,l364,236r,l364,236r18,l382,236r18,l400,236r,l400,254r,l418,254r,18l418,272r,l418,290r,l418,290r19,l437,290r,l437,308r,l437,308r,18l437,326r,l437,326r,18l437,344r,l437,362r,l418,381r,l437,381r,l455,399r,l473,399r,l473,399r18,l491,381r18,l509,381r18,l527,381r,l546,381r,-19l546,362r,l564,362r,l564,362r,l564,344r18,l582,344r,l600,344r,l600,344r,18l600,362r,l618,362r,19l618,399r,l618,399r18,l636,399r,l636,399r,l655,399r,l655,399r18,-18l673,381r,18l691,399r,l691,417r,l691,417r,l691,417r18,18l709,435r,-18l745,417r,l745,417r,l764,417r,l782,417r,l782,435r,l782,453r,l782,471r-18,l764,489r,l764,489r-19,l745,489r,18l727,507r,l709,525r,l691,543r,19l691,562r,l709,580r,l727,580r,l745,580r,l764,580r,l764,580r,l782,562r,l782,562r,l800,562r,18l800,580xe" fillcolor="#aea5ff" strokeweight=".9pt">
              <v:stroke color2="white pure"/>
              <v:path arrowok="t"/>
            </v:shape>
            <v:shape id="_x0000_s2164" style="position:absolute;left:4587;top:11523;width:663;height:777" coordsize="709,796" o:regroupid="1" path="m709,90r,l709,109r,l709,109r-19,l690,109r,l690,109r-18,l672,127r,l690,127r,l690,127r,18l690,145r,l690,145r,18l690,163r,l690,163r,18l690,181r,l690,181r-18,l672,199r,l672,199r,18l672,217r-18,l654,217r,18l654,235r,l654,235r,18l654,253r,l654,253r,18l636,271r,19l636,290r,l636,290r-18,l618,308r,l618,326r,l618,326r,18l618,344r,l618,362r-18,l600,362r,18l600,380r,l581,380r,18l581,398r,l581,416r,l581,434r,l563,434r,l563,434r,l545,434r,-18l545,416r,18l545,434r-18,l527,434r,l527,434r-18,l509,434r,l509,416r,l509,416r-19,l490,398r,l490,398r,l509,398r,l509,398r,-18l509,380r,l509,380r,l490,380r,l472,380r,l454,380r,l454,380r-18,l418,362r-18,l381,362r,l381,380r,l363,380r,18l363,398r,l363,398r,l363,416r,l345,416r,18l345,434r,l345,434r-18,l327,452r,l327,452r,19l327,471r,l327,489r,l345,507r,l345,507r,l345,525r,l327,543r,l327,543r,18l327,561r,l327,579r-18,l309,579r,l309,579r,l291,579r,18l291,597r-19,18l272,615r,l291,633r,l291,633r18,19l309,652r18,l327,670r,l327,670r,l327,688r-18,l309,688r,18l309,706r,18l309,724r-18,l291,724r,18l291,742r-19,l272,760r,l272,778r-18,18l254,796r,-18l254,778r,l254,760r-18,l236,742r,l236,742,218,724r,l218,724r,-18l200,706r-18,l182,688r,l163,670r,l145,670r,l145,670r,-18l145,652r-18,l127,652r,l109,633r,l109,633,91,615r,l91,615r,-18l91,597r,l109,597r,l109,579r-18,l91,579r-18,l73,579r-19,l54,579r,-18l54,561r,l73,561r,l91,561r,-18l91,543r,l109,543r,l109,525r,l91,507r,l91,489r18,l109,489r,l109,471r-18,l91,471r,l91,471,73,489r,l73,489r,l54,489r,l36,489r,l18,489r,l,471r,l,471,,452,18,434r,l36,416r,l36,416,54,398r,l73,398r,l73,398r,-18l91,380r,-18l91,362r,-18l91,344r,-18l91,326r,-18l109,290r,l109,290r,-19l109,271r18,l127,253r18,l145,253r,l145,235r18,l163,235r,l182,235r,l182,235r18,l200,235r,-18l200,217r,l200,199r,l200,199r,-18l200,181r,l218,181r,l218,163r18,l236,163r,18l236,163r18,l254,163r,l254,145r,l272,145r,l291,145r,l309,127r,l309,145r18,l327,145r,l345,145r18,l363,145r18,l400,145r18,l418,145r,18l418,181r,l418,199r18,l436,199r,l454,199r,l472,199r18,l490,181r,l509,163r,l509,145r,-18l527,127r,-18l527,109r,l527,90r,l527,90r,l527,72,545,36r18,l581,36r19,l600,18r,l600,18,600,r18,l618,r18,l654,r,l672,r,l672,r,18l672,18r,l672,36r,l672,36r,18l672,54r18,l690,72r,l690,72r19,l709,90r,xe" fillcolor="#aea5ff" strokeweight=".9pt">
              <v:stroke color2="white pure"/>
              <v:path arrowok="t"/>
            </v:shape>
            <v:shape id="_x0000_s2165" style="position:absolute;left:4452;top:11399;width:407;height:460" coordsize="436,471" o:regroupid="1" path="m436,36r,l436,36r,19l417,55r,l417,55,399,73r,l399,73r,l381,91r,l381,109r,l381,109r,18l381,127r,18l381,145r,18l381,163r,l381,181r,l381,199r,18l381,217r,19l381,236r,l381,254r,l399,254r,18l399,272r,l399,290r,l399,290r-18,l381,290r,l381,290r-18,l363,290r,l345,290r,18l345,308r,l345,308r,18l345,344r,l345,344r,18l345,362r-18,l327,362r,l308,362r,l308,362r-18,l290,380r,l290,380r-18,l272,398r-18,l254,398r,19l254,417r,l236,435r,18l236,453r,l218,453r,l199,453r,l181,453r,l163,453r,18l163,471,145,453r,l145,453r,l145,453r,-18l145,435,127,417r,l127,417r-18,l109,417r,18l90,435r,l90,435r-18,l72,435r,l72,417r,l72,417r,-19l54,398r,l54,398r,-18l72,380r,l54,362r,l54,362r,-18l54,344r,-18l54,326,36,308r18,l54,308,36,290r,l36,272r,l54,272r,l54,254r,l54,254r,-18l54,236r,l54,236r-18,l36,217r,l36,217r,-18l18,199r,-18l18,181r,l,181r,l,163r,l18,163r,l18,163r,-18l18,145r,l18,127r,l18,127r,-18l18,91r18,l36,109r,l54,109r,l54,109r18,l72,109r,-18l72,91r,l72,73r,l72,73r18,l90,73r,-18l109,55r,l109,55r18,l127,55r,18l127,55r,18l145,73r,l145,73r,18l145,109r,l163,91r,l163,91r,l181,73r,l181,73r,-18l199,55r,l218,55r,l218,55r,l236,36r,l236,18r,l236,18r,l254,18r,l254,18r18,l272,18r,l290,18r,l290,18r,l308,18r19,l327,18r,l327,18,345,r,l345,r18,18l363,r,l381,r,l381,r18,l399,r,l399,r,18l417,18r,l417,18r,l417,18r19,l436,18r,18xe" fillcolor="#aea5ff" strokeweight=".9pt">
              <v:stroke color2="white pure"/>
              <v:path arrowok="t"/>
            </v:shape>
            <v:shape id="_x0000_s2166" style="position:absolute;left:3941;top:10958;width:731;height:848" coordsize="782,869" o:regroupid="1" path="m782,470r,l782,470r,18l782,488r-18,19l764,507r,l764,507r-19,l745,507r-18,l727,525r,l727,543r-18,l709,543r,l709,543r-18,18l691,561r,-18l691,543r,-18l691,525r-18,l673,507r,18l673,507r,l655,507r,l655,507r-19,l636,525r,l618,525r,18l618,543r,l618,543r,l618,561r,l600,561r,l600,561r-18,l582,561r,-18l564,543r,18l564,579r,l564,579r,18l564,597r,l564,615r,l564,615r-18,l546,615r,18l546,633r18,l564,651r,l564,651r18,l582,669r,l582,669r,19l600,688r,l600,688r,l600,706r,l600,706r,18l600,724r-18,l582,724r,18l582,742r18,18l600,760r-18,18l600,778r,l600,796r,l600,814r,l600,814r18,18l618,832r-18,l600,850r,-18l600,832r,l582,832r,l582,832r-18,l564,850r,l564,850r,l546,850r,l546,850r,19l527,869r,l509,869r,l509,869r-18,l491,869r-18,l473,869r,l455,869r,l437,869r,l418,869r,l437,850r,l437,832r,l437,832r,-18l437,814r,l437,814r,-18l437,796r,l437,778r,l437,778r-19,l418,778r,l418,760r,l400,760r,-18l400,742r,l400,724r,l400,724r-18,l382,724r-18,l364,724r,l346,724r,l328,724r,l309,724r,l309,706r,l309,706r-18,l291,706r-18,l273,706r,18l273,724r,l273,742r,l255,742r,l255,742r,18l237,760r,l237,760r-19,l218,760r,l200,742r,l200,742r,l200,742,182,724r,l182,724r-18,l164,706r,l164,706r,l164,688r-18,l146,688r,l146,669r-18,l128,669r,-18l128,651r,l128,651,109,633r,l109,615r,-18l109,597r19,-18l128,579r,l128,579r,-18l128,561r,l128,543r-19,l109,543r,l91,561r,l91,561r,18l91,579r,l73,579r,-18l73,561r,l73,543r,-18l73,507r,l73,507r,-19l55,488r,l55,488r-18,l37,488r,l19,488r,l,488r,l,470r,l,452,19,434r,-18l19,398r,-18l19,380r,l,362r,l,344r,l,326r,l,326,,307,,289r19,l19,289r,-18l19,271r,-18l19,253r18,l37,253r,-18l37,235r18,l55,235r18,l73,235r,l91,235r,l91,235r,l91,217r18,l109,217r,l109,217r,l128,199r,l128,199r,-18l146,181r,l146,181r,l164,181r,-18l164,163r,l182,163r,l200,163r,l200,163r18,l218,163r,l237,163r,l237,163r,l255,163r,-18l255,145r18,l273,145r,l291,145r18,l309,126r,l309,126r19,l328,126r,-18l346,108r,l364,108r18,l382,90r18,l400,90r,l400,90r18,l418,72r19,l437,72r,-18l437,54r,l437,54r,-18l437,36r18,l455,36,437,18r18,l455,18r,l455,18,455,r18,l473,r,l491,r,l491,r18,l509,r,l527,18r,l546,18r,l546,36r,l546,36r,l546,54r,l546,54r18,l564,54r,l564,72r18,l582,90r,l582,90r18,l600,90r,l600,90r,18l618,108r,l618,108,636,90r,l655,90r,l655,72r,l655,72r18,l673,72r,l691,72r,18l691,90r,l691,90r-18,18l673,108r-18,l655,108r,l655,126r-19,l636,126r,l636,145r-18,l618,145r,18l618,163r,l618,163r,18l618,181r,18l618,199r,l618,217r,l618,217r,18l636,235r,l636,253r,l655,253r,l655,271r,l655,271r,l673,271r,18l673,289r,l673,307r,l673,326r18,l691,326r,18l691,344r,l691,344r18,18l709,362r,l709,362r18,18l727,380r,l745,398r,l764,398r,18l764,416r,18l764,434r,l764,452r,l782,452r,18l782,470r,xe" fillcolor="#aea5ff" strokeweight=".9pt">
              <v:stroke color2="white pure"/>
              <v:path arrowok="t"/>
            </v:shape>
            <v:shape id="_x0000_s2167" style="position:absolute;left:6098;top:10480;width:951;height:813" coordsize="1018,833" o:regroupid="1" path="m1018,597r,l1018,597r,l1018,615r-19,l999,615r,l981,615r-18,l945,615r,l945,615r-18,l927,634r,l927,634r-18,l909,634r,l890,652r,l890,652r,l890,652r-18,l872,670r,l854,688r,l854,688r-18,18l836,706r-18,l818,724r,l818,724r-19,l799,742r,l799,742r,l781,742r,18l781,760r,l763,760r,l763,760r,l745,778r,l745,778r-18,l727,778r,l727,796r-18,l709,796r,l709,815r-19,l690,815r,l690,815r,l672,815r,18l672,833r-18,l654,833r,l654,833r-18,l636,833r-18,l618,833r,l600,833r,l600,833r-19,l563,833r,l545,815r,l527,815,491,796r,-18l472,778r-18,l454,778r-18,18l436,778r-18,18l400,796r-18,l363,796r,l363,796r,-18l345,778r,l345,760r-18,18l327,778r,l327,760r,l327,742r-18,l309,742r,-18l291,724r,l291,706r,l273,688r,l291,670r,-18l309,652r,-18l309,634r,l327,634r,-19l345,615r,l345,597r,l345,579r,-18l345,561r,-18l345,543r-18,l327,561r,-18l309,561r,l291,561r,l291,579r-18,l273,597r,18l273,615r-19,19l254,634r-18,l236,634r-18,l200,634r-18,l182,634r,18l164,652r,-18l145,634r,l145,634r,l145,615r-18,l127,615r-18,l91,615r,l73,615r-18,l36,615r,l18,615r,l18,615r,l,597r,l,579r,l,561,,543r,l,543r,l,525r18,l18,525r,l18,525r18,l36,525r,l55,525r18,l73,525r,l73,525r,18l91,543r,l91,543r,l91,561r,l91,561r18,18l109,579r,l127,579r,l145,579r,l145,579r19,-18l164,561r,-18l164,543r,l164,525r,l164,525r18,l182,507r,l182,507r,l182,489r18,l200,489r,l200,471r,l200,471r,-18l218,453r,l218,453r,-19l200,434r,-18l200,416r,l182,416,164,398r,l164,398r,-18l145,380r,l145,380r,-18l145,344r,l145,344r,l164,326r,-18l164,308r,l164,290r,l164,290r,l164,272r,l164,272r,-19l164,253r,-18l164,217r18,l182,199r,l182,181r,l200,181r,-18l200,163r,l200,145r,l200,145r,-36l200,109r,l200,109r,-19l200,90r,-18l218,72r,l218,72r,l218,72r,-18l236,54r,l236,54r,l236,36r,l236,18r,l236,18,236,r,l254,r,18l254,18r19,l273,18r,l291,18r,l309,18r,l309,18r,18l309,36r,18l309,54r,l309,72r,l327,72r,18l327,90r,19l327,109r,18l327,127r,18l327,163r,l327,163r,l345,163r,l345,163r,l363,145r,l363,145r19,l382,145r18,18l400,163r18,l418,163r,18l418,181r,l418,199r,l418,199r,18l418,217r,18l418,235r,l418,235r,18l400,253r,l400,272r18,l418,272r,l418,290r18,l436,290r,l436,290r18,l454,308r,l454,308r,l472,326r,l472,326r,18l491,344r,l527,362r18,l545,362r18,l563,362r18,l600,344r18,l636,344r,l636,344r18,l654,326r,-18l672,308r,l690,290r,l709,290r,l709,290r,-18l690,272r,l690,272r,l690,272r,-19l672,253r,l672,253r18,l690,235r,l690,235r19,l709,235r,l727,253r,l745,253r,l745,253r18,l781,253r,l781,272r18,l799,272r,l799,272r,l818,272r,18l818,290r,l836,290r,l872,290r,18l872,308r18,l890,308r,l909,308r,18l909,326r,l927,326r,18l927,344r18,l945,344r18,18l963,362r,l981,380r,l999,380r,l981,398r,l981,398r,18l981,416r,l981,434r,l981,453r,18l981,489r,l999,507r,18l999,543r,l999,543r19,l1018,561r,l1018,579r,l1018,579r,18xe" fillcolor="#b5ff00" strokeweight=".9pt">
              <v:stroke color2="white pure"/>
              <v:path arrowok="t"/>
            </v:shape>
            <v:shape id="_x0000_s2168" style="position:absolute;left:5368;top:12336;width:493;height:583" coordsize="527,597" o:regroupid="1" path="m527,543r,l508,543r,l508,543r-18,l472,543r-18,18l454,561r-18,l436,561r,l418,561r,l418,561r,l418,561r-19,l399,579r,l399,579r,l381,579r,l363,579r,l345,579r,l345,579r,-18l345,561r,l345,543r,l345,543r,l327,543r,l327,543r,l309,561r,l290,561r,l290,561r,18l290,579r,l272,579r,l254,579r,l254,579r,l236,579r,l236,579r-18,l218,579r,l218,579r-18,l200,579r-19,l163,579r,18l145,597r-18,l127,597r,l109,597r,l109,597r-18,l91,597r-37,l54,597r,l54,597r,-18l36,579r,l54,561r,l54,543r,l54,524r,l72,506r,l72,506r,-18l72,488r-18,l54,470r,l54,470r,l72,452r,l91,434r,l91,434r,-18l72,434r-18,l54,434r-18,l36,434r-18,l18,434r,-18l18,416r,-18l,398r,l,380r,l18,362r,l18,343r,l18,343r,l18,325r,l18,307r,l18,307r,-18l36,271,54,253r,l54,253r,-18l72,253r,l91,235r,l91,235r,-18l72,217r,l72,199r,l72,199r,-18l72,181r19,l91,162r,l72,162r,l54,162r,-18l54,144r,l72,126r,l72,108r,l72,90r,-18l91,72r,l91,54,109,36r,l91,18r18,l109,r18,18l145,36r,18l127,54r,l127,72r,l127,72r,18l127,90r,l127,108r,l109,108r,18l109,126r18,l127,126r18,l145,126r18,l163,126r18,l181,126r,18l163,144r,l163,162r,l163,181r,l163,181r-18,l145,199r18,l163,199r18,l181,199r,18l181,217r,l200,217r,18l200,235r,l218,235r18,l236,235r18,l254,235r18,l272,235r18,l290,235r,l309,235r,l309,235r18,l327,235r,l345,235r,l363,235r,l363,235r18,18l381,253r,l381,253r,36l381,289r,18l381,307r,l363,325r,l363,325r-18,l345,325r,18l345,343r,l345,343r,19l345,362r,l345,362r,18l345,380r18,l363,380r,l381,380r18,l399,380r19,l418,380r,l436,380r,l454,380r,l454,380r18,l472,380r,l472,398r18,l490,398r,l508,416r,18l508,434r,l508,452r,l508,452r,18l508,470r,18l508,488r,l508,506r,l508,506r,l508,524r19,l527,543r,l527,543xe" fillcolor="#7a8a34" strokeweight=".9pt">
              <v:stroke color2="white pure"/>
              <v:path arrowok="t"/>
            </v:shape>
            <v:shape id="_x0000_s2169" style="position:absolute;left:4519;top:9048;width:1053;height:760" coordsize="1127,778" o:regroupid="1" path="m1109,344r,18l1090,362r-18,l1054,362r,18l1054,380r,18l1054,416r,l1054,434r-18,l1018,452r,l1000,452r,-18l981,434r,-18l963,416r,l945,416r,l927,416r,l927,416r,-18l927,398r-18,18l909,416r,-18l909,398,891,380r-19,l872,380r-18,l854,380r-18,l836,380r-18,l800,398r,18l800,434r-18,18l782,452r,l763,452r-18,18l727,470r-18,l709,470r-18,l673,489r-19,l654,489r-18,l636,507r-18,l600,525r-18,18l563,543r,18l545,561r,18l563,597r,18l563,633r,18l563,651r,19l563,670r,l545,670r-18,l527,670r-18,l491,670r-18,l473,670r-19,l436,688r,l418,688r-18,l400,688r-18,l364,688r-19,18l327,706r,l309,706r-18,l291,706r-18,18l255,724r,18l236,760r-18,l218,760r-18,18l200,778r,l182,778r,l182,778r-18,l164,760r,-18l164,724r,-18l164,688r,-18l164,651r,l182,633r,-18l200,615r,l218,597r18,18l255,615r,l255,615r,l255,597r18,l273,579,255,561r,-18l255,525r,l255,525r,-18l255,507r,-18l255,470r,l255,452r,-18l255,434r,-18l236,416r,l236,398r,l236,380r19,l255,380r,-18l255,362r,-18l255,344r,l273,326r,l255,326r,l255,308r,l255,308r,18l236,326r,l218,326r,18l218,344r,l218,344r-18,l200,344r-18,l182,326r,l164,326r,l146,326r,l127,326r,l109,308r,l109,308r,-19l91,289r,l91,289r-18,l73,271r,l73,271r,l73,271r-18,l55,271r,l37,271r,l18,271r,l,271r,l,253r,l,253,,235,,217r,l,199r,l,199r,l,181r,l18,181r,-18l18,163r19,l37,163,55,145r,l55,145r18,l73,127r,l73,127r,l91,127r,-19l91,108r,l109,108r,-18l109,90r18,l127,90r,l146,90r,l164,90,182,72r,l200,72r18,l218,72r18,l255,54r,l273,54r,l273,54r18,l291,54r18,l309,54r18,l327,54r,18l345,72r,l345,72r19,l382,72r,l400,72r,l418,54r18,l436,54r,18l454,72r,l454,72r,-18l473,54r,l473,54,491,36r,l491,36r,l491,36r,-18l509,18r,l509,18,509,r18,l527,r18,l563,r,l582,r,l600,r,18l618,18r,l618,18r,l636,18r,l636,18r,18l654,36r,l654,36r,l673,36r,l673,36r,l673,54r18,l709,54r,l727,54r,18l727,72r18,l745,72r,l763,72r,l763,90r19,l782,90r,l800,90r,18l818,108r,l836,108r,l854,108r,l872,108r,l891,108r,l891,108r18,l909,108r,l909,108r18,l927,127r,l945,127r,l945,127r18,18l963,145r,l963,145r18,l981,163r,l981,181r19,l1000,181r,l1000,199r,l1018,217r,l1018,217r,l1036,235r,l1036,235r,l1036,253r18,l1054,253r,l1054,253r,18l1072,271r,l1072,289r,l1090,326r19,l1109,326r18,18l1109,344xe" fillcolor="#cd3333" strokeweight=".9pt">
              <v:stroke color2="white pure"/>
              <v:path arrowok="t"/>
            </v:shape>
            <v:shape id="_x0000_s2170" style="position:absolute;left:6455;top:10798;width:1069;height:1238" coordsize="1144,1267" o:regroupid="1" path="m1144,905r,l1144,905r,18l1126,923r,18l1126,941r,18l1126,959r,l1126,977r18,l1144,977r,18l1144,995r,l1144,1013r,l1144,1013r,l1144,1032r-18,l1108,1032r,l1090,1032r,l1072,1032r,l1072,1050r,l1053,1050r,18l1053,1068r,l1053,1086r,l1053,1086r,18l1035,1104r,l1035,1104r,l1035,1122r,l1035,1140r,18l1035,1176r,l1035,1176r,l1035,1194r-18,l1017,1194r,19l1017,1213r,l1017,1231r-18,l999,1231r,l999,1231r,18l981,1249r,l981,1249r,l963,1249r,l963,1267r,l944,1267r,l944,1267r-18,l926,1267r,l908,1267r,l890,1267r,l890,1267r,-18l890,1249r,18l872,1267r,l854,1267r,l854,1267r,l835,1267r,-18l835,1249r,l835,1231r,l835,1213r,l835,1194r,l817,1194r,l799,1194r,l799,1194r-18,l781,1194r,l763,1194r,l763,1176r,l763,1176r-18,-18l745,1158r,-18l745,1140r,l726,1140r,l726,1140r,-18l726,1122r,l726,1104r,l726,1104r,-18l708,1086r,l708,1086r-18,l690,1086r,l690,1086r-18,-18l672,1068r-18,l654,1050r,l636,1050r,l636,1050r,-18l617,1032r,l617,1032r,-19l617,1013r,l617,1013r,l617,1013r,19l617,1032r-18,18l599,1050r,18l599,1068r,18l599,1086r-18,l581,1086r,18l581,1104r,l581,1104r,l563,1104r-18,l527,1104r,l508,1104r,l490,1104r-18,l454,1104r-18,l436,1104r,l436,1104r,-18l436,1086r,l436,1068r,l436,1050r-19,l417,1068r,l399,1068r,18l399,1086r,l399,1086r-18,18l381,1104r,l381,1104r,l381,1122r-18,l363,1122r,l345,1140r,l345,1140r,l327,1158r,l327,1176r-19,-18l308,1158r,l290,1158r,l290,1158r,l272,1158r,18l272,1176r,l272,1194r,l272,1194r,19l272,1213r-18,18l254,1231r,18l254,1249r,18l254,1267r,l236,1267r,l218,1267r,l218,1249r,l218,1231r18,-18l236,1213r,-37l236,1176r,-18l236,1158r,-18l218,1122r,l236,1122r,-18l236,1104r,l254,1104r,-18l254,1086r,l254,1068r,l254,1068r,-18l254,1050r18,-18l272,1032r,l272,1032r,l272,1013r18,l290,1013r,l308,1013r,l308,995r,l308,995r,-36l327,941r,-18l327,905r,-18l327,887r,-18l327,869r,l327,851r,l327,851,308,832r,l308,832r,l308,814r-18,l290,796r,l272,778r,l254,778r,-18l236,760r,l236,760r,-18l218,742r,l218,742r,l199,724r,l199,724r,l181,724r,l181,724r-18,l145,724r,l109,724r,l72,724r,18l72,742r,l54,742r,l54,742r,l54,742,36,760r,l36,760r-18,l18,760,,760r,l,742r18,l18,742r,-18l18,724r,l18,706r,l18,688r18,l36,706r,l36,688r18,l54,688r,l72,688r,-18l72,670r,l72,670r18,l90,651r,l90,651r19,l109,651r,l109,651r,-18l109,633r,-18l109,615r,l109,615r,-18l109,597r,l90,597r,-18l90,561r,l90,543r,l90,543r,-18l109,525r,l127,525r,l145,543r,l145,543r18,l163,543r,l163,543r18,l181,543r,l199,543r,l199,525r,l199,525r19,-18l218,507r,l236,507r,l236,507r18,l254,507r18,l272,507r,l272,507r18,l290,507r,-18l308,489r,l308,489r,l308,489r19,l327,470r,l327,470r18,l345,452r,l345,452r18,l363,452r,l381,434r,l381,434r,l399,434r,l399,434r,-18l417,416r,l417,416r,l417,398r19,l436,398r,l436,380r18,l454,380r18,-18l472,362r,l472,344r18,l490,326r18,l508,326r,l508,326r,l527,308r,l527,308r18,l545,308r,l545,289r18,l563,289r,l581,289r18,l617,289r,l617,289r19,l636,271r,l636,271r,l636,253r,l636,253r,-18l636,235r,-18l617,217r,l617,217r,-18l617,181,599,163r,l599,145r,-18l599,108r,l599,90r,l599,90r,-18l599,72r,l617,54r,l636,54r,l636,54r18,l654,36r18,l672,36r,l672,36r18,l690,36r,l690,18r18,l708,18r18,l726,18,726,r,l745,r18,l763,r,l781,r,l799,18r18,l835,18r19,l872,18r,l890,18r,l890,18r18,18l908,36r18,l926,36r,l926,18r18,l963,36r,l963,36r18,l981,54r,l981,72r,l999,72r,18l999,90r18,l1017,90r,l1035,90r,18l1035,108r,l1035,108r,l1053,108r,19l1053,127r,l1072,145r,l1072,145r,18l1072,163r,18l1072,199r,l1072,199r,18l1072,217r,l1090,217r,18l1090,235r,l1108,253r,l1108,253r18,18l1126,271r,l1126,271r18,l1144,289r,l1144,289r,19l1144,308r,l1126,326r,l1126,344r-18,l1108,344r,18l1108,362r,18l1108,380r,18l1090,398r,18l1090,434r,l1090,452r,l1090,452r,l1090,452r,18l1072,470r,19l1072,489r-19,l1053,489r-18,l1035,489r,18l1017,507r,l1017,507r,18l1017,525r,l999,525r,18l999,543r,l999,543r,18l981,561r,l981,561r,l981,579r,l963,597r,l963,597r,18l944,615r,l944,615r-18,18l926,633r,l926,633r,l926,651r18,l944,651r,l963,670r,l963,670r,18l963,688r18,18l981,724r,l999,724r,l999,724r18,l1017,706r,l1017,688r,l1017,688r,l1035,688r,l1035,688r18,l1053,688r,l1072,706r,l1072,724r,l1090,724r,18l1090,742r18,l1108,742r,l1108,760r,l1126,760r,18l1126,778r,18l1126,796r,l1126,814r,18l1126,851r,l1126,869r,l1144,887r,l1144,887r,l1144,905r,l1144,905xe" fillcolor="#eec900" strokeweight=".9pt">
              <v:stroke color2="white pure"/>
              <v:path arrowok="t"/>
            </v:shape>
            <v:shape id="_x0000_s2171" style="position:absolute;left:6624;top:9260;width:1104;height:1131" coordsize="1181,1158" o:regroupid="1" path="m1181,308r,l1181,308r,l1181,326r,l1163,326r,l1163,344r,l1163,344r,18l1145,362r,l1145,362r,l1145,362r-18,18l1127,380r,l1109,380r,l1090,398r,l1090,398r,18l1109,416r,l1109,416r,18l1109,453r18,l1127,471r,l1127,471r-18,36l1109,525r,l1109,525r-19,18l1090,561r,18l1090,597r,l1090,615r,19l1090,634r,18l1090,652r,18l1090,670r,l1072,670r,l1072,670r,18l1072,688r,l1072,706r,l1072,706r,18l1090,724r,l1090,724r19,l1109,742r18,l1127,760r,18l1127,778r,l1127,778r,l1127,796r-18,l1109,796r,l1109,796r-19,l1090,815r,l1090,815r,l1072,833r,l1072,833r,18l1072,851r,l1072,851r-18,18l1054,869r,l1054,869r,18l1036,887r,l1036,887r,l1036,905r,18l1036,923r18,18l1054,941r,l1054,959r-18,l1036,959r,l1036,977r-18,l1018,977r,19l1000,996r,l1000,996r-19,l981,996r,18l981,1014r-18,l963,1014r,l945,1014r,l945,1014r-18,18l927,1032r-18,l909,1032r,l909,1032r-18,l891,1032r,18l891,1050r,l872,1068r,18l872,1086r,l872,1104r,l872,1122r,l872,1140r,l872,1140r-18,l854,1158r,l854,1158r-18,l836,1158r,l836,1158r-18,l818,1158r,l818,1140r,l818,1140r,-18l818,1104r,-18l818,1068r,l818,1050r,l818,1032r,l800,1032r,-18l800,1014r,l800,996r-18,l782,977r-19,l763,977r,l745,959r,l745,959r,-18l727,941r,l727,923r,l727,923r,-18l727,905r-18,l709,905r,l709,905r-18,l673,887r,l654,887r,l654,887,636,869r,l618,869r-18,l600,869r,l582,869r,l564,887r,-18l564,869r,l545,869r,l527,851r,l527,851r,-18l545,833r,l545,815r19,l564,815r,l564,815r,-19l564,796r,-18l564,778r,l564,760r,-18l564,742,545,724r,-18l545,706r-18,l527,688r,l527,688r,-18l527,670r-18,l509,652r,l509,652r,-18l509,634r,-19l509,615r,l509,615r,-18l491,597r,-18l491,579r,-18l491,561r,-18l491,543r,-18l491,525r,l491,525r,-18l491,507r-18,l473,489r,l473,471r,l473,453r,l473,434r,-18l473,416r,l473,398r,l473,398,455,380r,l455,380r-19,l436,362r,l418,362r,l418,344r,l418,308r,l400,272r,l400,253r,l400,253r,-18l382,235r-18,l364,235r-18,l346,235r,l346,235r-19,l327,235r,l309,235r,l309,235r-18,l291,235r,l291,235r,l273,217r,l273,217r,-18l273,181r,-18l273,163r,l273,145r-18,l255,145r,l236,145r,l236,163r-18,l218,163r-18,l200,163r,l182,163r-18,l164,181r,l164,181r,l146,181r,18l146,199r,l146,199r,l127,217r,l127,235r,l109,235r,l109,235r-18,l91,235r,l73,235r-18,l55,235r,l37,253r,-18l37,235r,l,235r18,l18,235r19,l37,217r,l55,217r,l55,199r,l55,199r18,l91,181r,l91,181r,-18l91,163r,l109,145r,l109,145r18,-18l146,109r,l146,109,164,91r,l164,91r,l182,72r,l200,72r,l200,54r18,l236,54r,l255,54r,l273,36r,l273,36r18,l291,36r18,l327,36r19,l346,36r18,l364,36,382,18r18,l400,18r18,l418,18r,l436,r,l455,r,l473,r,l473,r36,l509,r,l545,r,l564,r18,l600,r,l600,r18,l618,r18,l636,r,l654,r19,l691,r,l691,r18,l709,r18,l727,r,l727,r18,l745,r18,l763,r19,l782,r18,l800,18r18,l818,18r,l818,18r18,l836,18r,l836,18r18,l854,36r,l872,36r19,l891,36r,l909,36r,l927,36r,18l927,54r,l945,54r,l945,54r,l963,54r,18l963,72r,l981,72r,19l981,91r,l1000,91r,l1000,91r18,l1018,109r,l1036,109r,l1036,109r,l1036,109r18,l1054,109r,l1072,109r,l1090,109r,l1109,109r18,l1127,109r18,l1145,109r18,l1163,127r,l1163,145r,18l1163,163r-18,18l1145,199r,l1145,199r,18l1145,217r,l1145,235r,l1163,235r,l1163,235r,18l1163,253r,l1181,253r,19l1181,272r,l1181,290r,l1181,308xe" fillcolor="#eec900" strokeweight=".9pt">
              <v:stroke color2="white pure"/>
              <v:path arrowok="t"/>
            </v:shape>
            <v:shape id="_x0000_s2172" style="position:absolute;left:4638;top:9384;width:1070;height:902" coordsize="1145,923" o:regroupid="1" path="m1145,488r,l1145,488r,19l1127,488r,l1127,488r,19l1109,507r,l1109,507r,18l1109,525r,l1091,543r,l1072,543r,l1072,543r-18,l1054,543r,l1036,543r-18,l1018,543r,18l1018,561r,l1018,561r,18l1018,579r,l1000,597r,l1000,597r,18l1000,615r,l1000,633r,l1018,633r,18l1018,651r,l1018,651r,18l1018,669r,l1018,688r,l1018,688r,l1018,706r,l1018,724r-18,l1000,724r,l1000,742r-18,l982,742r,l982,742r-19,l963,760r,l963,760r,l963,778r,l963,778r,18l945,796r,l945,814r,l945,814r,18l927,832r,l927,832r-18,l909,850r,l909,850r-18,l891,850r-18,l873,850r-19,l854,850r,l836,850r,l818,850r,l800,850r,l782,850r,19l764,869r,18l764,887r-19,l745,887r,18l745,905r,18l727,923r,l709,923r,l709,905r,l709,905r,-18l709,887r,l709,887r-18,l691,869r,l673,850r,l673,850r,l673,832r,l655,832r,l655,814r,l655,796r,l655,796r,-18l655,778r,-18l655,742r,l636,742r,-18l636,724r,l636,724r,-18l636,706r-18,l618,706r,l618,706r-18,l600,706r,-18l600,688r,l600,688r,-19l600,669r,l600,651r,l600,615r,l600,615r,l582,615r,-18l582,597r,l564,597r,l564,597r,l546,597r,l546,597r-19,l527,597r,l509,597r,l509,597r,l491,597r,l491,597r-18,l473,597r-18,l455,597r,l436,615r,-18l436,597r,l418,597r,-18l418,579r-18,l400,579r,l400,579r-18,l382,579r,l382,561r,l382,561r-18,l364,543r,l364,561r-18,l346,561r-19,l327,561r,l309,561r,l309,561r,l309,561r,l309,561r,18l291,579r,l291,579r-18,l273,579r,l255,579r,l255,561r-18,l218,561r,l200,579r,l200,579r,-18l200,561r-18,l182,561r,l182,561r-18,l164,561r,l164,561r-18,l146,561r,l146,579r-18,l128,579r,l128,579r-19,l109,579r-18,l91,579r,l91,597r-18,l73,597r,l55,597r,18l55,615r,l55,615,37,633r,-18l37,615r,l19,615r,l,615,,597,,579r19,l19,561r,-18l19,525,37,488r,l37,470r,-18l37,434r,l55,434r,l55,434r18,l73,434r,l91,416r,l109,416r19,-18l128,380r18,l164,362r,l182,362r18,l200,362r18,l237,344r18,l273,344r,l291,344r18,l309,344r18,-18l346,326r,l364,326r18,l400,326r,l418,326r18,l436,326r,l436,307r,l436,289r,-18l436,253,418,235r,-18l436,217r,-18l455,199r18,-18l491,163r18,l509,145r18,l527,145r19,l564,126r,l582,126r18,l618,126r18,-18l655,108r,l655,108,673,90r,-18l673,54,691,36r18,l709,36r18,l727,36r18,l745,36r19,l782,54r,l782,72r,l800,54r,l800,72r,l800,72r18,l818,72r18,l836,72r18,l854,90r19,l873,108r18,l891,108,909,90r18,l927,72r,l927,54r,-18l927,36r,-18l945,18r18,l982,18,982,r18,l1000,18r18,l1018,18r,l1036,18r,18l1036,36r18,l1054,36r18,l1072,54r,18l1072,90r,l1072,108r,l1072,108r,18l1072,163r,l1072,163r,18l1072,181r,18l1072,199r19,18l1091,235r,l1091,235r,18l1091,253r,18l1091,271r,18l1091,289r,l1091,307r18,l1109,326r,l1109,344r,l1109,344r,18l1109,362r,l1127,380r,l1127,380r,18l1127,398r,l1109,416r,l1109,416r,18l1109,434r,l1109,434r,18l1109,452r18,l1127,452r,l1127,452r,18l1145,470r,l1145,488r,xe" fillcolor="#cd3333" strokeweight=".9pt">
              <v:stroke color2="white pure"/>
              <v:path arrowok="t"/>
            </v:shape>
            <v:rect id="_x0000_s2173" style="position:absolute;left:4961;top:10639;width:84;height:107" o:regroupid="1" filled="f" stroked="f"/>
            <v:rect id="_x0000_s2174" style="position:absolute;left:4961;top:10639;width:119;height:124" o:regroupid="1" filled="f" stroked="f">
              <v:textbox style="mso-next-textbox:#_x0000_s2174;mso-rotate-with-shape:t" inset="0,0,0,0">
                <w:txbxContent>
                  <w:p w:rsidR="00000000" w:rsidRDefault="00000000">
                    <w:r>
                      <w:rPr>
                        <w:rFonts w:ascii="Arial" w:hAnsi="Arial"/>
                        <w:snapToGrid w:val="0"/>
                        <w:color w:val="000000"/>
                        <w:sz w:val="10"/>
                        <w:lang w:val="en-US" w:eastAsia="en-US"/>
                      </w:rPr>
                      <w:t>N</w:t>
                    </w:r>
                  </w:p>
                </w:txbxContent>
              </v:textbox>
            </v:rect>
            <v:rect id="_x0000_s2175" style="position:absolute;left:5028;top:10639;width:35;height:107" o:regroupid="1" filled="f" stroked="f"/>
            <v:rect id="_x0000_s2176" style="position:absolute;left:5028;top:10639;width:68;height:124" o:regroupid="1" filled="f" stroked="f">
              <v:textbox style="mso-next-textbox:#_x0000_s2176;mso-rotate-with-shape:t" inset="0,0,0,0">
                <w:txbxContent>
                  <w:p w:rsidR="00000000" w:rsidRDefault="00000000">
                    <w:r>
                      <w:rPr>
                        <w:rFonts w:ascii="Arial" w:hAnsi="Arial"/>
                        <w:snapToGrid w:val="0"/>
                        <w:color w:val="000000"/>
                        <w:sz w:val="10"/>
                        <w:lang w:val="en-US" w:eastAsia="en-US"/>
                      </w:rPr>
                      <w:t>i</w:t>
                    </w:r>
                  </w:p>
                </w:txbxContent>
              </v:textbox>
            </v:rect>
            <v:rect id="_x0000_s2177" style="position:absolute;left:5063;top:10639;width:50;height:107" o:regroupid="1" filled="f" stroked="f"/>
            <v:rect id="_x0000_s2178" style="position:absolute;left:5063;top:10639;width:102;height:124" o:regroupid="1" filled="f" stroked="f">
              <v:textbox style="mso-next-textbox:#_x0000_s2178;mso-rotate-with-shape:t" inset="0,0,0,0">
                <w:txbxContent>
                  <w:p w:rsidR="00000000" w:rsidRDefault="00000000">
                    <w:r>
                      <w:rPr>
                        <w:rFonts w:ascii="Arial" w:hAnsi="Arial"/>
                        <w:snapToGrid w:val="0"/>
                        <w:color w:val="000000"/>
                        <w:sz w:val="10"/>
                        <w:lang w:val="en-US" w:eastAsia="en-US"/>
                      </w:rPr>
                      <w:t>g</w:t>
                    </w:r>
                  </w:p>
                </w:txbxContent>
              </v:textbox>
            </v:rect>
            <v:rect id="_x0000_s2179" style="position:absolute;left:5113;top:10639;width:68;height:107" o:regroupid="1" filled="f" stroked="f"/>
            <v:rect id="_x0000_s2180" style="position:absolute;left:5113;top:10639;width:102;height:124" o:regroupid="1" filled="f" stroked="f">
              <v:textbox style="mso-next-textbox:#_x0000_s2180;mso-rotate-with-shape:t" inset="0,0,0,0">
                <w:txbxContent>
                  <w:p w:rsidR="00000000" w:rsidRDefault="00000000">
                    <w:r>
                      <w:rPr>
                        <w:rFonts w:ascii="Arial" w:hAnsi="Arial"/>
                        <w:snapToGrid w:val="0"/>
                        <w:color w:val="000000"/>
                        <w:sz w:val="10"/>
                        <w:lang w:val="en-US" w:eastAsia="en-US"/>
                      </w:rPr>
                      <w:t>e</w:t>
                    </w:r>
                  </w:p>
                </w:txbxContent>
              </v:textbox>
            </v:rect>
            <v:rect id="_x0000_s2181" style="position:absolute;left:5181;top:10639;width:34;height:107" o:regroupid="1" filled="f" stroked="f"/>
            <v:rect id="_x0000_s2182" style="position:absolute;left:5181;top:10639;width:85;height:124" o:regroupid="1" filled="f" stroked="f">
              <v:textbox style="mso-next-textbox:#_x0000_s2182;mso-rotate-with-shape:t" inset="0,0,0,0">
                <w:txbxContent>
                  <w:p w:rsidR="00000000" w:rsidRDefault="00000000">
                    <w:r>
                      <w:rPr>
                        <w:rFonts w:ascii="Arial" w:hAnsi="Arial"/>
                        <w:snapToGrid w:val="0"/>
                        <w:color w:val="000000"/>
                        <w:sz w:val="10"/>
                        <w:lang w:val="en-US" w:eastAsia="en-US"/>
                      </w:rPr>
                      <w:t>r</w:t>
                    </w:r>
                  </w:p>
                </w:txbxContent>
              </v:textbox>
            </v:rect>
            <v:rect id="_x0000_s2183" style="position:absolute;left:7966;top:9667;width:68;height:106" o:regroupid="1" filled="f" stroked="f"/>
            <v:rect id="_x0000_s2184" style="position:absolute;left:7966;top:9668;width:119;height:124" o:regroupid="1" filled="f" stroked="f">
              <v:textbox style="mso-next-textbox:#_x0000_s2184;mso-rotate-with-shape:t" inset="0,0,0,0">
                <w:txbxContent>
                  <w:p w:rsidR="00000000" w:rsidRDefault="00000000">
                    <w:r>
                      <w:rPr>
                        <w:rFonts w:ascii="Arial" w:hAnsi="Arial"/>
                        <w:snapToGrid w:val="0"/>
                        <w:color w:val="000000"/>
                        <w:sz w:val="10"/>
                        <w:lang w:val="en-US" w:eastAsia="en-US"/>
                      </w:rPr>
                      <w:t>B</w:t>
                    </w:r>
                  </w:p>
                </w:txbxContent>
              </v:textbox>
            </v:rect>
            <v:rect id="_x0000_s2185" style="position:absolute;left:8034;top:9667;width:51;height:106" o:regroupid="1" filled="f" stroked="f"/>
            <v:rect id="_x0000_s2186" style="position:absolute;left:8034;top:9668;width:101;height:124" o:regroupid="1" filled="f" stroked="f">
              <v:textbox style="mso-next-textbox:#_x0000_s2186;mso-rotate-with-shape:t" inset="0,0,0,0">
                <w:txbxContent>
                  <w:p w:rsidR="00000000" w:rsidRDefault="00000000">
                    <w:r>
                      <w:rPr>
                        <w:rFonts w:ascii="Arial" w:hAnsi="Arial"/>
                        <w:snapToGrid w:val="0"/>
                        <w:color w:val="000000"/>
                        <w:sz w:val="10"/>
                        <w:lang w:val="en-US" w:eastAsia="en-US"/>
                      </w:rPr>
                      <w:t>o</w:t>
                    </w:r>
                  </w:p>
                </w:txbxContent>
              </v:textbox>
            </v:rect>
            <v:rect id="_x0000_s2187" style="position:absolute;left:8085;top:9667;width:50;height:106" o:regroupid="1" filled="f" stroked="f"/>
            <v:rect id="_x0000_s2188" style="position:absolute;left:8085;top:9668;width:85;height:124" o:regroupid="1" filled="f" stroked="f">
              <v:textbox style="mso-next-textbox:#_x0000_s2188;mso-rotate-with-shape:t" inset="0,0,0,0">
                <w:txbxContent>
                  <w:p w:rsidR="00000000" w:rsidRDefault="00000000">
                    <w:r>
                      <w:rPr>
                        <w:rFonts w:ascii="Arial" w:hAnsi="Arial"/>
                        <w:snapToGrid w:val="0"/>
                        <w:color w:val="000000"/>
                        <w:sz w:val="10"/>
                        <w:lang w:val="en-US" w:eastAsia="en-US"/>
                      </w:rPr>
                      <w:t>r</w:t>
                    </w:r>
                  </w:p>
                </w:txbxContent>
              </v:textbox>
            </v:rect>
            <v:rect id="_x0000_s2189" style="position:absolute;left:8119;top:9667;width:68;height:106" o:regroupid="1" filled="f" stroked="f"/>
            <v:rect id="_x0000_s2190" style="position:absolute;left:8119;top:9668;width:101;height:124" o:regroupid="1" filled="f" stroked="f">
              <v:textbox style="mso-next-textbox:#_x0000_s2190;mso-rotate-with-shape:t" inset="0,0,0,0">
                <w:txbxContent>
                  <w:p w:rsidR="00000000" w:rsidRDefault="00000000">
                    <w:r>
                      <w:rPr>
                        <w:rFonts w:ascii="Arial" w:hAnsi="Arial"/>
                        <w:snapToGrid w:val="0"/>
                        <w:color w:val="000000"/>
                        <w:sz w:val="10"/>
                        <w:lang w:val="en-US" w:eastAsia="en-US"/>
                      </w:rPr>
                      <w:t>n</w:t>
                    </w:r>
                  </w:p>
                </w:txbxContent>
              </v:textbox>
            </v:rect>
            <v:rect id="_x0000_s2191" style="position:absolute;left:8187;top:9667;width:50;height:106" o:regroupid="1" filled="f" stroked="f"/>
            <v:rect id="_x0000_s2192" style="position:absolute;left:8187;top:9668;width:102;height:124" o:regroupid="1" filled="f" stroked="f">
              <v:textbox style="mso-next-textbox:#_x0000_s2192;mso-rotate-with-shape:t" inset="0,0,0,0">
                <w:txbxContent>
                  <w:p w:rsidR="00000000" w:rsidRDefault="00000000">
                    <w:r>
                      <w:rPr>
                        <w:rFonts w:ascii="Arial" w:hAnsi="Arial"/>
                        <w:snapToGrid w:val="0"/>
                        <w:color w:val="000000"/>
                        <w:sz w:val="10"/>
                        <w:lang w:val="en-US" w:eastAsia="en-US"/>
                      </w:rPr>
                      <w:t>o</w:t>
                    </w:r>
                  </w:p>
                </w:txbxContent>
              </v:textbox>
            </v:rect>
            <v:rect id="_x0000_s2193" style="position:absolute;left:7253;top:9720;width:67;height:123" o:regroupid="1" filled="f" stroked="f"/>
            <v:rect id="_x0000_s2194" style="position:absolute;left:7253;top:9738;width:119;height:124" o:regroupid="1" filled="f" stroked="f">
              <v:textbox style="mso-next-textbox:#_x0000_s2194;mso-rotate-with-shape:t" inset="0,0,0,0">
                <w:txbxContent>
                  <w:p w:rsidR="00000000" w:rsidRDefault="00000000">
                    <w:r>
                      <w:rPr>
                        <w:rFonts w:ascii="Arial" w:hAnsi="Arial"/>
                        <w:snapToGrid w:val="0"/>
                        <w:color w:val="000000"/>
                        <w:sz w:val="10"/>
                        <w:lang w:val="en-US" w:eastAsia="en-US"/>
                      </w:rPr>
                      <w:t>Y</w:t>
                    </w:r>
                  </w:p>
                </w:txbxContent>
              </v:textbox>
            </v:rect>
            <v:rect id="_x0000_s2195" style="position:absolute;left:7320;top:9720;width:52;height:123" o:regroupid="1" filled="f" stroked="f"/>
            <v:rect id="_x0000_s2196" style="position:absolute;left:7320;top:9738;width:102;height:124" o:regroupid="1" filled="f" stroked="f">
              <v:textbox style="mso-next-textbox:#_x0000_s2196;mso-rotate-with-shape:t" inset="0,0,0,0">
                <w:txbxContent>
                  <w:p w:rsidR="00000000" w:rsidRDefault="00000000">
                    <w:r>
                      <w:rPr>
                        <w:rFonts w:ascii="Arial" w:hAnsi="Arial"/>
                        <w:snapToGrid w:val="0"/>
                        <w:color w:val="000000"/>
                        <w:sz w:val="10"/>
                        <w:lang w:val="en-US" w:eastAsia="en-US"/>
                      </w:rPr>
                      <w:t>o</w:t>
                    </w:r>
                  </w:p>
                </w:txbxContent>
              </v:textbox>
            </v:rect>
            <v:rect id="_x0000_s2197" style="position:absolute;left:7372;top:9720;width:67;height:123" o:regroupid="1" filled="f" stroked="f"/>
            <v:rect id="_x0000_s2198" style="position:absolute;left:7372;top:9738;width:102;height:124" o:regroupid="1" filled="f" stroked="f">
              <v:textbox style="mso-next-textbox:#_x0000_s2198;mso-rotate-with-shape:t" inset="0,0,0,0">
                <w:txbxContent>
                  <w:p w:rsidR="00000000" w:rsidRDefault="00000000">
                    <w:r>
                      <w:rPr>
                        <w:rFonts w:ascii="Arial" w:hAnsi="Arial"/>
                        <w:snapToGrid w:val="0"/>
                        <w:color w:val="000000"/>
                        <w:sz w:val="10"/>
                        <w:lang w:val="en-US" w:eastAsia="en-US"/>
                      </w:rPr>
                      <w:t>b</w:t>
                    </w:r>
                  </w:p>
                </w:txbxContent>
              </v:textbox>
            </v:rect>
            <v:rect id="_x0000_s2199" style="position:absolute;left:7422;top:9720;width:69;height:123" o:regroupid="1" filled="f" stroked="f"/>
            <v:rect id="_x0000_s2200" style="position:absolute;left:7422;top:9738;width:102;height:124" o:regroupid="1" filled="f" stroked="f">
              <v:textbox style="mso-next-textbox:#_x0000_s2200;mso-rotate-with-shape:t" inset="0,0,0,0">
                <w:txbxContent>
                  <w:p w:rsidR="00000000" w:rsidRDefault="00000000">
                    <w:r>
                      <w:rPr>
                        <w:rFonts w:ascii="Arial" w:hAnsi="Arial"/>
                        <w:snapToGrid w:val="0"/>
                        <w:color w:val="000000"/>
                        <w:sz w:val="10"/>
                        <w:lang w:val="en-US" w:eastAsia="en-US"/>
                      </w:rPr>
                      <w:t>e</w:t>
                    </w:r>
                  </w:p>
                </w:txbxContent>
              </v:textbox>
            </v:rect>
            <v:rect id="_x0000_s2201" style="position:absolute;left:6778;top:11470;width:67;height:106" o:regroupid="1" filled="f" stroked="f"/>
            <v:rect id="_x0000_s2202" style="position:absolute;left:6778;top:11470;width:118;height:124" o:regroupid="1" filled="f" stroked="f">
              <v:textbox style="mso-next-textbox:#_x0000_s2202;mso-rotate-with-shape:t" inset="0,0,0,0">
                <w:txbxContent>
                  <w:p w:rsidR="00000000" w:rsidRDefault="00000000">
                    <w:r>
                      <w:rPr>
                        <w:rFonts w:ascii="Arial" w:hAnsi="Arial"/>
                        <w:snapToGrid w:val="0"/>
                        <w:color w:val="000000"/>
                        <w:sz w:val="10"/>
                        <w:lang w:val="en-US" w:eastAsia="en-US"/>
                      </w:rPr>
                      <w:t>T</w:t>
                    </w:r>
                  </w:p>
                </w:txbxContent>
              </v:textbox>
            </v:rect>
            <v:rect id="_x0000_s2203" style="position:absolute;left:6828;top:11470;width:68;height:106" o:regroupid="1" filled="f" stroked="f"/>
            <v:rect id="_x0000_s2204" style="position:absolute;left:6828;top:11470;width:102;height:124" o:regroupid="1" filled="f" stroked="f">
              <v:textbox style="mso-next-textbox:#_x0000_s2204;mso-rotate-with-shape:t" inset="0,0,0,0">
                <w:txbxContent>
                  <w:p w:rsidR="00000000" w:rsidRDefault="00000000">
                    <w:r>
                      <w:rPr>
                        <w:rFonts w:ascii="Arial" w:hAnsi="Arial"/>
                        <w:snapToGrid w:val="0"/>
                        <w:color w:val="000000"/>
                        <w:sz w:val="10"/>
                        <w:lang w:val="en-US" w:eastAsia="en-US"/>
                      </w:rPr>
                      <w:t>a</w:t>
                    </w:r>
                  </w:p>
                </w:txbxContent>
              </v:textbox>
            </v:rect>
            <v:rect id="_x0000_s2205" style="position:absolute;left:6896;top:11470;width:52;height:106" o:regroupid="1" filled="f" stroked="f"/>
            <v:rect id="_x0000_s2206" style="position:absolute;left:6896;top:11470;width:85;height:124" o:regroupid="1" filled="f" stroked="f">
              <v:textbox style="mso-next-textbox:#_x0000_s2206;mso-rotate-with-shape:t" inset="0,0,0,0">
                <w:txbxContent>
                  <w:p w:rsidR="00000000" w:rsidRDefault="00000000">
                    <w:r>
                      <w:rPr>
                        <w:rFonts w:ascii="Arial" w:hAnsi="Arial"/>
                        <w:snapToGrid w:val="0"/>
                        <w:color w:val="000000"/>
                        <w:sz w:val="10"/>
                        <w:lang w:val="en-US" w:eastAsia="en-US"/>
                      </w:rPr>
                      <w:t>r</w:t>
                    </w:r>
                  </w:p>
                </w:txbxContent>
              </v:textbox>
            </v:rect>
            <v:rect id="_x0000_s2207" style="position:absolute;left:6930;top:11470;width:68;height:106" o:regroupid="1" filled="f" stroked="f"/>
            <v:rect id="_x0000_s2208" style="position:absolute;left:6930;top:11470;width:102;height:124" o:regroupid="1" filled="f" stroked="f">
              <v:textbox style="mso-next-textbox:#_x0000_s2208;mso-rotate-with-shape:t" inset="0,0,0,0">
                <w:txbxContent>
                  <w:p w:rsidR="00000000" w:rsidRDefault="00000000">
                    <w:r>
                      <w:rPr>
                        <w:rFonts w:ascii="Arial" w:hAnsi="Arial"/>
                        <w:snapToGrid w:val="0"/>
                        <w:color w:val="000000"/>
                        <w:sz w:val="10"/>
                        <w:lang w:val="en-US" w:eastAsia="en-US"/>
                      </w:rPr>
                      <w:t>a</w:t>
                    </w:r>
                  </w:p>
                </w:txbxContent>
              </v:textbox>
            </v:rect>
            <v:rect id="_x0000_s2209" style="position:absolute;left:6981;top:11470;width:68;height:106" o:regroupid="1" filled="f" stroked="f"/>
            <v:rect id="_x0000_s2210" style="position:absolute;left:6981;top:11470;width:102;height:124" o:regroupid="1" filled="f" stroked="f">
              <v:textbox style="mso-next-textbox:#_x0000_s2210;mso-rotate-with-shape:t" inset="0,0,0,0">
                <w:txbxContent>
                  <w:p w:rsidR="00000000" w:rsidRDefault="00000000">
                    <w:r>
                      <w:rPr>
                        <w:rFonts w:ascii="Arial" w:hAnsi="Arial"/>
                        <w:snapToGrid w:val="0"/>
                        <w:color w:val="000000"/>
                        <w:sz w:val="10"/>
                        <w:lang w:val="en-US" w:eastAsia="en-US"/>
                      </w:rPr>
                      <w:t>b</w:t>
                    </w:r>
                  </w:p>
                </w:txbxContent>
              </v:textbox>
            </v:rect>
            <v:rect id="_x0000_s2211" style="position:absolute;left:7049;top:11470;width:68;height:106" o:regroupid="1" filled="f" stroked="f"/>
            <v:rect id="_x0000_s2212" style="position:absolute;left:7049;top:11470;width:102;height:124" o:regroupid="1" filled="f" stroked="f">
              <v:textbox style="mso-next-textbox:#_x0000_s2212;mso-rotate-with-shape:t" inset="0,0,0,0">
                <w:txbxContent>
                  <w:p w:rsidR="00000000" w:rsidRDefault="00000000">
                    <w:r>
                      <w:rPr>
                        <w:rFonts w:ascii="Arial" w:hAnsi="Arial"/>
                        <w:snapToGrid w:val="0"/>
                        <w:color w:val="000000"/>
                        <w:sz w:val="10"/>
                        <w:lang w:val="en-US" w:eastAsia="en-US"/>
                      </w:rPr>
                      <w:t>a</w:t>
                    </w:r>
                  </w:p>
                </w:txbxContent>
              </v:textbox>
            </v:rect>
            <v:rect id="_x0000_s2213" style="position:absolute;left:6506;top:10445;width:68;height:123" o:regroupid="1" filled="f" stroked="f"/>
            <v:rect id="_x0000_s2214" style="position:absolute;left:6506;top:10462;width:118;height:124" o:regroupid="1" filled="f" stroked="f">
              <v:textbox style="mso-next-textbox:#_x0000_s2214;mso-rotate-with-shape:t" inset="0,0,0,0">
                <w:txbxContent>
                  <w:p w:rsidR="00000000" w:rsidRDefault="00000000">
                    <w:r>
                      <w:rPr>
                        <w:rFonts w:ascii="Arial" w:hAnsi="Arial"/>
                        <w:snapToGrid w:val="0"/>
                        <w:color w:val="000000"/>
                        <w:sz w:val="10"/>
                        <w:lang w:val="en-US" w:eastAsia="en-US"/>
                      </w:rPr>
                      <w:t>B</w:t>
                    </w:r>
                  </w:p>
                </w:txbxContent>
              </v:textbox>
            </v:rect>
            <v:rect id="_x0000_s2215" style="position:absolute;left:6574;top:10445;width:67;height:123" o:regroupid="1" filled="f" stroked="f"/>
            <v:rect id="_x0000_s2216" style="position:absolute;left:6574;top:10462;width:102;height:124" o:regroupid="1" filled="f" stroked="f">
              <v:textbox style="mso-next-textbox:#_x0000_s2216;mso-rotate-with-shape:t" inset="0,0,0,0">
                <w:txbxContent>
                  <w:p w:rsidR="00000000" w:rsidRDefault="00000000">
                    <w:r>
                      <w:rPr>
                        <w:rFonts w:ascii="Arial" w:hAnsi="Arial"/>
                        <w:snapToGrid w:val="0"/>
                        <w:color w:val="000000"/>
                        <w:sz w:val="10"/>
                        <w:lang w:val="en-US" w:eastAsia="en-US"/>
                      </w:rPr>
                      <w:t>a</w:t>
                    </w:r>
                  </w:p>
                </w:txbxContent>
              </v:textbox>
            </v:rect>
            <v:rect id="_x0000_s2217" style="position:absolute;left:6624;top:10445;width:69;height:123" o:regroupid="1" filled="f" stroked="f"/>
            <v:rect id="_x0000_s2218" style="position:absolute;left:6624;top:10462;width:102;height:124" o:regroupid="1" filled="f" stroked="f">
              <v:textbox style="mso-next-textbox:#_x0000_s2218;mso-rotate-with-shape:t" inset="0,0,0,0">
                <w:txbxContent>
                  <w:p w:rsidR="00000000" w:rsidRDefault="00000000">
                    <w:r>
                      <w:rPr>
                        <w:rFonts w:ascii="Arial" w:hAnsi="Arial"/>
                        <w:snapToGrid w:val="0"/>
                        <w:color w:val="000000"/>
                        <w:sz w:val="10"/>
                        <w:lang w:val="en-US" w:eastAsia="en-US"/>
                      </w:rPr>
                      <w:t>u</w:t>
                    </w:r>
                  </w:p>
                </w:txbxContent>
              </v:textbox>
            </v:rect>
            <v:rect id="_x0000_s2219" style="position:absolute;left:6693;top:10445;width:50;height:123" o:regroupid="1" filled="f" stroked="f"/>
            <v:rect id="_x0000_s2220" style="position:absolute;left:6693;top:10462;width:101;height:124" o:regroupid="1" filled="f" stroked="f">
              <v:textbox style="mso-next-textbox:#_x0000_s2220;mso-rotate-with-shape:t" inset="0,0,0,0">
                <w:txbxContent>
                  <w:p w:rsidR="00000000" w:rsidRDefault="00000000">
                    <w:r>
                      <w:rPr>
                        <w:rFonts w:ascii="Arial" w:hAnsi="Arial"/>
                        <w:snapToGrid w:val="0"/>
                        <w:color w:val="000000"/>
                        <w:sz w:val="10"/>
                        <w:lang w:val="en-US" w:eastAsia="en-US"/>
                      </w:rPr>
                      <w:t>c</w:t>
                    </w:r>
                  </w:p>
                </w:txbxContent>
              </v:textbox>
            </v:rect>
            <v:rect id="_x0000_s2221" style="position:absolute;left:6743;top:10445;width:51;height:123" o:regroupid="1" filled="f" stroked="f"/>
            <v:rect id="_x0000_s2222" style="position:absolute;left:6743;top:10462;width:102;height:124" o:regroupid="1" filled="f" stroked="f">
              <v:textbox style="mso-next-textbox:#_x0000_s2222;mso-rotate-with-shape:t" inset="0,0,0,0">
                <w:txbxContent>
                  <w:p w:rsidR="00000000" w:rsidRDefault="00000000">
                    <w:r>
                      <w:rPr>
                        <w:rFonts w:ascii="Arial" w:hAnsi="Arial"/>
                        <w:snapToGrid w:val="0"/>
                        <w:color w:val="000000"/>
                        <w:sz w:val="10"/>
                        <w:lang w:val="en-US" w:eastAsia="en-US"/>
                      </w:rPr>
                      <w:t>h</w:t>
                    </w:r>
                  </w:p>
                </w:txbxContent>
              </v:textbox>
            </v:rect>
            <v:rect id="_x0000_s2223" style="position:absolute;left:6811;top:10445;width:34;height:123" o:regroupid="1" filled="f" stroked="f"/>
            <v:rect id="_x0000_s2224" style="position:absolute;left:6811;top:10462;width:68;height:124" o:regroupid="1" filled="f" stroked="f">
              <v:textbox style="mso-next-textbox:#_x0000_s2224;mso-rotate-with-shape:t" inset="0,0,0,0">
                <w:txbxContent>
                  <w:p w:rsidR="00000000" w:rsidRDefault="00000000">
                    <w:r>
                      <w:rPr>
                        <w:rFonts w:ascii="Arial" w:hAnsi="Arial"/>
                        <w:snapToGrid w:val="0"/>
                        <w:color w:val="000000"/>
                        <w:sz w:val="10"/>
                        <w:lang w:val="en-US" w:eastAsia="en-US"/>
                      </w:rPr>
                      <w:t>i</w:t>
                    </w:r>
                  </w:p>
                </w:txbxContent>
              </v:textbox>
            </v:rect>
            <v:rect id="_x0000_s2225" style="position:absolute;left:4196;top:11329;width:85;height:105" o:regroupid="1" filled="f" stroked="f"/>
            <v:rect id="_x0000_s2226" style="position:absolute;left:4196;top:11329;width:136;height:124" o:regroupid="1" filled="f" stroked="f">
              <v:textbox style="mso-next-textbox:#_x0000_s2226;mso-rotate-with-shape:t" inset="0,0,0,0">
                <w:txbxContent>
                  <w:p w:rsidR="00000000" w:rsidRDefault="00000000">
                    <w:r>
                      <w:rPr>
                        <w:rFonts w:ascii="Arial" w:hAnsi="Arial"/>
                        <w:snapToGrid w:val="0"/>
                        <w:color w:val="000000"/>
                        <w:sz w:val="10"/>
                        <w:lang w:val="en-US" w:eastAsia="en-US"/>
                      </w:rPr>
                      <w:t>O</w:t>
                    </w:r>
                  </w:p>
                </w:txbxContent>
              </v:textbox>
            </v:rect>
            <v:rect id="_x0000_s2227" style="position:absolute;left:4281;top:11329;width:51;height:105" o:regroupid="1" filled="f" stroked="f"/>
            <v:rect id="_x0000_s2228" style="position:absolute;left:4281;top:11329;width:102;height:124" o:regroupid="1" filled="f" stroked="f">
              <v:textbox style="mso-next-textbox:#_x0000_s2228;mso-rotate-with-shape:t" inset="0,0,0,0">
                <w:txbxContent>
                  <w:p w:rsidR="00000000" w:rsidRDefault="00000000">
                    <w:r>
                      <w:rPr>
                        <w:rFonts w:ascii="Arial" w:hAnsi="Arial"/>
                        <w:snapToGrid w:val="0"/>
                        <w:color w:val="000000"/>
                        <w:sz w:val="10"/>
                        <w:lang w:val="en-US" w:eastAsia="en-US"/>
                      </w:rPr>
                      <w:t>y</w:t>
                    </w:r>
                  </w:p>
                </w:txbxContent>
              </v:textbox>
            </v:rect>
            <v:rect id="_x0000_s2229" style="position:absolute;left:4332;top:11329;width:68;height:105" o:regroupid="1" filled="f" stroked="f"/>
            <v:rect id="_x0000_s2230" style="position:absolute;left:4332;top:11329;width:102;height:124" o:regroupid="1" filled="f" stroked="f">
              <v:textbox style="mso-next-textbox:#_x0000_s2230;mso-rotate-with-shape:t" inset="0,0,0,0">
                <w:txbxContent>
                  <w:p w:rsidR="00000000" w:rsidRDefault="00000000">
                    <w:r>
                      <w:rPr>
                        <w:rFonts w:ascii="Arial" w:hAnsi="Arial"/>
                        <w:snapToGrid w:val="0"/>
                        <w:color w:val="000000"/>
                        <w:sz w:val="10"/>
                        <w:lang w:val="en-US" w:eastAsia="en-US"/>
                      </w:rPr>
                      <w:t>o</w:t>
                    </w:r>
                  </w:p>
                </w:txbxContent>
              </v:textbox>
            </v:rect>
            <v:rect id="_x0000_s2231" style="position:absolute;left:4332;top:9808;width:68;height:124" o:regroupid="1" filled="f" stroked="f"/>
            <v:rect id="_x0000_s2232" style="position:absolute;left:4332;top:9827;width:119;height:124" o:regroupid="1" filled="f" stroked="f">
              <v:textbox style="mso-next-textbox:#_x0000_s2232;mso-rotate-with-shape:t" inset="0,0,0,0">
                <w:txbxContent>
                  <w:p w:rsidR="00000000" w:rsidRDefault="00000000">
                    <w:r>
                      <w:rPr>
                        <w:rFonts w:ascii="Arial" w:hAnsi="Arial"/>
                        <w:snapToGrid w:val="0"/>
                        <w:color w:val="000000"/>
                        <w:sz w:val="10"/>
                        <w:lang w:val="en-US" w:eastAsia="en-US"/>
                      </w:rPr>
                      <w:t>K</w:t>
                    </w:r>
                  </w:p>
                </w:txbxContent>
              </v:textbox>
            </v:rect>
            <v:rect id="_x0000_s2233" style="position:absolute;left:4400;top:9808;width:68;height:124" o:regroupid="1" filled="f" stroked="f"/>
            <v:rect id="_x0000_s2234" style="position:absolute;left:4400;top:9827;width:102;height:124" o:regroupid="1" filled="f" stroked="f">
              <v:textbox style="mso-next-textbox:#_x0000_s2234;mso-rotate-with-shape:t" inset="0,0,0,0">
                <w:txbxContent>
                  <w:p w:rsidR="00000000" w:rsidRDefault="00000000">
                    <w:r>
                      <w:rPr>
                        <w:rFonts w:ascii="Arial" w:hAnsi="Arial"/>
                        <w:snapToGrid w:val="0"/>
                        <w:color w:val="000000"/>
                        <w:sz w:val="10"/>
                        <w:lang w:val="en-US" w:eastAsia="en-US"/>
                      </w:rPr>
                      <w:t>e</w:t>
                    </w:r>
                  </w:p>
                </w:txbxContent>
              </v:textbox>
            </v:rect>
            <v:rect id="_x0000_s2235" style="position:absolute;left:4468;top:9808;width:51;height:124" o:regroupid="1" filled="f" stroked="f"/>
            <v:rect id="_x0000_s2236" style="position:absolute;left:4468;top:9827;width:102;height:124" o:regroupid="1" filled="f" stroked="f">
              <v:textbox style="mso-next-textbox:#_x0000_s2236;mso-rotate-with-shape:t" inset="0,0,0,0">
                <w:txbxContent>
                  <w:p w:rsidR="00000000" w:rsidRDefault="00000000">
                    <w:r>
                      <w:rPr>
                        <w:rFonts w:ascii="Arial" w:hAnsi="Arial"/>
                        <w:snapToGrid w:val="0"/>
                        <w:color w:val="000000"/>
                        <w:sz w:val="10"/>
                        <w:lang w:val="en-US" w:eastAsia="en-US"/>
                      </w:rPr>
                      <w:t>b</w:t>
                    </w:r>
                  </w:p>
                </w:txbxContent>
              </v:textbox>
            </v:rect>
            <v:rect id="_x0000_s2237" style="position:absolute;left:4519;top:9808;width:68;height:124" o:regroupid="1" filled="f" stroked="f"/>
            <v:rect id="_x0000_s2238" style="position:absolute;left:4519;top:9827;width:102;height:124" o:regroupid="1" filled="f" stroked="f">
              <v:textbox style="mso-next-textbox:#_x0000_s2238;mso-rotate-with-shape:t" inset="0,0,0,0">
                <w:txbxContent>
                  <w:p w:rsidR="00000000" w:rsidRDefault="00000000">
                    <w:r>
                      <w:rPr>
                        <w:rFonts w:ascii="Arial" w:hAnsi="Arial"/>
                        <w:snapToGrid w:val="0"/>
                        <w:color w:val="000000"/>
                        <w:sz w:val="10"/>
                        <w:lang w:val="en-US" w:eastAsia="en-US"/>
                      </w:rPr>
                      <w:t>b</w:t>
                    </w:r>
                  </w:p>
                </w:txbxContent>
              </v:textbox>
            </v:rect>
            <v:rect id="_x0000_s2239" style="position:absolute;left:4587;top:9808;width:34;height:124" o:regroupid="1" filled="f" stroked="f"/>
            <v:rect id="_x0000_s2240" style="position:absolute;left:4587;top:9827;width:68;height:124" o:regroupid="1" filled="f" stroked="f">
              <v:textbox style="mso-next-textbox:#_x0000_s2240;mso-rotate-with-shape:t" inset="0,0,0,0">
                <w:txbxContent>
                  <w:p w:rsidR="00000000" w:rsidRDefault="00000000">
                    <w:r>
                      <w:rPr>
                        <w:rFonts w:ascii="Arial" w:hAnsi="Arial"/>
                        <w:snapToGrid w:val="0"/>
                        <w:color w:val="000000"/>
                        <w:sz w:val="10"/>
                        <w:lang w:val="en-US" w:eastAsia="en-US"/>
                      </w:rPr>
                      <w:t>i</w:t>
                    </w:r>
                  </w:p>
                </w:txbxContent>
              </v:textbox>
            </v:rect>
            <v:rect id="_x0000_s2241" style="position:absolute;left:5453;top:11629;width:68;height:106" o:regroupid="1" filled="f" stroked="f"/>
            <v:rect id="_x0000_s2242" style="position:absolute;left:5453;top:11629;width:119;height:124" o:regroupid="1" filled="f" stroked="f">
              <v:textbox style="mso-next-textbox:#_x0000_s2242;mso-rotate-with-shape:t" inset="0,0,0,0">
                <w:txbxContent>
                  <w:p w:rsidR="00000000" w:rsidRDefault="00000000">
                    <w:r>
                      <w:rPr>
                        <w:rFonts w:ascii="Arial" w:hAnsi="Arial"/>
                        <w:snapToGrid w:val="0"/>
                        <w:color w:val="000000"/>
                        <w:sz w:val="10"/>
                        <w:lang w:val="en-US" w:eastAsia="en-US"/>
                      </w:rPr>
                      <w:t>K</w:t>
                    </w:r>
                  </w:p>
                </w:txbxContent>
              </v:textbox>
            </v:rect>
            <v:rect id="_x0000_s2243" style="position:absolute;left:5521;top:11629;width:51;height:106" o:regroupid="1" filled="f" stroked="f"/>
            <v:rect id="_x0000_s2244" style="position:absolute;left:5521;top:11629;width:101;height:124" o:regroupid="1" filled="f" stroked="f">
              <v:textbox style="mso-next-textbox:#_x0000_s2244;mso-rotate-with-shape:t" inset="0,0,0,0">
                <w:txbxContent>
                  <w:p w:rsidR="00000000" w:rsidRDefault="00000000">
                    <w:r>
                      <w:rPr>
                        <w:rFonts w:ascii="Arial" w:hAnsi="Arial"/>
                        <w:snapToGrid w:val="0"/>
                        <w:color w:val="000000"/>
                        <w:sz w:val="10"/>
                        <w:lang w:val="en-US" w:eastAsia="en-US"/>
                      </w:rPr>
                      <w:t>o</w:t>
                    </w:r>
                  </w:p>
                </w:txbxContent>
              </v:textbox>
            </v:rect>
            <v:rect id="_x0000_s2245" style="position:absolute;left:5572;top:11629;width:67;height:106" o:regroupid="1" filled="f" stroked="f"/>
            <v:rect id="_x0000_s2246" style="position:absolute;left:5572;top:11629;width:102;height:124" o:regroupid="1" filled="f" stroked="f">
              <v:textbox style="mso-next-textbox:#_x0000_s2246;mso-rotate-with-shape:t" inset="0,0,0,0">
                <w:txbxContent>
                  <w:p w:rsidR="00000000" w:rsidRDefault="00000000">
                    <w:r>
                      <w:rPr>
                        <w:rFonts w:ascii="Arial" w:hAnsi="Arial"/>
                        <w:snapToGrid w:val="0"/>
                        <w:color w:val="000000"/>
                        <w:sz w:val="10"/>
                        <w:lang w:val="en-US" w:eastAsia="en-US"/>
                      </w:rPr>
                      <w:t>g</w:t>
                    </w:r>
                  </w:p>
                </w:txbxContent>
              </v:textbox>
            </v:rect>
            <v:rect id="_x0000_s2247" style="position:absolute;left:5639;top:11629;width:35;height:106" o:regroupid="1" filled="f" stroked="f"/>
            <v:rect id="_x0000_s2248" style="position:absolute;left:5639;top:11629;width:69;height:124" o:regroupid="1" filled="f" stroked="f">
              <v:textbox style="mso-next-textbox:#_x0000_s2248;mso-rotate-with-shape:t" inset="0,0,0,0">
                <w:txbxContent>
                  <w:p w:rsidR="00000000" w:rsidRDefault="00000000">
                    <w:r>
                      <w:rPr>
                        <w:rFonts w:ascii="Arial" w:hAnsi="Arial"/>
                        <w:snapToGrid w:val="0"/>
                        <w:color w:val="000000"/>
                        <w:sz w:val="10"/>
                        <w:lang w:val="en-US" w:eastAsia="en-US"/>
                      </w:rPr>
                      <w:t>i</w:t>
                    </w:r>
                  </w:p>
                </w:txbxContent>
              </v:textbox>
            </v:rect>
            <v:group id="_x0000_s2249" style="position:absolute;left:3470;top:9789;width:3822;height:3270" coordorigin="2102,9695" coordsize="4089,3349" o:regroupid="1">
              <v:rect id="_x0000_s2250" style="position:absolute;left:3865;top:10908;width:72;height:127" filled="f" stroked="f"/>
              <v:rect id="_x0000_s2251" style="position:absolute;left:3865;top:10926;width:127;height:127" filled="f" stroked="f">
                <v:textbox style="mso-next-textbox:#_x0000_s2251;mso-rotate-with-shape:t" inset="0,0,0,0">
                  <w:txbxContent>
                    <w:p w:rsidR="00000000" w:rsidRDefault="00000000">
                      <w:r>
                        <w:rPr>
                          <w:rFonts w:ascii="Arial" w:hAnsi="Arial"/>
                          <w:snapToGrid w:val="0"/>
                          <w:color w:val="000000"/>
                          <w:sz w:val="10"/>
                          <w:lang w:val="en-US" w:eastAsia="en-US"/>
                        </w:rPr>
                        <w:t>K</w:t>
                      </w:r>
                    </w:p>
                  </w:txbxContent>
                </v:textbox>
              </v:rect>
              <v:rect id="_x0000_s2252" style="position:absolute;left:3937;top:10908;width:73;height:127" filled="f" stroked="f"/>
              <v:rect id="_x0000_s2253" style="position:absolute;left:3937;top:10926;width:109;height:127" filled="f" stroked="f">
                <v:textbox style="mso-next-textbox:#_x0000_s2253;mso-rotate-with-shape:t" inset="0,0,0,0">
                  <w:txbxContent>
                    <w:p w:rsidR="00000000" w:rsidRDefault="00000000">
                      <w:r>
                        <w:rPr>
                          <w:rFonts w:ascii="Arial" w:hAnsi="Arial"/>
                          <w:snapToGrid w:val="0"/>
                          <w:color w:val="000000"/>
                          <w:sz w:val="10"/>
                          <w:lang w:val="en-US" w:eastAsia="en-US"/>
                        </w:rPr>
                        <w:t>a</w:t>
                      </w:r>
                    </w:p>
                  </w:txbxContent>
                </v:textbox>
              </v:rect>
              <v:rect id="_x0000_s2254" style="position:absolute;left:4010;top:10908;width:55;height:127" filled="f" stroked="f"/>
              <v:rect id="_x0000_s2255" style="position:absolute;left:4010;top:10926;width:109;height:127" filled="f" stroked="f">
                <v:textbox style="mso-next-textbox:#_x0000_s2255;mso-rotate-with-shape:t" inset="0,0,0,0">
                  <w:txbxContent>
                    <w:p w:rsidR="00000000" w:rsidRDefault="00000000">
                      <w:r>
                        <w:rPr>
                          <w:rFonts w:ascii="Arial" w:hAnsi="Arial"/>
                          <w:snapToGrid w:val="0"/>
                          <w:color w:val="000000"/>
                          <w:sz w:val="10"/>
                          <w:lang w:val="en-US" w:eastAsia="en-US"/>
                        </w:rPr>
                        <w:t>d</w:t>
                      </w:r>
                    </w:p>
                  </w:txbxContent>
                </v:textbox>
              </v:rect>
              <v:rect id="_x0000_s2256" style="position:absolute;left:4065;top:10908;width:72;height:127" filled="f" stroked="f"/>
              <v:rect id="_x0000_s2257" style="position:absolute;left:4065;top:10926;width:109;height:127" filled="f" stroked="f">
                <v:textbox style="mso-next-textbox:#_x0000_s2257;mso-rotate-with-shape:t" inset="0,0,0,0">
                  <w:txbxContent>
                    <w:p w:rsidR="00000000" w:rsidRDefault="00000000">
                      <w:r>
                        <w:rPr>
                          <w:rFonts w:ascii="Arial" w:hAnsi="Arial"/>
                          <w:snapToGrid w:val="0"/>
                          <w:color w:val="000000"/>
                          <w:sz w:val="10"/>
                          <w:lang w:val="en-US" w:eastAsia="en-US"/>
                        </w:rPr>
                        <w:t>u</w:t>
                      </w:r>
                    </w:p>
                  </w:txbxContent>
                </v:textbox>
              </v:rect>
              <v:rect id="_x0000_s2258" style="position:absolute;left:4137;top:10908;width:55;height:127" filled="f" stroked="f"/>
              <v:rect id="_x0000_s2259" style="position:absolute;left:4137;top:10926;width:109;height:127" filled="f" stroked="f">
                <v:textbox style="mso-next-textbox:#_x0000_s2259;mso-rotate-with-shape:t" inset="0,0,0,0">
                  <w:txbxContent>
                    <w:p w:rsidR="00000000" w:rsidRDefault="00000000">
                      <w:r>
                        <w:rPr>
                          <w:rFonts w:ascii="Arial" w:hAnsi="Arial"/>
                          <w:snapToGrid w:val="0"/>
                          <w:color w:val="000000"/>
                          <w:sz w:val="10"/>
                          <w:lang w:val="en-US" w:eastAsia="en-US"/>
                        </w:rPr>
                        <w:t>n</w:t>
                      </w:r>
                    </w:p>
                  </w:txbxContent>
                </v:textbox>
              </v:rect>
              <v:rect id="_x0000_s2260" style="position:absolute;left:4192;top:10908;width:73;height:127" filled="f" stroked="f"/>
              <v:rect id="_x0000_s2261" style="position:absolute;left:4192;top:10926;width:109;height:127" filled="f" stroked="f">
                <v:textbox style="mso-next-textbox:#_x0000_s2261;mso-rotate-with-shape:t" inset="0,0,0,0">
                  <w:txbxContent>
                    <w:p w:rsidR="00000000" w:rsidRDefault="00000000">
                      <w:r>
                        <w:rPr>
                          <w:rFonts w:ascii="Arial" w:hAnsi="Arial"/>
                          <w:snapToGrid w:val="0"/>
                          <w:color w:val="000000"/>
                          <w:sz w:val="10"/>
                          <w:lang w:val="en-US" w:eastAsia="en-US"/>
                        </w:rPr>
                        <w:t>a</w:t>
                      </w:r>
                    </w:p>
                  </w:txbxContent>
                </v:textbox>
              </v:rect>
              <v:rect id="_x0000_s2262" style="position:absolute;left:2666;top:11614;width:72;height:127" filled="f" stroked="f"/>
              <v:rect id="_x0000_s2263" style="position:absolute;left:2666;top:11632;width:127;height:127" filled="f" stroked="f">
                <v:textbox style="mso-next-textbox:#_x0000_s2263;mso-rotate-with-shape:t" inset="0,0,0,0">
                  <w:txbxContent>
                    <w:p w:rsidR="00000000" w:rsidRDefault="00000000">
                      <w:r>
                        <w:rPr>
                          <w:rFonts w:ascii="Arial" w:hAnsi="Arial"/>
                          <w:snapToGrid w:val="0"/>
                          <w:color w:val="000000"/>
                          <w:sz w:val="10"/>
                          <w:lang w:val="en-US" w:eastAsia="en-US"/>
                        </w:rPr>
                        <w:t>K</w:t>
                      </w:r>
                    </w:p>
                  </w:txbxContent>
                </v:textbox>
              </v:rect>
              <v:rect id="_x0000_s2264" style="position:absolute;left:2720;top:11614;width:91;height:127" filled="f" stroked="f"/>
              <v:rect id="_x0000_s2265" style="position:absolute;left:2720;top:11632;width:127;height:127" filled="f" stroked="f">
                <v:textbox style="mso-next-textbox:#_x0000_s2265;mso-rotate-with-shape:t" inset="0,0,0,0">
                  <w:txbxContent>
                    <w:p w:rsidR="00000000" w:rsidRDefault="00000000">
                      <w:r>
                        <w:rPr>
                          <w:rFonts w:ascii="Arial" w:hAnsi="Arial"/>
                          <w:snapToGrid w:val="0"/>
                          <w:color w:val="000000"/>
                          <w:sz w:val="10"/>
                          <w:lang w:val="en-US" w:eastAsia="en-US"/>
                        </w:rPr>
                        <w:t>w</w:t>
                      </w:r>
                    </w:p>
                  </w:txbxContent>
                </v:textbox>
              </v:rect>
              <v:rect id="_x0000_s2266" style="position:absolute;left:2811;top:11614;width:73;height:127" filled="f" stroked="f"/>
              <v:rect id="_x0000_s2267" style="position:absolute;left:2811;top:11632;width:109;height:127" filled="f" stroked="f">
                <v:textbox style="mso-next-textbox:#_x0000_s2267;mso-rotate-with-shape:t" inset="0,0,0,0">
                  <w:txbxContent>
                    <w:p w:rsidR="00000000" w:rsidRDefault="00000000">
                      <w:r>
                        <w:rPr>
                          <w:rFonts w:ascii="Arial" w:hAnsi="Arial"/>
                          <w:snapToGrid w:val="0"/>
                          <w:color w:val="000000"/>
                          <w:sz w:val="10"/>
                          <w:lang w:val="en-US" w:eastAsia="en-US"/>
                        </w:rPr>
                        <w:t>a</w:t>
                      </w:r>
                    </w:p>
                  </w:txbxContent>
                </v:textbox>
              </v:rect>
              <v:rect id="_x0000_s2268" style="position:absolute;left:2884;top:11614;width:36;height:127" filled="f" stroked="f"/>
              <v:rect id="_x0000_s2269" style="position:absolute;left:2884;top:11632;width:91;height:127" filled="f" stroked="f">
                <v:textbox style="mso-next-textbox:#_x0000_s2269;mso-rotate-with-shape:t" inset="0,0,0,0">
                  <w:txbxContent>
                    <w:p w:rsidR="00000000" w:rsidRDefault="00000000">
                      <w:r>
                        <w:rPr>
                          <w:rFonts w:ascii="Arial" w:hAnsi="Arial"/>
                          <w:snapToGrid w:val="0"/>
                          <w:color w:val="000000"/>
                          <w:sz w:val="10"/>
                          <w:lang w:val="en-US" w:eastAsia="en-US"/>
                        </w:rPr>
                        <w:t>r</w:t>
                      </w:r>
                    </w:p>
                  </w:txbxContent>
                </v:textbox>
              </v:rect>
              <v:rect id="_x0000_s2270" style="position:absolute;left:2920;top:11614;width:54;height:127" filled="f" stroked="f"/>
              <v:rect id="_x0000_s2271" style="position:absolute;left:2920;top:11632;width:109;height:127" filled="f" stroked="f">
                <v:textbox style="mso-next-textbox:#_x0000_s2271;mso-rotate-with-shape:t" inset="0,0,0,0">
                  <w:txbxContent>
                    <w:p w:rsidR="00000000" w:rsidRDefault="00000000">
                      <w:r>
                        <w:rPr>
                          <w:rFonts w:ascii="Arial" w:hAnsi="Arial"/>
                          <w:snapToGrid w:val="0"/>
                          <w:color w:val="000000"/>
                          <w:sz w:val="10"/>
                          <w:lang w:val="en-US" w:eastAsia="en-US"/>
                        </w:rPr>
                        <w:t>a</w:t>
                      </w:r>
                    </w:p>
                  </w:txbxContent>
                </v:textbox>
              </v:rect>
              <v:rect id="_x0000_s2272" style="position:absolute;left:4319;top:12103;width:73;height:126" filled="f" stroked="f"/>
              <v:rect id="_x0000_s2273" style="position:absolute;left:4319;top:12121;width:127;height:127" filled="f" stroked="f">
                <v:textbox style="mso-next-textbox:#_x0000_s2273;mso-rotate-with-shape:t" inset="0,0,0,0">
                  <w:txbxContent>
                    <w:p w:rsidR="00000000" w:rsidRDefault="00000000">
                      <w:r>
                        <w:rPr>
                          <w:rFonts w:ascii="Arial" w:hAnsi="Arial"/>
                          <w:snapToGrid w:val="0"/>
                          <w:color w:val="000000"/>
                          <w:sz w:val="10"/>
                          <w:lang w:val="en-US" w:eastAsia="en-US"/>
                        </w:rPr>
                        <w:t>B</w:t>
                      </w:r>
                    </w:p>
                  </w:txbxContent>
                </v:textbox>
              </v:rect>
              <v:rect id="_x0000_s2274" style="position:absolute;left:4392;top:12103;width:54;height:126" filled="f" stroked="f"/>
              <v:rect id="_x0000_s2275" style="position:absolute;left:4392;top:12121;width:109;height:127" filled="f" stroked="f">
                <v:textbox style="mso-next-textbox:#_x0000_s2275;mso-rotate-with-shape:t" inset="0,0,0,0">
                  <w:txbxContent>
                    <w:p w:rsidR="00000000" w:rsidRDefault="00000000">
                      <w:r>
                        <w:rPr>
                          <w:rFonts w:ascii="Arial" w:hAnsi="Arial"/>
                          <w:snapToGrid w:val="0"/>
                          <w:color w:val="000000"/>
                          <w:sz w:val="10"/>
                          <w:lang w:val="en-US" w:eastAsia="en-US"/>
                        </w:rPr>
                        <w:t>e</w:t>
                      </w:r>
                    </w:p>
                  </w:txbxContent>
                </v:textbox>
              </v:rect>
              <v:rect id="_x0000_s2276" style="position:absolute;left:4446;top:12103;width:73;height:126" filled="f" stroked="f"/>
              <v:rect id="_x0000_s2277" style="position:absolute;left:4446;top:12121;width:109;height:127" filled="f" stroked="f">
                <v:textbox style="mso-next-textbox:#_x0000_s2277;mso-rotate-with-shape:t" inset="0,0,0,0">
                  <w:txbxContent>
                    <w:p w:rsidR="00000000" w:rsidRDefault="00000000">
                      <w:r>
                        <w:rPr>
                          <w:rFonts w:ascii="Arial" w:hAnsi="Arial"/>
                          <w:snapToGrid w:val="0"/>
                          <w:color w:val="000000"/>
                          <w:sz w:val="10"/>
                          <w:lang w:val="en-US" w:eastAsia="en-US"/>
                        </w:rPr>
                        <w:t>n</w:t>
                      </w:r>
                    </w:p>
                  </w:txbxContent>
                </v:textbox>
              </v:rect>
              <v:rect id="_x0000_s2278" style="position:absolute;left:4519;top:12103;width:54;height:126" filled="f" stroked="f"/>
              <v:rect id="_x0000_s2279" style="position:absolute;left:4519;top:12121;width:109;height:127" filled="f" stroked="f">
                <v:textbox style="mso-next-textbox:#_x0000_s2279;mso-rotate-with-shape:t" inset="0,0,0,0">
                  <w:txbxContent>
                    <w:p w:rsidR="00000000" w:rsidRDefault="00000000">
                      <w:r>
                        <w:rPr>
                          <w:rFonts w:ascii="Arial" w:hAnsi="Arial"/>
                          <w:snapToGrid w:val="0"/>
                          <w:color w:val="000000"/>
                          <w:sz w:val="10"/>
                          <w:lang w:val="en-US" w:eastAsia="en-US"/>
                        </w:rPr>
                        <w:t>u</w:t>
                      </w:r>
                    </w:p>
                  </w:txbxContent>
                </v:textbox>
              </v:rect>
              <v:rect id="_x0000_s2280" style="position:absolute;left:4573;top:12103;width:73;height:126" filled="f" stroked="f"/>
              <v:rect id="_x0000_s2281" style="position:absolute;left:4573;top:12121;width:109;height:127" filled="f" stroked="f">
                <v:textbox style="mso-next-textbox:#_x0000_s2281;mso-rotate-with-shape:t" inset="0,0,0,0">
                  <w:txbxContent>
                    <w:p w:rsidR="00000000" w:rsidRDefault="00000000">
                      <w:r>
                        <w:rPr>
                          <w:rFonts w:ascii="Arial" w:hAnsi="Arial"/>
                          <w:snapToGrid w:val="0"/>
                          <w:color w:val="000000"/>
                          <w:sz w:val="10"/>
                          <w:lang w:val="en-US" w:eastAsia="en-US"/>
                        </w:rPr>
                        <w:t>e</w:t>
                      </w:r>
                    </w:p>
                  </w:txbxContent>
                </v:textbox>
              </v:rect>
              <v:rect id="_x0000_s2282" style="position:absolute;left:3138;top:12483;width:73;height:108" filled="f" stroked="f"/>
              <v:rect id="_x0000_s2283" style="position:absolute;left:3138;top:12483;width:127;height:127" filled="f" stroked="f">
                <v:textbox style="mso-next-textbox:#_x0000_s2283;mso-rotate-with-shape:t" inset="0,0,0,0">
                  <w:txbxContent>
                    <w:p w:rsidR="00000000" w:rsidRDefault="00000000">
                      <w:r>
                        <w:rPr>
                          <w:rFonts w:ascii="Arial" w:hAnsi="Arial"/>
                          <w:snapToGrid w:val="0"/>
                          <w:color w:val="000000"/>
                          <w:sz w:val="10"/>
                          <w:lang w:val="en-US" w:eastAsia="en-US"/>
                        </w:rPr>
                        <w:t>E</w:t>
                      </w:r>
                    </w:p>
                  </w:txbxContent>
                </v:textbox>
              </v:rect>
              <v:rect id="_x0000_s2284" style="position:absolute;left:3211;top:12483;width:54;height:108" filled="f" stroked="f"/>
              <v:rect id="_x0000_s2285" style="position:absolute;left:3211;top:12483;width:109;height:127" filled="f" stroked="f">
                <v:textbox style="mso-next-textbox:#_x0000_s2285;mso-rotate-with-shape:t" inset="0,0,0,0">
                  <w:txbxContent>
                    <w:p w:rsidR="00000000" w:rsidRDefault="00000000">
                      <w:r>
                        <w:rPr>
                          <w:rFonts w:ascii="Arial" w:hAnsi="Arial"/>
                          <w:snapToGrid w:val="0"/>
                          <w:color w:val="000000"/>
                          <w:sz w:val="10"/>
                          <w:lang w:val="en-US" w:eastAsia="en-US"/>
                        </w:rPr>
                        <w:t>d</w:t>
                      </w:r>
                    </w:p>
                  </w:txbxContent>
                </v:textbox>
              </v:rect>
              <v:rect id="_x0000_s2286" style="position:absolute;left:3265;top:12483;width:73;height:108" filled="f" stroked="f"/>
              <v:rect id="_x0000_s2287" style="position:absolute;left:3265;top:12483;width:109;height:127" filled="f" stroked="f">
                <v:textbox style="mso-next-textbox:#_x0000_s2287;mso-rotate-with-shape:t" inset="0,0,0,0">
                  <w:txbxContent>
                    <w:p w:rsidR="00000000" w:rsidRDefault="00000000">
                      <w:r>
                        <w:rPr>
                          <w:rFonts w:ascii="Arial" w:hAnsi="Arial"/>
                          <w:snapToGrid w:val="0"/>
                          <w:color w:val="000000"/>
                          <w:sz w:val="10"/>
                          <w:lang w:val="en-US" w:eastAsia="en-US"/>
                        </w:rPr>
                        <w:t>o</w:t>
                      </w:r>
                    </w:p>
                  </w:txbxContent>
                </v:textbox>
              </v:rect>
              <v:rect id="_x0000_s2288" style="position:absolute;left:3029;top:9695;width:73;height:127" filled="f" stroked="f"/>
              <v:rect id="_x0000_s2289" style="position:absolute;left:3029;top:9714;width:127;height:127" filled="f" stroked="f">
                <v:textbox style="mso-next-textbox:#_x0000_s2289;mso-rotate-with-shape:t" inset="0,0,0,0">
                  <w:txbxContent>
                    <w:p w:rsidR="00000000" w:rsidRDefault="00000000">
                      <w:r>
                        <w:rPr>
                          <w:rFonts w:ascii="Arial" w:hAnsi="Arial"/>
                          <w:snapToGrid w:val="0"/>
                          <w:color w:val="000000"/>
                          <w:sz w:val="10"/>
                          <w:lang w:val="en-US" w:eastAsia="en-US"/>
                        </w:rPr>
                        <w:t>S</w:t>
                      </w:r>
                    </w:p>
                  </w:txbxContent>
                </v:textbox>
              </v:rect>
              <v:rect id="_x0000_s2290" style="position:absolute;left:3102;top:9695;width:54;height:127" filled="f" stroked="f"/>
              <v:rect id="_x0000_s2291" style="position:absolute;left:3102;top:9714;width:109;height:127" filled="f" stroked="f">
                <v:textbox style="mso-next-textbox:#_x0000_s2291;mso-rotate-with-shape:t" inset="0,0,0,0">
                  <w:txbxContent>
                    <w:p w:rsidR="00000000" w:rsidRDefault="00000000">
                      <w:r>
                        <w:rPr>
                          <w:rFonts w:ascii="Arial" w:hAnsi="Arial"/>
                          <w:snapToGrid w:val="0"/>
                          <w:color w:val="000000"/>
                          <w:sz w:val="10"/>
                          <w:lang w:val="en-US" w:eastAsia="en-US"/>
                        </w:rPr>
                        <w:t>o</w:t>
                      </w:r>
                    </w:p>
                  </w:txbxContent>
                </v:textbox>
              </v:rect>
              <v:rect id="_x0000_s2292" style="position:absolute;left:3156;top:9695;width:55;height:127" filled="f" stroked="f"/>
              <v:rect id="_x0000_s2293" style="position:absolute;left:3156;top:9714;width:109;height:127" filled="f" stroked="f">
                <v:textbox style="mso-next-textbox:#_x0000_s2293;mso-rotate-with-shape:t" inset="0,0,0,0">
                  <w:txbxContent>
                    <w:p w:rsidR="00000000" w:rsidRDefault="00000000">
                      <w:r>
                        <w:rPr>
                          <w:rFonts w:ascii="Arial" w:hAnsi="Arial"/>
                          <w:snapToGrid w:val="0"/>
                          <w:color w:val="000000"/>
                          <w:sz w:val="10"/>
                          <w:lang w:val="en-US" w:eastAsia="en-US"/>
                        </w:rPr>
                        <w:t>k</w:t>
                      </w:r>
                    </w:p>
                  </w:txbxContent>
                </v:textbox>
              </v:rect>
              <v:rect id="_x0000_s2294" style="position:absolute;left:3211;top:9695;width:72;height:127" filled="f" stroked="f"/>
              <v:rect id="_x0000_s2295" style="position:absolute;left:3211;top:9714;width:109;height:127" filled="f" stroked="f">
                <v:textbox style="mso-next-textbox:#_x0000_s2295;mso-rotate-with-shape:t" inset="0,0,0,0">
                  <w:txbxContent>
                    <w:p w:rsidR="00000000" w:rsidRDefault="00000000">
                      <w:r>
                        <w:rPr>
                          <w:rFonts w:ascii="Arial" w:hAnsi="Arial"/>
                          <w:snapToGrid w:val="0"/>
                          <w:color w:val="000000"/>
                          <w:sz w:val="10"/>
                          <w:lang w:val="en-US" w:eastAsia="en-US"/>
                        </w:rPr>
                        <w:t>o</w:t>
                      </w:r>
                    </w:p>
                  </w:txbxContent>
                </v:textbox>
              </v:rect>
              <v:rect id="_x0000_s2296" style="position:absolute;left:3283;top:9695;width:37;height:127" filled="f" stroked="f"/>
              <v:rect id="_x0000_s2297" style="position:absolute;left:3283;top:9714;width:91;height:127" filled="f" stroked="f">
                <v:textbox style="mso-next-textbox:#_x0000_s2297;mso-rotate-with-shape:t" inset="0,0,0,0">
                  <w:txbxContent>
                    <w:p w:rsidR="00000000" w:rsidRDefault="00000000">
                      <w:r>
                        <w:rPr>
                          <w:rFonts w:ascii="Arial" w:hAnsi="Arial"/>
                          <w:snapToGrid w:val="0"/>
                          <w:color w:val="000000"/>
                          <w:sz w:val="10"/>
                          <w:lang w:val="en-US" w:eastAsia="en-US"/>
                        </w:rPr>
                        <w:t>t</w:t>
                      </w:r>
                    </w:p>
                  </w:txbxContent>
                </v:textbox>
              </v:rect>
              <v:rect id="_x0000_s2298" style="position:absolute;left:3302;top:9695;width:72;height:127" filled="f" stroked="f"/>
              <v:rect id="_x0000_s2299" style="position:absolute;left:3302;top:9714;width:109;height:127" filled="f" stroked="f">
                <v:textbox style="mso-next-textbox:#_x0000_s2299;mso-rotate-with-shape:t" inset="0,0,0,0">
                  <w:txbxContent>
                    <w:p w:rsidR="00000000" w:rsidRDefault="00000000">
                      <w:r>
                        <w:rPr>
                          <w:rFonts w:ascii="Arial" w:hAnsi="Arial"/>
                          <w:snapToGrid w:val="0"/>
                          <w:color w:val="000000"/>
                          <w:sz w:val="10"/>
                          <w:lang w:val="en-US" w:eastAsia="en-US"/>
                        </w:rPr>
                        <w:t>o</w:t>
                      </w:r>
                    </w:p>
                  </w:txbxContent>
                </v:textbox>
              </v:rect>
              <v:rect id="_x0000_s2300" style="position:absolute;left:3029;top:10130;width:54;height:126" filled="f" stroked="f"/>
              <v:rect id="_x0000_s2301" style="position:absolute;left:3029;top:10148;width:127;height:127" filled="f" stroked="f">
                <v:textbox style="mso-next-textbox:#_x0000_s2301;mso-rotate-with-shape:t" inset="0,0,0,0">
                  <w:txbxContent>
                    <w:p w:rsidR="00000000" w:rsidRDefault="00000000">
                      <w:r>
                        <w:rPr>
                          <w:rFonts w:ascii="Arial" w:hAnsi="Arial"/>
                          <w:snapToGrid w:val="0"/>
                          <w:color w:val="000000"/>
                          <w:sz w:val="10"/>
                          <w:lang w:val="en-US" w:eastAsia="en-US"/>
                        </w:rPr>
                        <w:t>Z</w:t>
                      </w:r>
                    </w:p>
                  </w:txbxContent>
                </v:textbox>
              </v:rect>
              <v:rect id="_x0000_s2302" style="position:absolute;left:3083;top:10130;width:73;height:126" filled="f" stroked="f"/>
              <v:rect id="_x0000_s2303" style="position:absolute;left:3083;top:10148;width:109;height:127" filled="f" stroked="f">
                <v:textbox style="mso-next-textbox:#_x0000_s2303;mso-rotate-with-shape:t" inset="0,0,0,0">
                  <w:txbxContent>
                    <w:p w:rsidR="00000000" w:rsidRDefault="00000000">
                      <w:r>
                        <w:rPr>
                          <w:rFonts w:ascii="Arial" w:hAnsi="Arial"/>
                          <w:snapToGrid w:val="0"/>
                          <w:color w:val="000000"/>
                          <w:sz w:val="10"/>
                          <w:lang w:val="en-US" w:eastAsia="en-US"/>
                        </w:rPr>
                        <w:t>a</w:t>
                      </w:r>
                    </w:p>
                  </w:txbxContent>
                </v:textbox>
              </v:rect>
              <v:rect id="_x0000_s2304" style="position:absolute;left:3156;top:10130;width:91;height:126" filled="f" stroked="f"/>
              <v:rect id="_x0000_s2305" style="position:absolute;left:3156;top:10148;width:145;height:127" filled="f" stroked="f">
                <v:textbox style="mso-next-textbox:#_x0000_s2305;mso-rotate-with-shape:t" inset="0,0,0,0">
                  <w:txbxContent>
                    <w:p w:rsidR="00000000" w:rsidRDefault="00000000">
                      <w:r>
                        <w:rPr>
                          <w:rFonts w:ascii="Arial" w:hAnsi="Arial"/>
                          <w:snapToGrid w:val="0"/>
                          <w:color w:val="000000"/>
                          <w:sz w:val="10"/>
                          <w:lang w:val="en-US" w:eastAsia="en-US"/>
                        </w:rPr>
                        <w:t>m</w:t>
                      </w:r>
                    </w:p>
                  </w:txbxContent>
                </v:textbox>
              </v:rect>
              <v:rect id="_x0000_s2306" style="position:absolute;left:3247;top:10130;width:36;height:126" filled="f" stroked="f"/>
              <v:rect id="_x0000_s2307" style="position:absolute;left:3247;top:10148;width:91;height:127" filled="f" stroked="f">
                <v:textbox style="mso-next-textbox:#_x0000_s2307;mso-rotate-with-shape:t" inset="0,0,0,0">
                  <w:txbxContent>
                    <w:p w:rsidR="00000000" w:rsidRDefault="00000000">
                      <w:r>
                        <w:rPr>
                          <w:rFonts w:ascii="Arial" w:hAnsi="Arial"/>
                          <w:snapToGrid w:val="0"/>
                          <w:color w:val="000000"/>
                          <w:sz w:val="10"/>
                          <w:lang w:val="en-US" w:eastAsia="en-US"/>
                        </w:rPr>
                        <w:t>f</w:t>
                      </w:r>
                    </w:p>
                  </w:txbxContent>
                </v:textbox>
              </v:rect>
              <v:rect id="_x0000_s2308" style="position:absolute;left:3283;top:10130;width:55;height:126" filled="f" stroked="f"/>
              <v:rect id="_x0000_s2309" style="position:absolute;left:3283;top:10148;width:109;height:127" filled="f" stroked="f">
                <v:textbox style="mso-next-textbox:#_x0000_s2309;mso-rotate-with-shape:t" inset="0,0,0,0">
                  <w:txbxContent>
                    <w:p w:rsidR="00000000" w:rsidRDefault="00000000">
                      <w:r>
                        <w:rPr>
                          <w:rFonts w:ascii="Arial" w:hAnsi="Arial"/>
                          <w:snapToGrid w:val="0"/>
                          <w:color w:val="000000"/>
                          <w:sz w:val="10"/>
                          <w:lang w:val="en-US" w:eastAsia="en-US"/>
                        </w:rPr>
                        <w:t>a</w:t>
                      </w:r>
                    </w:p>
                  </w:txbxContent>
                </v:textbox>
              </v:rect>
              <v:rect id="_x0000_s2310" style="position:absolute;left:3338;top:10130;width:54;height:126" filled="f" stroked="f"/>
              <v:rect id="_x0000_s2311" style="position:absolute;left:3338;top:10148;width:91;height:127" filled="f" stroked="f">
                <v:textbox style="mso-next-textbox:#_x0000_s2311;mso-rotate-with-shape:t" inset="0,0,0,0">
                  <w:txbxContent>
                    <w:p w:rsidR="00000000" w:rsidRDefault="00000000">
                      <w:r>
                        <w:rPr>
                          <w:rFonts w:ascii="Arial" w:hAnsi="Arial"/>
                          <w:snapToGrid w:val="0"/>
                          <w:color w:val="000000"/>
                          <w:sz w:val="10"/>
                          <w:lang w:val="en-US" w:eastAsia="en-US"/>
                        </w:rPr>
                        <w:t>r</w:t>
                      </w:r>
                    </w:p>
                  </w:txbxContent>
                </v:textbox>
              </v:rect>
              <v:rect id="_x0000_s2312" style="position:absolute;left:3374;top:10130;width:73;height:126" filled="f" stroked="f"/>
              <v:rect id="_x0000_s2313" style="position:absolute;left:3374;top:10148;width:109;height:127" filled="f" stroked="f">
                <v:textbox style="mso-next-textbox:#_x0000_s2313;mso-rotate-with-shape:t" inset="0,0,0,0">
                  <w:txbxContent>
                    <w:p w:rsidR="00000000" w:rsidRDefault="00000000">
                      <w:r>
                        <w:rPr>
                          <w:rFonts w:ascii="Arial" w:hAnsi="Arial"/>
                          <w:snapToGrid w:val="0"/>
                          <w:color w:val="000000"/>
                          <w:sz w:val="10"/>
                          <w:lang w:val="en-US" w:eastAsia="en-US"/>
                        </w:rPr>
                        <w:t>a</w:t>
                      </w:r>
                    </w:p>
                  </w:txbxContent>
                </v:textbox>
              </v:rect>
              <v:rect id="_x0000_s2314" style="position:absolute;left:4192;top:10274;width:73;height:127" filled="f" stroked="f"/>
              <v:rect id="_x0000_s2315" style="position:absolute;left:4192;top:10293;width:127;height:127" filled="f" stroked="f">
                <v:textbox style="mso-next-textbox:#_x0000_s2315;mso-rotate-with-shape:t" inset="0,0,0,0">
                  <w:txbxContent>
                    <w:p w:rsidR="00000000" w:rsidRDefault="00000000">
                      <w:r>
                        <w:rPr>
                          <w:rFonts w:ascii="Arial" w:hAnsi="Arial"/>
                          <w:snapToGrid w:val="0"/>
                          <w:color w:val="000000"/>
                          <w:sz w:val="10"/>
                          <w:lang w:val="en-US" w:eastAsia="en-US"/>
                        </w:rPr>
                        <w:t>K</w:t>
                      </w:r>
                    </w:p>
                  </w:txbxContent>
                </v:textbox>
              </v:rect>
              <v:rect id="_x0000_s2316" style="position:absolute;left:4265;top:10274;width:72;height:127" filled="f" stroked="f"/>
              <v:rect id="_x0000_s2317" style="position:absolute;left:4265;top:10293;width:109;height:127" filled="f" stroked="f">
                <v:textbox style="mso-next-textbox:#_x0000_s2317;mso-rotate-with-shape:t" inset="0,0,0,0">
                  <w:txbxContent>
                    <w:p w:rsidR="00000000" w:rsidRDefault="00000000">
                      <w:r>
                        <w:rPr>
                          <w:rFonts w:ascii="Arial" w:hAnsi="Arial"/>
                          <w:snapToGrid w:val="0"/>
                          <w:color w:val="000000"/>
                          <w:sz w:val="10"/>
                          <w:lang w:val="en-US" w:eastAsia="en-US"/>
                        </w:rPr>
                        <w:t>a</w:t>
                      </w:r>
                    </w:p>
                  </w:txbxContent>
                </v:textbox>
              </v:rect>
              <v:rect id="_x0000_s2318" style="position:absolute;left:4337;top:10274;width:55;height:127" filled="f" stroked="f"/>
              <v:rect id="_x0000_s2319" style="position:absolute;left:4337;top:10293;width:109;height:127" filled="f" stroked="f">
                <v:textbox style="mso-next-textbox:#_x0000_s2319;mso-rotate-with-shape:t" inset="0,0,0,0">
                  <w:txbxContent>
                    <w:p w:rsidR="00000000" w:rsidRDefault="00000000">
                      <w:r>
                        <w:rPr>
                          <w:rFonts w:ascii="Arial" w:hAnsi="Arial"/>
                          <w:snapToGrid w:val="0"/>
                          <w:color w:val="000000"/>
                          <w:sz w:val="10"/>
                          <w:lang w:val="en-US" w:eastAsia="en-US"/>
                        </w:rPr>
                        <w:t>n</w:t>
                      </w:r>
                    </w:p>
                  </w:txbxContent>
                </v:textbox>
              </v:rect>
              <v:rect id="_x0000_s2320" style="position:absolute;left:4392;top:10274;width:72;height:127" filled="f" stroked="f"/>
              <v:rect id="_x0000_s2321" style="position:absolute;left:4392;top:10293;width:109;height:127" filled="f" stroked="f">
                <v:textbox style="mso-next-textbox:#_x0000_s2321;mso-rotate-with-shape:t" inset="0,0,0,0">
                  <w:txbxContent>
                    <w:p w:rsidR="00000000" w:rsidRDefault="00000000">
                      <w:r>
                        <w:rPr>
                          <w:rFonts w:ascii="Arial" w:hAnsi="Arial"/>
                          <w:snapToGrid w:val="0"/>
                          <w:color w:val="000000"/>
                          <w:sz w:val="10"/>
                          <w:lang w:val="en-US" w:eastAsia="en-US"/>
                        </w:rPr>
                        <w:t>o</w:t>
                      </w:r>
                    </w:p>
                  </w:txbxContent>
                </v:textbox>
              </v:rect>
              <v:rect id="_x0000_s2322" style="position:absolute;left:4610;top:11487;width:72;height:127" filled="f" stroked="f"/>
              <v:rect id="_x0000_s2323" style="position:absolute;left:4610;top:11506;width:127;height:127" filled="f" stroked="f">
                <v:textbox style="mso-next-textbox:#_x0000_s2323;mso-rotate-with-shape:t" inset="0,0,0,0">
                  <w:txbxContent>
                    <w:p w:rsidR="00000000" w:rsidRDefault="00000000">
                      <w:r>
                        <w:rPr>
                          <w:rFonts w:ascii="Arial" w:hAnsi="Arial"/>
                          <w:snapToGrid w:val="0"/>
                          <w:color w:val="000000"/>
                          <w:sz w:val="10"/>
                          <w:lang w:val="en-US" w:eastAsia="en-US"/>
                        </w:rPr>
                        <w:t>P</w:t>
                      </w:r>
                    </w:p>
                  </w:txbxContent>
                </v:textbox>
              </v:rect>
              <v:rect id="_x0000_s2324" style="position:absolute;left:4682;top:11487;width:37;height:127" filled="f" stroked="f"/>
              <v:rect id="_x0000_s2325" style="position:absolute;left:4682;top:11506;width:73;height:127" filled="f" stroked="f">
                <v:textbox style="mso-next-textbox:#_x0000_s2325;mso-rotate-with-shape:t" inset="0,0,0,0">
                  <w:txbxContent>
                    <w:p w:rsidR="00000000" w:rsidRDefault="00000000">
                      <w:r>
                        <w:rPr>
                          <w:rFonts w:ascii="Arial" w:hAnsi="Arial"/>
                          <w:snapToGrid w:val="0"/>
                          <w:color w:val="000000"/>
                          <w:sz w:val="10"/>
                          <w:lang w:val="en-US" w:eastAsia="en-US"/>
                        </w:rPr>
                        <w:t>l</w:t>
                      </w:r>
                    </w:p>
                  </w:txbxContent>
                </v:textbox>
              </v:rect>
              <v:rect id="_x0000_s2326" style="position:absolute;left:4701;top:11487;width:54;height:127" filled="f" stroked="f"/>
              <v:rect id="_x0000_s2327" style="position:absolute;left:4701;top:11506;width:109;height:127" filled="f" stroked="f">
                <v:textbox style="mso-next-textbox:#_x0000_s2327;mso-rotate-with-shape:t" inset="0,0,0,0">
                  <w:txbxContent>
                    <w:p w:rsidR="00000000" w:rsidRDefault="00000000">
                      <w:r>
                        <w:rPr>
                          <w:rFonts w:ascii="Arial" w:hAnsi="Arial"/>
                          <w:snapToGrid w:val="0"/>
                          <w:color w:val="000000"/>
                          <w:sz w:val="10"/>
                          <w:lang w:val="en-US" w:eastAsia="en-US"/>
                        </w:rPr>
                        <w:t>a</w:t>
                      </w:r>
                    </w:p>
                  </w:txbxContent>
                </v:textbox>
              </v:rect>
              <v:rect id="_x0000_s2328" style="position:absolute;left:4755;top:11487;width:36;height:127" filled="f" stroked="f"/>
              <v:rect id="_x0000_s2329" style="position:absolute;left:4755;top:11506;width:91;height:127" filled="f" stroked="f">
                <v:textbox style="mso-next-textbox:#_x0000_s2329;mso-rotate-with-shape:t" inset="0,0,0,0">
                  <w:txbxContent>
                    <w:p w:rsidR="00000000" w:rsidRDefault="00000000">
                      <w:r>
                        <w:rPr>
                          <w:rFonts w:ascii="Arial" w:hAnsi="Arial"/>
                          <w:snapToGrid w:val="0"/>
                          <w:color w:val="000000"/>
                          <w:sz w:val="10"/>
                          <w:lang w:val="en-US" w:eastAsia="en-US"/>
                        </w:rPr>
                        <w:t>t</w:t>
                      </w:r>
                    </w:p>
                  </w:txbxContent>
                </v:textbox>
              </v:rect>
              <v:rect id="_x0000_s2330" style="position:absolute;left:4791;top:11487;width:73;height:127" filled="f" stroked="f"/>
              <v:rect id="_x0000_s2331" style="position:absolute;left:4791;top:11506;width:109;height:127" filled="f" stroked="f">
                <v:textbox style="mso-next-textbox:#_x0000_s2331;mso-rotate-with-shape:t" inset="0,0,0,0">
                  <w:txbxContent>
                    <w:p w:rsidR="00000000" w:rsidRDefault="00000000">
                      <w:r>
                        <w:rPr>
                          <w:rFonts w:ascii="Arial" w:hAnsi="Arial"/>
                          <w:snapToGrid w:val="0"/>
                          <w:color w:val="000000"/>
                          <w:sz w:val="10"/>
                          <w:lang w:val="en-US" w:eastAsia="en-US"/>
                        </w:rPr>
                        <w:t>e</w:t>
                      </w:r>
                    </w:p>
                  </w:txbxContent>
                </v:textbox>
              </v:rect>
              <v:rect id="_x0000_s2332" style="position:absolute;left:4864;top:11487;width:55;height:127" filled="f" stroked="f"/>
              <v:rect id="_x0000_s2333" style="position:absolute;left:4864;top:11506;width:109;height:127" filled="f" stroked="f">
                <v:textbox style="mso-next-textbox:#_x0000_s2333;mso-rotate-with-shape:t" inset="0,0,0,0">
                  <w:txbxContent>
                    <w:p w:rsidR="00000000" w:rsidRDefault="00000000">
                      <w:r>
                        <w:rPr>
                          <w:rFonts w:ascii="Arial" w:hAnsi="Arial"/>
                          <w:snapToGrid w:val="0"/>
                          <w:color w:val="000000"/>
                          <w:sz w:val="10"/>
                          <w:lang w:val="en-US" w:eastAsia="en-US"/>
                        </w:rPr>
                        <w:t>a</w:t>
                      </w:r>
                    </w:p>
                  </w:txbxContent>
                </v:textbox>
              </v:rect>
              <v:rect id="_x0000_s2334" style="position:absolute;left:4919;top:11487;width:72;height:127" filled="f" stroked="f"/>
              <v:rect id="_x0000_s2335" style="position:absolute;left:4919;top:11506;width:109;height:127" filled="f" stroked="f">
                <v:textbox style="mso-next-textbox:#_x0000_s2335;mso-rotate-with-shape:t" inset="0,0,0,0">
                  <w:txbxContent>
                    <w:p w:rsidR="00000000" w:rsidRDefault="00000000">
                      <w:r>
                        <w:rPr>
                          <w:rFonts w:ascii="Arial" w:hAnsi="Arial"/>
                          <w:snapToGrid w:val="0"/>
                          <w:color w:val="000000"/>
                          <w:sz w:val="10"/>
                          <w:lang w:val="en-US" w:eastAsia="en-US"/>
                        </w:rPr>
                        <w:t>u</w:t>
                      </w:r>
                    </w:p>
                  </w:txbxContent>
                </v:textbox>
              </v:rect>
              <v:rect id="_x0000_s2336" style="position:absolute;left:5645;top:11379;width:73;height:108" filled="f" stroked="f"/>
              <v:rect id="_x0000_s2337" style="position:absolute;left:5645;top:11379;width:127;height:127" filled="f" stroked="f">
                <v:textbox style="mso-next-textbox:#_x0000_s2337;mso-rotate-with-shape:t" inset="0,0,0,0">
                  <w:txbxContent>
                    <w:p w:rsidR="00000000" w:rsidRDefault="00000000">
                      <w:r>
                        <w:rPr>
                          <w:rFonts w:ascii="Arial" w:hAnsi="Arial"/>
                          <w:snapToGrid w:val="0"/>
                          <w:color w:val="000000"/>
                          <w:sz w:val="10"/>
                          <w:lang w:val="en-US" w:eastAsia="en-US"/>
                        </w:rPr>
                        <w:t>A</w:t>
                      </w:r>
                    </w:p>
                  </w:txbxContent>
                </v:textbox>
              </v:rect>
              <v:rect id="_x0000_s2338" style="position:absolute;left:5718;top:11379;width:55;height:108" filled="f" stroked="f"/>
              <v:rect id="_x0000_s2339" style="position:absolute;left:5718;top:11379;width:109;height:127" filled="f" stroked="f">
                <v:textbox style="mso-next-textbox:#_x0000_s2339;mso-rotate-with-shape:t" inset="0,0,0,0">
                  <w:txbxContent>
                    <w:p w:rsidR="00000000" w:rsidRDefault="00000000">
                      <w:r>
                        <w:rPr>
                          <w:rFonts w:ascii="Arial" w:hAnsi="Arial"/>
                          <w:snapToGrid w:val="0"/>
                          <w:color w:val="000000"/>
                          <w:sz w:val="10"/>
                          <w:lang w:val="en-US" w:eastAsia="en-US"/>
                        </w:rPr>
                        <w:t>d</w:t>
                      </w:r>
                    </w:p>
                  </w:txbxContent>
                </v:textbox>
              </v:rect>
              <v:rect id="_x0000_s2340" style="position:absolute;left:5773;top:11379;width:72;height:108" filled="f" stroked="f"/>
              <v:rect id="_x0000_s2341" style="position:absolute;left:5773;top:11379;width:109;height:127" filled="f" stroked="f">
                <v:textbox style="mso-next-textbox:#_x0000_s2341;mso-rotate-with-shape:t" inset="0,0,0,0">
                  <w:txbxContent>
                    <w:p w:rsidR="00000000" w:rsidRDefault="00000000">
                      <w:r>
                        <w:rPr>
                          <w:rFonts w:ascii="Arial" w:hAnsi="Arial"/>
                          <w:snapToGrid w:val="0"/>
                          <w:color w:val="000000"/>
                          <w:sz w:val="10"/>
                          <w:lang w:val="en-US" w:eastAsia="en-US"/>
                        </w:rPr>
                        <w:t>a</w:t>
                      </w:r>
                    </w:p>
                  </w:txbxContent>
                </v:textbox>
              </v:rect>
              <v:rect id="_x0000_s2342" style="position:absolute;left:5845;top:11379;width:91;height:108" filled="f" stroked="f"/>
              <v:rect id="_x0000_s2343" style="position:absolute;left:5845;top:11379;width:145;height:127" filled="f" stroked="f">
                <v:textbox style="mso-next-textbox:#_x0000_s2343;mso-rotate-with-shape:t" inset="0,0,0,0">
                  <w:txbxContent>
                    <w:p w:rsidR="00000000" w:rsidRDefault="00000000">
                      <w:r>
                        <w:rPr>
                          <w:rFonts w:ascii="Arial" w:hAnsi="Arial"/>
                          <w:snapToGrid w:val="0"/>
                          <w:color w:val="000000"/>
                          <w:sz w:val="10"/>
                          <w:lang w:val="en-US" w:eastAsia="en-US"/>
                        </w:rPr>
                        <w:t>m</w:t>
                      </w:r>
                    </w:p>
                  </w:txbxContent>
                </v:textbox>
              </v:rect>
              <v:rect id="_x0000_s2344" style="position:absolute;left:5936;top:11379;width:73;height:108" filled="f" stroked="f"/>
              <v:rect id="_x0000_s2345" style="position:absolute;left:5936;top:11379;width:109;height:127" filled="f" stroked="f">
                <v:textbox style="mso-next-textbox:#_x0000_s2345;mso-rotate-with-shape:t" inset="0,0,0,0">
                  <w:txbxContent>
                    <w:p w:rsidR="00000000" w:rsidRDefault="00000000">
                      <w:r>
                        <w:rPr>
                          <w:rFonts w:ascii="Arial" w:hAnsi="Arial"/>
                          <w:snapToGrid w:val="0"/>
                          <w:color w:val="000000"/>
                          <w:sz w:val="10"/>
                          <w:lang w:val="en-US" w:eastAsia="en-US"/>
                        </w:rPr>
                        <w:t>a</w:t>
                      </w:r>
                    </w:p>
                  </w:txbxContent>
                </v:textbox>
              </v:rect>
              <v:rect id="_x0000_s2346" style="position:absolute;left:5991;top:11379;width:91;height:108" filled="f" stroked="f"/>
              <v:rect id="_x0000_s2347" style="position:absolute;left:5991;top:11379;width:127;height:127" filled="f" stroked="f">
                <v:textbox style="mso-next-textbox:#_x0000_s2347;mso-rotate-with-shape:t" inset="0,0,0,0">
                  <w:txbxContent>
                    <w:p w:rsidR="00000000" w:rsidRDefault="00000000">
                      <w:r>
                        <w:rPr>
                          <w:rFonts w:ascii="Arial" w:hAnsi="Arial"/>
                          <w:snapToGrid w:val="0"/>
                          <w:color w:val="000000"/>
                          <w:sz w:val="10"/>
                          <w:lang w:val="en-US" w:eastAsia="en-US"/>
                        </w:rPr>
                        <w:t>w</w:t>
                      </w:r>
                    </w:p>
                  </w:txbxContent>
                </v:textbox>
              </v:rect>
              <v:rect id="_x0000_s2348" style="position:absolute;left:6082;top:11379;width:54;height:108" filled="f" stroked="f"/>
              <v:rect id="_x0000_s2349" style="position:absolute;left:6082;top:11379;width:109;height:127" filled="f" stroked="f">
                <v:textbox style="mso-next-textbox:#_x0000_s2349;mso-rotate-with-shape:t" inset="0,0,0,0">
                  <w:txbxContent>
                    <w:p w:rsidR="00000000" w:rsidRDefault="00000000">
                      <w:r>
                        <w:rPr>
                          <w:rFonts w:ascii="Arial" w:hAnsi="Arial"/>
                          <w:snapToGrid w:val="0"/>
                          <w:color w:val="000000"/>
                          <w:sz w:val="10"/>
                          <w:lang w:val="en-US" w:eastAsia="en-US"/>
                        </w:rPr>
                        <w:t>a</w:t>
                      </w:r>
                    </w:p>
                  </w:txbxContent>
                </v:textbox>
              </v:rect>
              <v:rect id="_x0000_s2350" style="position:absolute;left:4592;top:10202;width:54;height:109" filled="f" stroked="f"/>
              <v:rect id="_x0000_s2351" style="position:absolute;left:4592;top:10202;width:109;height:127" filled="f" stroked="f">
                <v:textbox style="mso-next-textbox:#_x0000_s2351;mso-rotate-with-shape:t" inset="0,0,0,0">
                  <w:txbxContent>
                    <w:p w:rsidR="00000000" w:rsidRDefault="00000000">
                      <w:r>
                        <w:rPr>
                          <w:rFonts w:ascii="Arial" w:hAnsi="Arial"/>
                          <w:snapToGrid w:val="0"/>
                          <w:color w:val="000000"/>
                          <w:sz w:val="10"/>
                          <w:lang w:val="en-US" w:eastAsia="en-US"/>
                        </w:rPr>
                        <w:t>J</w:t>
                      </w:r>
                    </w:p>
                  </w:txbxContent>
                </v:textbox>
              </v:rect>
              <v:rect id="_x0000_s2352" style="position:absolute;left:4646;top:10202;width:36;height:109" filled="f" stroked="f"/>
              <v:rect id="_x0000_s2353" style="position:absolute;left:4646;top:10202;width:73;height:127" filled="f" stroked="f">
                <v:textbox style="mso-next-textbox:#_x0000_s2353;mso-rotate-with-shape:t" inset="0,0,0,0">
                  <w:txbxContent>
                    <w:p w:rsidR="00000000" w:rsidRDefault="00000000">
                      <w:r>
                        <w:rPr>
                          <w:rFonts w:ascii="Arial" w:hAnsi="Arial"/>
                          <w:snapToGrid w:val="0"/>
                          <w:color w:val="000000"/>
                          <w:sz w:val="10"/>
                          <w:lang w:val="en-US" w:eastAsia="en-US"/>
                        </w:rPr>
                        <w:t>i</w:t>
                      </w:r>
                    </w:p>
                  </w:txbxContent>
                </v:textbox>
              </v:rect>
              <v:rect id="_x0000_s2354" style="position:absolute;left:4682;top:10202;width:55;height:109" filled="f" stroked="f"/>
              <v:rect id="_x0000_s2355" style="position:absolute;left:4682;top:10202;width:109;height:127" filled="f" stroked="f">
                <v:textbox style="mso-next-textbox:#_x0000_s2355;mso-rotate-with-shape:t" inset="0,0,0,0">
                  <w:txbxContent>
                    <w:p w:rsidR="00000000" w:rsidRDefault="00000000">
                      <w:r>
                        <w:rPr>
                          <w:rFonts w:ascii="Arial" w:hAnsi="Arial"/>
                          <w:snapToGrid w:val="0"/>
                          <w:color w:val="000000"/>
                          <w:sz w:val="10"/>
                          <w:lang w:val="en-US" w:eastAsia="en-US"/>
                        </w:rPr>
                        <w:t>g</w:t>
                      </w:r>
                    </w:p>
                  </w:txbxContent>
                </v:textbox>
              </v:rect>
              <v:rect id="_x0000_s2356" style="position:absolute;left:4719;top:10202;width:72;height:109" filled="f" stroked="f"/>
              <v:rect id="_x0000_s2357" style="position:absolute;left:4719;top:10202;width:109;height:127" filled="f" stroked="f">
                <v:textbox style="mso-next-textbox:#_x0000_s2357;mso-rotate-with-shape:t" inset="0,0,0,0">
                  <w:txbxContent>
                    <w:p w:rsidR="00000000" w:rsidRDefault="00000000">
                      <w:r>
                        <w:rPr>
                          <w:rFonts w:ascii="Arial" w:hAnsi="Arial"/>
                          <w:snapToGrid w:val="0"/>
                          <w:color w:val="000000"/>
                          <w:sz w:val="10"/>
                          <w:lang w:val="en-US" w:eastAsia="en-US"/>
                        </w:rPr>
                        <w:t>a</w:t>
                      </w:r>
                    </w:p>
                  </w:txbxContent>
                </v:textbox>
              </v:rect>
              <v:rect id="_x0000_s2358" style="position:absolute;left:4791;top:10202;width:73;height:109" filled="f" stroked="f"/>
              <v:rect id="_x0000_s2359" style="position:absolute;left:4791;top:10202;width:127;height:127" filled="f" stroked="f">
                <v:textbox style="mso-next-textbox:#_x0000_s2359;mso-rotate-with-shape:t" inset="0,0,0,0">
                  <w:txbxContent>
                    <w:p w:rsidR="00000000" w:rsidRDefault="00000000">
                      <w:r>
                        <w:rPr>
                          <w:rFonts w:ascii="Arial" w:hAnsi="Arial"/>
                          <w:snapToGrid w:val="0"/>
                          <w:color w:val="000000"/>
                          <w:sz w:val="10"/>
                          <w:lang w:val="en-US" w:eastAsia="en-US"/>
                        </w:rPr>
                        <w:t>w</w:t>
                      </w:r>
                    </w:p>
                  </w:txbxContent>
                </v:textbox>
              </v:rect>
              <v:rect id="_x0000_s2360" style="position:absolute;left:4882;top:10202;width:55;height:109" filled="f" stroked="f"/>
              <v:rect id="_x0000_s2361" style="position:absolute;left:4882;top:10202;width:109;height:127" filled="f" stroked="f">
                <v:textbox style="mso-next-textbox:#_x0000_s2361;mso-rotate-with-shape:t" inset="0,0,0,0">
                  <w:txbxContent>
                    <w:p w:rsidR="00000000" w:rsidRDefault="00000000">
                      <w:r>
                        <w:rPr>
                          <w:rFonts w:ascii="Arial" w:hAnsi="Arial"/>
                          <w:snapToGrid w:val="0"/>
                          <w:color w:val="000000"/>
                          <w:sz w:val="10"/>
                          <w:lang w:val="en-US" w:eastAsia="en-US"/>
                        </w:rPr>
                        <w:t>a</w:t>
                      </w:r>
                    </w:p>
                  </w:txbxContent>
                </v:textbox>
              </v:rect>
              <v:rect id="_x0000_s2362" style="position:absolute;left:3756;top:10130;width:72;height:108" filled="f" stroked="f"/>
              <v:rect id="_x0000_s2363" style="position:absolute;left:3756;top:10130;width:127;height:127" filled="f" stroked="f">
                <v:textbox style="mso-next-textbox:#_x0000_s2363;mso-rotate-with-shape:t" inset="0,0,0,0">
                  <w:txbxContent>
                    <w:p w:rsidR="00000000" w:rsidRDefault="00000000">
                      <w:r>
                        <w:rPr>
                          <w:rFonts w:ascii="Arial" w:hAnsi="Arial"/>
                          <w:snapToGrid w:val="0"/>
                          <w:color w:val="000000"/>
                          <w:sz w:val="10"/>
                          <w:lang w:val="en-US" w:eastAsia="en-US"/>
                        </w:rPr>
                        <w:t>K</w:t>
                      </w:r>
                    </w:p>
                  </w:txbxContent>
                </v:textbox>
              </v:rect>
              <v:rect id="_x0000_s2364" style="position:absolute;left:3828;top:10130;width:55;height:108" filled="f" stroked="f"/>
              <v:rect id="_x0000_s2365" style="position:absolute;left:3828;top:10130;width:109;height:127" filled="f" stroked="f">
                <v:textbox style="mso-next-textbox:#_x0000_s2365;mso-rotate-with-shape:t" inset="0,0,0,0">
                  <w:txbxContent>
                    <w:p w:rsidR="00000000" w:rsidRDefault="00000000">
                      <w:r>
                        <w:rPr>
                          <w:rFonts w:ascii="Arial" w:hAnsi="Arial"/>
                          <w:snapToGrid w:val="0"/>
                          <w:color w:val="000000"/>
                          <w:sz w:val="10"/>
                          <w:lang w:val="en-US" w:eastAsia="en-US"/>
                        </w:rPr>
                        <w:t>a</w:t>
                      </w:r>
                    </w:p>
                  </w:txbxContent>
                </v:textbox>
              </v:rect>
              <v:rect id="_x0000_s2366" style="position:absolute;left:3883;top:10130;width:54;height:108" filled="f" stroked="f"/>
              <v:rect id="_x0000_s2367" style="position:absolute;left:3883;top:10130;width:91;height:127" filled="f" stroked="f">
                <v:textbox style="mso-next-textbox:#_x0000_s2367;mso-rotate-with-shape:t" inset="0,0,0,0">
                  <w:txbxContent>
                    <w:p w:rsidR="00000000" w:rsidRDefault="00000000">
                      <w:r>
                        <w:rPr>
                          <w:rFonts w:ascii="Arial" w:hAnsi="Arial"/>
                          <w:snapToGrid w:val="0"/>
                          <w:color w:val="000000"/>
                          <w:sz w:val="10"/>
                          <w:lang w:val="en-US" w:eastAsia="en-US"/>
                        </w:rPr>
                        <w:t>t</w:t>
                      </w:r>
                    </w:p>
                  </w:txbxContent>
                </v:textbox>
              </v:rect>
              <v:rect id="_x0000_s2368" style="position:absolute;left:3919;top:10130;width:55;height:108" filled="f" stroked="f"/>
              <v:rect id="_x0000_s2369" style="position:absolute;left:3919;top:10130;width:109;height:127" filled="f" stroked="f">
                <v:textbox style="mso-next-textbox:#_x0000_s2369;mso-rotate-with-shape:t" inset="0,0,0,0">
                  <w:txbxContent>
                    <w:p w:rsidR="00000000" w:rsidRDefault="00000000">
                      <w:r>
                        <w:rPr>
                          <w:rFonts w:ascii="Arial" w:hAnsi="Arial"/>
                          <w:snapToGrid w:val="0"/>
                          <w:color w:val="000000"/>
                          <w:sz w:val="10"/>
                          <w:lang w:val="en-US" w:eastAsia="en-US"/>
                        </w:rPr>
                        <w:t>s</w:t>
                      </w:r>
                    </w:p>
                  </w:txbxContent>
                </v:textbox>
              </v:rect>
              <v:rect id="_x0000_s2370" style="position:absolute;left:3974;top:10130;width:36;height:108" filled="f" stroked="f"/>
              <v:rect id="_x0000_s2371" style="position:absolute;left:3974;top:10130;width:73;height:127" filled="f" stroked="f">
                <v:textbox style="mso-next-textbox:#_x0000_s2371;mso-rotate-with-shape:t" inset="0,0,0,0">
                  <w:txbxContent>
                    <w:p w:rsidR="00000000" w:rsidRDefault="00000000">
                      <w:r>
                        <w:rPr>
                          <w:rFonts w:ascii="Arial" w:hAnsi="Arial"/>
                          <w:snapToGrid w:val="0"/>
                          <w:color w:val="000000"/>
                          <w:sz w:val="10"/>
                          <w:lang w:val="en-US" w:eastAsia="en-US"/>
                        </w:rPr>
                        <w:t>i</w:t>
                      </w:r>
                    </w:p>
                  </w:txbxContent>
                </v:textbox>
              </v:rect>
              <v:rect id="_x0000_s2372" style="position:absolute;left:4010;top:10130;width:55;height:108" filled="f" stroked="f"/>
              <v:rect id="_x0000_s2373" style="position:absolute;left:4010;top:10130;width:109;height:127" filled="f" stroked="f">
                <v:textbox style="mso-next-textbox:#_x0000_s2373;mso-rotate-with-shape:t" inset="0,0,0,0">
                  <w:txbxContent>
                    <w:p w:rsidR="00000000" w:rsidRDefault="00000000">
                      <w:r>
                        <w:rPr>
                          <w:rFonts w:ascii="Arial" w:hAnsi="Arial"/>
                          <w:snapToGrid w:val="0"/>
                          <w:color w:val="000000"/>
                          <w:sz w:val="10"/>
                          <w:lang w:val="en-US" w:eastAsia="en-US"/>
                        </w:rPr>
                        <w:t>n</w:t>
                      </w:r>
                    </w:p>
                  </w:txbxContent>
                </v:textbox>
              </v:rect>
              <v:rect id="_x0000_s2374" style="position:absolute;left:4065;top:10130;width:72;height:108" filled="f" stroked="f"/>
              <v:rect id="_x0000_s2375" style="position:absolute;left:4065;top:10130;width:109;height:127" filled="f" stroked="f">
                <v:textbox style="mso-next-textbox:#_x0000_s2375;mso-rotate-with-shape:t" inset="0,0,0,0">
                  <w:txbxContent>
                    <w:p w:rsidR="00000000" w:rsidRDefault="00000000">
                      <w:r>
                        <w:rPr>
                          <w:rFonts w:ascii="Arial" w:hAnsi="Arial"/>
                          <w:snapToGrid w:val="0"/>
                          <w:color w:val="000000"/>
                          <w:sz w:val="10"/>
                          <w:lang w:val="en-US" w:eastAsia="en-US"/>
                        </w:rPr>
                        <w:t>a</w:t>
                      </w:r>
                    </w:p>
                  </w:txbxContent>
                </v:textbox>
              </v:rect>
              <v:rect id="_x0000_s2376" style="position:absolute;left:3083;top:12899;width:73;height:127" filled="f" stroked="f"/>
              <v:rect id="_x0000_s2377" style="position:absolute;left:3083;top:12917;width:127;height:127" filled="f" stroked="f">
                <v:textbox style="mso-next-textbox:#_x0000_s2377;mso-rotate-with-shape:t" inset="0,0,0,0">
                  <w:txbxContent>
                    <w:p w:rsidR="00000000" w:rsidRDefault="00000000">
                      <w:r>
                        <w:rPr>
                          <w:rFonts w:ascii="Arial" w:hAnsi="Arial"/>
                          <w:snapToGrid w:val="0"/>
                          <w:color w:val="000000"/>
                          <w:sz w:val="10"/>
                          <w:lang w:val="en-US" w:eastAsia="en-US"/>
                        </w:rPr>
                        <w:t>D</w:t>
                      </w:r>
                    </w:p>
                  </w:txbxContent>
                </v:textbox>
              </v:rect>
              <v:rect id="_x0000_s2378" style="position:absolute;left:3156;top:12899;width:73;height:127" filled="f" stroked="f"/>
              <v:rect id="_x0000_s2379" style="position:absolute;left:3156;top:12917;width:109;height:127" filled="f" stroked="f">
                <v:textbox style="mso-next-textbox:#_x0000_s2379;mso-rotate-with-shape:t" inset="0,0,0,0">
                  <w:txbxContent>
                    <w:p w:rsidR="00000000" w:rsidRDefault="00000000">
                      <w:r>
                        <w:rPr>
                          <w:rFonts w:ascii="Arial" w:hAnsi="Arial"/>
                          <w:snapToGrid w:val="0"/>
                          <w:color w:val="000000"/>
                          <w:sz w:val="10"/>
                          <w:lang w:val="en-US" w:eastAsia="en-US"/>
                        </w:rPr>
                        <w:t>e</w:t>
                      </w:r>
                    </w:p>
                  </w:txbxContent>
                </v:textbox>
              </v:rect>
              <v:rect id="_x0000_s2380" style="position:absolute;left:3229;top:12899;width:36;height:127" filled="f" stroked="f"/>
              <v:rect id="_x0000_s2381" style="position:absolute;left:3229;top:12917;width:73;height:127" filled="f" stroked="f">
                <v:textbox style="mso-next-textbox:#_x0000_s2381;mso-rotate-with-shape:t" inset="0,0,0,0">
                  <w:txbxContent>
                    <w:p w:rsidR="00000000" w:rsidRDefault="00000000">
                      <w:r>
                        <w:rPr>
                          <w:rFonts w:ascii="Arial" w:hAnsi="Arial"/>
                          <w:snapToGrid w:val="0"/>
                          <w:color w:val="000000"/>
                          <w:sz w:val="10"/>
                          <w:lang w:val="en-US" w:eastAsia="en-US"/>
                        </w:rPr>
                        <w:t>l</w:t>
                      </w:r>
                    </w:p>
                  </w:txbxContent>
                </v:textbox>
              </v:rect>
              <v:rect id="_x0000_s2382" style="position:absolute;left:3247;top:12899;width:36;height:127" filled="f" stroked="f"/>
              <v:rect id="_x0000_s2383" style="position:absolute;left:3247;top:12917;width:91;height:127" filled="f" stroked="f">
                <v:textbox style="mso-next-textbox:#_x0000_s2383;mso-rotate-with-shape:t" inset="0,0,0,0">
                  <w:txbxContent>
                    <w:p w:rsidR="00000000" w:rsidRDefault="00000000">
                      <w:r>
                        <w:rPr>
                          <w:rFonts w:ascii="Arial" w:hAnsi="Arial"/>
                          <w:snapToGrid w:val="0"/>
                          <w:color w:val="000000"/>
                          <w:sz w:val="10"/>
                          <w:lang w:val="en-US" w:eastAsia="en-US"/>
                        </w:rPr>
                        <w:t>t</w:t>
                      </w:r>
                    </w:p>
                  </w:txbxContent>
                </v:textbox>
              </v:rect>
              <v:rect id="_x0000_s2384" style="position:absolute;left:3283;top:12899;width:55;height:127" filled="f" stroked="f"/>
              <v:rect id="_x0000_s2385" style="position:absolute;left:3283;top:12917;width:109;height:127" filled="f" stroked="f">
                <v:textbox style="mso-next-textbox:#_x0000_s2385;mso-rotate-with-shape:t" inset="0,0,0,0">
                  <w:txbxContent>
                    <w:p w:rsidR="00000000" w:rsidRDefault="00000000">
                      <w:r>
                        <w:rPr>
                          <w:rFonts w:ascii="Arial" w:hAnsi="Arial"/>
                          <w:snapToGrid w:val="0"/>
                          <w:color w:val="000000"/>
                          <w:sz w:val="10"/>
                          <w:lang w:val="en-US" w:eastAsia="en-US"/>
                        </w:rPr>
                        <w:t>a</w:t>
                      </w:r>
                    </w:p>
                  </w:txbxContent>
                </v:textbox>
              </v:rect>
              <v:rect id="_x0000_s2386" style="position:absolute;left:2102;top:12265;width:91;height:109" filled="f" stroked="f"/>
              <v:rect id="_x0000_s2387" style="position:absolute;left:2102;top:12266;width:145;height:127" filled="f" stroked="f">
                <v:textbox style="mso-next-textbox:#_x0000_s2387;mso-rotate-with-shape:t" inset="0,0,0,0">
                  <w:txbxContent>
                    <w:p w:rsidR="00000000" w:rsidRDefault="00000000">
                      <w:r>
                        <w:rPr>
                          <w:rFonts w:ascii="Arial" w:hAnsi="Arial"/>
                          <w:snapToGrid w:val="0"/>
                          <w:color w:val="000000"/>
                          <w:sz w:val="10"/>
                          <w:lang w:val="en-US" w:eastAsia="en-US"/>
                        </w:rPr>
                        <w:t>O</w:t>
                      </w:r>
                    </w:p>
                  </w:txbxContent>
                </v:textbox>
              </v:rect>
              <v:rect id="_x0000_s2388" style="position:absolute;left:2193;top:12265;width:73;height:109" filled="f" stroked="f"/>
              <v:rect id="_x0000_s2389" style="position:absolute;left:2193;top:12266;width:109;height:127" filled="f" stroked="f">
                <v:textbox style="mso-next-textbox:#_x0000_s2389;mso-rotate-with-shape:t" inset="0,0,0,0">
                  <w:txbxContent>
                    <w:p w:rsidR="00000000" w:rsidRDefault="00000000">
                      <w:r>
                        <w:rPr>
                          <w:rFonts w:ascii="Arial" w:hAnsi="Arial"/>
                          <w:snapToGrid w:val="0"/>
                          <w:color w:val="000000"/>
                          <w:sz w:val="10"/>
                          <w:lang w:val="en-US" w:eastAsia="en-US"/>
                        </w:rPr>
                        <w:t>g</w:t>
                      </w:r>
                    </w:p>
                  </w:txbxContent>
                </v:textbox>
              </v:rect>
              <v:rect id="_x0000_s2390" style="position:absolute;left:2248;top:12265;width:72;height:109" filled="f" stroked="f"/>
              <v:rect id="_x0000_s2391" style="position:absolute;left:2248;top:12266;width:109;height:127" filled="f" stroked="f">
                <v:textbox style="mso-next-textbox:#_x0000_s2391;mso-rotate-with-shape:t" inset="0,0,0,0">
                  <w:txbxContent>
                    <w:p w:rsidR="00000000" w:rsidRDefault="00000000">
                      <w:r>
                        <w:rPr>
                          <w:rFonts w:ascii="Arial" w:hAnsi="Arial"/>
                          <w:snapToGrid w:val="0"/>
                          <w:color w:val="000000"/>
                          <w:sz w:val="10"/>
                          <w:lang w:val="en-US" w:eastAsia="en-US"/>
                        </w:rPr>
                        <w:t>u</w:t>
                      </w:r>
                    </w:p>
                  </w:txbxContent>
                </v:textbox>
              </v:rect>
              <v:rect id="_x0000_s2392" style="position:absolute;left:2320;top:12265;width:73;height:109" filled="f" stroked="f"/>
              <v:rect id="_x0000_s2393" style="position:absolute;left:2320;top:12266;width:109;height:127" filled="f" stroked="f">
                <v:textbox style="mso-next-textbox:#_x0000_s2393;mso-rotate-with-shape:t" inset="0,0,0,0">
                  <w:txbxContent>
                    <w:p w:rsidR="00000000" w:rsidRDefault="00000000">
                      <w:r>
                        <w:rPr>
                          <w:rFonts w:ascii="Arial" w:hAnsi="Arial"/>
                          <w:snapToGrid w:val="0"/>
                          <w:color w:val="000000"/>
                          <w:sz w:val="10"/>
                          <w:lang w:val="en-US" w:eastAsia="en-US"/>
                        </w:rPr>
                        <w:t>n</w:t>
                      </w:r>
                    </w:p>
                  </w:txbxContent>
                </v:textbox>
              </v:rect>
              <v:rect id="_x0000_s2394" style="position:absolute;left:2793;top:12247;width:91;height:109" filled="f" stroked="f"/>
              <v:rect id="_x0000_s2395" style="position:absolute;left:2793;top:12248;width:145;height:127" filled="f" stroked="f">
                <v:textbox style="mso-next-textbox:#_x0000_s2395;mso-rotate-with-shape:t" inset="0,0,0,0">
                  <w:txbxContent>
                    <w:p w:rsidR="00000000" w:rsidRDefault="00000000">
                      <w:r>
                        <w:rPr>
                          <w:rFonts w:ascii="Arial" w:hAnsi="Arial"/>
                          <w:snapToGrid w:val="0"/>
                          <w:color w:val="000000"/>
                          <w:sz w:val="10"/>
                          <w:lang w:val="en-US" w:eastAsia="en-US"/>
                        </w:rPr>
                        <w:t>O</w:t>
                      </w:r>
                    </w:p>
                  </w:txbxContent>
                </v:textbox>
              </v:rect>
              <v:rect id="_x0000_s2396" style="position:absolute;left:2884;top:12247;width:54;height:109" filled="f" stroked="f"/>
              <v:rect id="_x0000_s2397" style="position:absolute;left:2884;top:12248;width:109;height:127" filled="f" stroked="f">
                <v:textbox style="mso-next-textbox:#_x0000_s2397;mso-rotate-with-shape:t" inset="0,0,0,0">
                  <w:txbxContent>
                    <w:p w:rsidR="00000000" w:rsidRDefault="00000000">
                      <w:r>
                        <w:rPr>
                          <w:rFonts w:ascii="Arial" w:hAnsi="Arial"/>
                          <w:snapToGrid w:val="0"/>
                          <w:color w:val="000000"/>
                          <w:sz w:val="10"/>
                          <w:lang w:val="en-US" w:eastAsia="en-US"/>
                        </w:rPr>
                        <w:t>n</w:t>
                      </w:r>
                    </w:p>
                  </w:txbxContent>
                </v:textbox>
              </v:rect>
              <v:rect id="_x0000_s2398" style="position:absolute;left:2938;top:12247;width:73;height:109" filled="f" stroked="f"/>
              <v:rect id="_x0000_s2399" style="position:absolute;left:2938;top:12248;width:109;height:127" filled="f" stroked="f">
                <v:textbox style="mso-next-textbox:#_x0000_s2399;mso-rotate-with-shape:t" inset="0,0,0,0">
                  <w:txbxContent>
                    <w:p w:rsidR="00000000" w:rsidRDefault="00000000">
                      <w:r>
                        <w:rPr>
                          <w:rFonts w:ascii="Arial" w:hAnsi="Arial"/>
                          <w:snapToGrid w:val="0"/>
                          <w:color w:val="000000"/>
                          <w:sz w:val="10"/>
                          <w:lang w:val="en-US" w:eastAsia="en-US"/>
                        </w:rPr>
                        <w:t>d</w:t>
                      </w:r>
                    </w:p>
                  </w:txbxContent>
                </v:textbox>
              </v:rect>
              <v:rect id="_x0000_s2400" style="position:absolute;left:3011;top:12247;width:54;height:109" filled="f" stroked="f"/>
              <v:rect id="_x0000_s2401" style="position:absolute;left:3011;top:12248;width:109;height:127" filled="f" stroked="f">
                <v:textbox style="mso-next-textbox:#_x0000_s2401;mso-rotate-with-shape:t" inset="0,0,0,0">
                  <w:txbxContent>
                    <w:p w:rsidR="00000000" w:rsidRDefault="00000000">
                      <w:r>
                        <w:rPr>
                          <w:rFonts w:ascii="Arial" w:hAnsi="Arial"/>
                          <w:snapToGrid w:val="0"/>
                          <w:color w:val="000000"/>
                          <w:sz w:val="10"/>
                          <w:lang w:val="en-US" w:eastAsia="en-US"/>
                        </w:rPr>
                        <w:t>o</w:t>
                      </w:r>
                    </w:p>
                  </w:txbxContent>
                </v:textbox>
              </v:rect>
              <v:rect id="_x0000_s2402" style="position:absolute;left:5264;top:10890;width:91;height:108" filled="f" stroked="f"/>
              <v:rect id="_x0000_s2403" style="position:absolute;left:5264;top:10890;width:145;height:127" filled="f" stroked="f">
                <v:textbox style="mso-next-textbox:#_x0000_s2403;mso-rotate-with-shape:t" inset="0,0,0,0">
                  <w:txbxContent>
                    <w:p w:rsidR="00000000" w:rsidRDefault="00000000">
                      <w:r>
                        <w:rPr>
                          <w:rFonts w:ascii="Arial" w:hAnsi="Arial"/>
                          <w:snapToGrid w:val="0"/>
                          <w:color w:val="000000"/>
                          <w:sz w:val="10"/>
                          <w:lang w:val="en-US" w:eastAsia="en-US"/>
                        </w:rPr>
                        <w:t>G</w:t>
                      </w:r>
                    </w:p>
                  </w:txbxContent>
                </v:textbox>
              </v:rect>
              <v:rect id="_x0000_s2404" style="position:absolute;left:5337;top:10890;width:72;height:108" filled="f" stroked="f"/>
              <v:rect id="_x0000_s2405" style="position:absolute;left:5337;top:10890;width:109;height:127" filled="f" stroked="f">
                <v:textbox style="mso-next-textbox:#_x0000_s2405;mso-rotate-with-shape:t" inset="0,0,0,0">
                  <w:txbxContent>
                    <w:p w:rsidR="00000000" w:rsidRDefault="00000000">
                      <w:r>
                        <w:rPr>
                          <w:rFonts w:ascii="Arial" w:hAnsi="Arial"/>
                          <w:snapToGrid w:val="0"/>
                          <w:color w:val="000000"/>
                          <w:sz w:val="10"/>
                          <w:lang w:val="en-US" w:eastAsia="en-US"/>
                        </w:rPr>
                        <w:t>o</w:t>
                      </w:r>
                    </w:p>
                  </w:txbxContent>
                </v:textbox>
              </v:rect>
              <v:rect id="_x0000_s2406" style="position:absolute;left:5409;top:10890;width:91;height:108" filled="f" stroked="f"/>
              <v:rect id="_x0000_s2407" style="position:absolute;left:5409;top:10890;width:145;height:127" filled="f" stroked="f">
                <v:textbox style="mso-next-textbox:#_x0000_s2407;mso-rotate-with-shape:t" inset="0,0,0,0">
                  <w:txbxContent>
                    <w:p w:rsidR="00000000" w:rsidRDefault="00000000">
                      <w:r>
                        <w:rPr>
                          <w:rFonts w:ascii="Arial" w:hAnsi="Arial"/>
                          <w:snapToGrid w:val="0"/>
                          <w:color w:val="000000"/>
                          <w:sz w:val="10"/>
                          <w:lang w:val="en-US" w:eastAsia="en-US"/>
                        </w:rPr>
                        <w:t>m</w:t>
                      </w:r>
                    </w:p>
                  </w:txbxContent>
                </v:textbox>
              </v:rect>
              <v:rect id="_x0000_s2408" style="position:absolute;left:5500;top:10890;width:73;height:108" filled="f" stroked="f"/>
              <v:rect id="_x0000_s2409" style="position:absolute;left:5500;top:10890;width:109;height:127" filled="f" stroked="f">
                <v:textbox style="mso-next-textbox:#_x0000_s2409;mso-rotate-with-shape:t" inset="0,0,0,0">
                  <w:txbxContent>
                    <w:p w:rsidR="00000000" w:rsidRDefault="00000000">
                      <w:r>
                        <w:rPr>
                          <w:rFonts w:ascii="Arial" w:hAnsi="Arial"/>
                          <w:snapToGrid w:val="0"/>
                          <w:color w:val="000000"/>
                          <w:sz w:val="10"/>
                          <w:lang w:val="en-US" w:eastAsia="en-US"/>
                        </w:rPr>
                        <w:t>b</w:t>
                      </w:r>
                    </w:p>
                  </w:txbxContent>
                </v:textbox>
              </v:rect>
              <v:rect id="_x0000_s2410" style="position:absolute;left:5573;top:10890;width:54;height:108" filled="f" stroked="f"/>
              <v:rect id="_x0000_s2411" style="position:absolute;left:5573;top:10890;width:109;height:127" filled="f" stroked="f">
                <v:textbox style="mso-next-textbox:#_x0000_s2411;mso-rotate-with-shape:t" inset="0,0,0,0">
                  <w:txbxContent>
                    <w:p w:rsidR="00000000" w:rsidRDefault="00000000">
                      <w:r>
                        <w:rPr>
                          <w:rFonts w:ascii="Arial" w:hAnsi="Arial"/>
                          <w:snapToGrid w:val="0"/>
                          <w:color w:val="000000"/>
                          <w:sz w:val="10"/>
                          <w:lang w:val="en-US" w:eastAsia="en-US"/>
                        </w:rPr>
                        <w:t>e</w:t>
                      </w:r>
                    </w:p>
                  </w:txbxContent>
                </v:textbox>
              </v:rect>
              <v:rect id="_x0000_s2412" style="position:absolute;left:3901;top:11686;width:91;height:127" filled="f" stroked="f"/>
              <v:rect id="_x0000_s2413" style="position:absolute;left:3901;top:11705;width:127;height:127" filled="f" stroked="f">
                <v:textbox style="mso-next-textbox:#_x0000_s2413;mso-rotate-with-shape:t" inset="0,0,0,0">
                  <w:txbxContent>
                    <w:p w:rsidR="00000000" w:rsidRDefault="00000000">
                      <w:r>
                        <w:rPr>
                          <w:rFonts w:ascii="Arial" w:hAnsi="Arial"/>
                          <w:snapToGrid w:val="0"/>
                          <w:color w:val="000000"/>
                          <w:sz w:val="10"/>
                          <w:lang w:val="en-US" w:eastAsia="en-US"/>
                        </w:rPr>
                        <w:t>N</w:t>
                      </w:r>
                    </w:p>
                  </w:txbxContent>
                </v:textbox>
              </v:rect>
              <v:rect id="_x0000_s2414" style="position:absolute;left:3992;top:11686;width:54;height:127" filled="f" stroked="f"/>
              <v:rect id="_x0000_s2415" style="position:absolute;left:3992;top:11705;width:109;height:127" filled="f" stroked="f">
                <v:textbox style="mso-next-textbox:#_x0000_s2415;mso-rotate-with-shape:t" inset="0,0,0,0">
                  <w:txbxContent>
                    <w:p w:rsidR="00000000" w:rsidRDefault="00000000">
                      <w:r>
                        <w:rPr>
                          <w:rFonts w:ascii="Arial" w:hAnsi="Arial"/>
                          <w:snapToGrid w:val="0"/>
                          <w:color w:val="000000"/>
                          <w:sz w:val="10"/>
                          <w:lang w:val="en-US" w:eastAsia="en-US"/>
                        </w:rPr>
                        <w:t>a</w:t>
                      </w:r>
                    </w:p>
                  </w:txbxContent>
                </v:textbox>
              </v:rect>
              <v:rect id="_x0000_s2416" style="position:absolute;left:4046;top:11686;width:73;height:127" filled="f" stroked="f"/>
              <v:rect id="_x0000_s2417" style="position:absolute;left:4046;top:11705;width:109;height:127" filled="f" stroked="f">
                <v:textbox style="mso-next-textbox:#_x0000_s2417;mso-rotate-with-shape:t" inset="0,0,0,0">
                  <w:txbxContent>
                    <w:p w:rsidR="00000000" w:rsidRDefault="00000000">
                      <w:r>
                        <w:rPr>
                          <w:rFonts w:ascii="Arial" w:hAnsi="Arial"/>
                          <w:snapToGrid w:val="0"/>
                          <w:color w:val="000000"/>
                          <w:sz w:val="10"/>
                          <w:lang w:val="en-US" w:eastAsia="en-US"/>
                        </w:rPr>
                        <w:t>s</w:t>
                      </w:r>
                    </w:p>
                  </w:txbxContent>
                </v:textbox>
              </v:rect>
              <v:rect id="_x0000_s2418" style="position:absolute;left:4101;top:11686;width:73;height:127" filled="f" stroked="f"/>
              <v:rect id="_x0000_s2419" style="position:absolute;left:4101;top:11705;width:109;height:127" filled="f" stroked="f">
                <v:textbox style="mso-next-textbox:#_x0000_s2419;mso-rotate-with-shape:t" inset="0,0,0,0">
                  <w:txbxContent>
                    <w:p w:rsidR="00000000" w:rsidRDefault="00000000">
                      <w:r>
                        <w:rPr>
                          <w:rFonts w:ascii="Arial" w:hAnsi="Arial"/>
                          <w:snapToGrid w:val="0"/>
                          <w:color w:val="000000"/>
                          <w:sz w:val="10"/>
                          <w:lang w:val="en-US" w:eastAsia="en-US"/>
                        </w:rPr>
                        <w:t>s</w:t>
                      </w:r>
                    </w:p>
                  </w:txbxContent>
                </v:textbox>
              </v:rect>
              <v:rect id="_x0000_s2420" style="position:absolute;left:4174;top:11686;width:54;height:127" filled="f" stroked="f"/>
              <v:rect id="_x0000_s2421" style="position:absolute;left:4174;top:11705;width:109;height:127" filled="f" stroked="f">
                <v:textbox style="mso-next-textbox:#_x0000_s2421;mso-rotate-with-shape:t" inset="0,0,0,0">
                  <w:txbxContent>
                    <w:p w:rsidR="00000000" w:rsidRDefault="00000000">
                      <w:r>
                        <w:rPr>
                          <w:rFonts w:ascii="Arial" w:hAnsi="Arial"/>
                          <w:snapToGrid w:val="0"/>
                          <w:color w:val="000000"/>
                          <w:sz w:val="10"/>
                          <w:lang w:val="en-US" w:eastAsia="en-US"/>
                        </w:rPr>
                        <w:t>a</w:t>
                      </w:r>
                    </w:p>
                  </w:txbxContent>
                </v:textbox>
              </v:rect>
              <v:rect id="_x0000_s2422" style="position:absolute;left:4228;top:11686;width:55;height:127" filled="f" stroked="f"/>
              <v:rect id="_x0000_s2423" style="position:absolute;left:4228;top:11705;width:91;height:127" filled="f" stroked="f">
                <v:textbox style="mso-next-textbox:#_x0000_s2423;mso-rotate-with-shape:t" inset="0,0,0,0">
                  <w:txbxContent>
                    <w:p w:rsidR="00000000" w:rsidRDefault="00000000">
                      <w:r>
                        <w:rPr>
                          <w:rFonts w:ascii="Arial" w:hAnsi="Arial"/>
                          <w:snapToGrid w:val="0"/>
                          <w:color w:val="000000"/>
                          <w:sz w:val="10"/>
                          <w:lang w:val="en-US" w:eastAsia="en-US"/>
                        </w:rPr>
                        <w:t>r</w:t>
                      </w:r>
                    </w:p>
                  </w:txbxContent>
                </v:textbox>
              </v:rect>
              <v:rect id="_x0000_s2424" style="position:absolute;left:4265;top:11686;width:72;height:127" filled="f" stroked="f"/>
              <v:rect id="_x0000_s2425" style="position:absolute;left:4265;top:11705;width:109;height:127" filled="f" stroked="f">
                <v:textbox style="mso-next-textbox:#_x0000_s2425;mso-rotate-with-shape:t" inset="0,0,0,0">
                  <w:txbxContent>
                    <w:p w:rsidR="00000000" w:rsidRDefault="00000000">
                      <w:r>
                        <w:rPr>
                          <w:rFonts w:ascii="Arial" w:hAnsi="Arial"/>
                          <w:snapToGrid w:val="0"/>
                          <w:color w:val="000000"/>
                          <w:sz w:val="10"/>
                          <w:lang w:val="en-US" w:eastAsia="en-US"/>
                        </w:rPr>
                        <w:t>a</w:t>
                      </w:r>
                    </w:p>
                  </w:txbxContent>
                </v:textbox>
              </v:rect>
              <v:rect id="_x0000_s2426" style="position:absolute;left:4337;top:11686;width:73;height:127" filled="f" stroked="f"/>
              <v:rect id="_x0000_s2427" style="position:absolute;left:4337;top:11705;width:127;height:127" filled="f" stroked="f">
                <v:textbox style="mso-next-textbox:#_x0000_s2427;mso-rotate-with-shape:t" inset="0,0,0,0">
                  <w:txbxContent>
                    <w:p w:rsidR="00000000" w:rsidRDefault="00000000">
                      <w:r>
                        <w:rPr>
                          <w:rFonts w:ascii="Arial" w:hAnsi="Arial"/>
                          <w:snapToGrid w:val="0"/>
                          <w:color w:val="000000"/>
                          <w:sz w:val="10"/>
                          <w:lang w:val="en-US" w:eastAsia="en-US"/>
                        </w:rPr>
                        <w:t>w</w:t>
                      </w:r>
                    </w:p>
                  </w:txbxContent>
                </v:textbox>
              </v:rect>
              <v:rect id="_x0000_s2428" style="position:absolute;left:4410;top:11686;width:54;height:127" filled="f" stroked="f"/>
              <v:rect id="_x0000_s2429" style="position:absolute;left:4410;top:11705;width:109;height:127" filled="f" stroked="f">
                <v:textbox style="mso-next-textbox:#_x0000_s2429;mso-rotate-with-shape:t" inset="0,0,0,0">
                  <w:txbxContent>
                    <w:p w:rsidR="00000000" w:rsidRDefault="00000000">
                      <w:r>
                        <w:rPr>
                          <w:rFonts w:ascii="Arial" w:hAnsi="Arial"/>
                          <w:snapToGrid w:val="0"/>
                          <w:color w:val="000000"/>
                          <w:sz w:val="10"/>
                          <w:lang w:val="en-US" w:eastAsia="en-US"/>
                        </w:rPr>
                        <w:t>a</w:t>
                      </w:r>
                    </w:p>
                  </w:txbxContent>
                </v:textbox>
              </v:rect>
              <v:rect id="_x0000_s2430" style="position:absolute;left:4010;top:12899;width:73;height:127" filled="f" stroked="f"/>
              <v:rect id="_x0000_s2431" style="position:absolute;left:4010;top:12917;width:127;height:127" filled="f" stroked="f">
                <v:textbox style="mso-next-textbox:#_x0000_s2431;mso-rotate-with-shape:t" inset="0,0,0,0">
                  <w:txbxContent>
                    <w:p w:rsidR="00000000" w:rsidRDefault="00000000">
                      <w:r>
                        <w:rPr>
                          <w:rFonts w:ascii="Arial" w:hAnsi="Arial"/>
                          <w:snapToGrid w:val="0"/>
                          <w:color w:val="000000"/>
                          <w:sz w:val="10"/>
                          <w:lang w:val="en-US" w:eastAsia="en-US"/>
                        </w:rPr>
                        <w:t>C</w:t>
                      </w:r>
                    </w:p>
                  </w:txbxContent>
                </v:textbox>
              </v:rect>
              <v:rect id="_x0000_s2432" style="position:absolute;left:4083;top:12899;width:54;height:127" filled="f" stroked="f"/>
              <v:rect id="_x0000_s2433" style="position:absolute;left:4083;top:12917;width:91;height:127" filled="f" stroked="f">
                <v:textbox style="mso-next-textbox:#_x0000_s2433;mso-rotate-with-shape:t" inset="0,0,0,0">
                  <w:txbxContent>
                    <w:p w:rsidR="00000000" w:rsidRDefault="00000000">
                      <w:r>
                        <w:rPr>
                          <w:rFonts w:ascii="Arial" w:hAnsi="Arial"/>
                          <w:snapToGrid w:val="0"/>
                          <w:color w:val="000000"/>
                          <w:sz w:val="10"/>
                          <w:lang w:val="en-US" w:eastAsia="en-US"/>
                        </w:rPr>
                        <w:t>r</w:t>
                      </w:r>
                    </w:p>
                  </w:txbxContent>
                </v:textbox>
              </v:rect>
              <v:rect id="_x0000_s2434" style="position:absolute;left:4119;top:12899;width:73;height:127" filled="f" stroked="f"/>
              <v:rect id="_x0000_s2435" style="position:absolute;left:4119;top:12917;width:109;height:127" filled="f" stroked="f">
                <v:textbox style="mso-next-textbox:#_x0000_s2435;mso-rotate-with-shape:t" inset="0,0,0,0">
                  <w:txbxContent>
                    <w:p w:rsidR="00000000" w:rsidRDefault="00000000">
                      <w:r>
                        <w:rPr>
                          <w:rFonts w:ascii="Arial" w:hAnsi="Arial"/>
                          <w:snapToGrid w:val="0"/>
                          <w:color w:val="000000"/>
                          <w:sz w:val="10"/>
                          <w:lang w:val="en-US" w:eastAsia="en-US"/>
                        </w:rPr>
                        <w:t>o</w:t>
                      </w:r>
                    </w:p>
                  </w:txbxContent>
                </v:textbox>
              </v:rect>
              <v:rect id="_x0000_s2436" style="position:absolute;left:4192;top:12899;width:54;height:127" filled="f" stroked="f"/>
              <v:rect id="_x0000_s2437" style="position:absolute;left:4192;top:12917;width:109;height:127" filled="f" stroked="f">
                <v:textbox style="mso-next-textbox:#_x0000_s2437;mso-rotate-with-shape:t" inset="0,0,0,0">
                  <w:txbxContent>
                    <w:p w:rsidR="00000000" w:rsidRDefault="00000000">
                      <w:r>
                        <w:rPr>
                          <w:rFonts w:ascii="Arial" w:hAnsi="Arial"/>
                          <w:snapToGrid w:val="0"/>
                          <w:color w:val="000000"/>
                          <w:sz w:val="10"/>
                          <w:lang w:val="en-US" w:eastAsia="en-US"/>
                        </w:rPr>
                        <w:t>s</w:t>
                      </w:r>
                    </w:p>
                  </w:txbxContent>
                </v:textbox>
              </v:rect>
              <v:rect id="_x0000_s2438" style="position:absolute;left:4246;top:12899;width:55;height:127" filled="f" stroked="f"/>
              <v:rect id="_x0000_s2439" style="position:absolute;left:4246;top:12917;width:109;height:127" filled="f" stroked="f">
                <v:textbox style="mso-next-textbox:#_x0000_s2439;mso-rotate-with-shape:t" inset="0,0,0,0">
                  <w:txbxContent>
                    <w:p w:rsidR="00000000" w:rsidRDefault="00000000">
                      <w:r>
                        <w:rPr>
                          <w:rFonts w:ascii="Arial" w:hAnsi="Arial"/>
                          <w:snapToGrid w:val="0"/>
                          <w:color w:val="000000"/>
                          <w:sz w:val="10"/>
                          <w:lang w:val="en-US" w:eastAsia="en-US"/>
                        </w:rPr>
                        <w:t>s</w:t>
                      </w:r>
                    </w:p>
                  </w:txbxContent>
                </v:textbox>
              </v:rect>
              <v:rect id="_x0000_s2440" style="position:absolute;left:4301;top:12899;width:73;height:127" filled="f" stroked="f"/>
              <v:rect id="_x0000_s2441" style="position:absolute;left:4301;top:12917;width:127;height:127" filled="f" stroked="f">
                <v:textbox style="mso-next-textbox:#_x0000_s2441;mso-rotate-with-shape:t" inset="0,0,0,0">
                  <w:txbxContent>
                    <w:p w:rsidR="00000000" w:rsidRDefault="00000000">
                      <w:r>
                        <w:rPr>
                          <w:rFonts w:ascii="Arial" w:hAnsi="Arial"/>
                          <w:snapToGrid w:val="0"/>
                          <w:color w:val="000000"/>
                          <w:sz w:val="10"/>
                          <w:lang w:val="en-US" w:eastAsia="en-US"/>
                        </w:rPr>
                        <w:t>R</w:t>
                      </w:r>
                    </w:p>
                  </w:txbxContent>
                </v:textbox>
              </v:rect>
              <v:rect id="_x0000_s2442" style="position:absolute;left:4392;top:12899;width:36;height:127" filled="f" stroked="f"/>
              <v:rect id="_x0000_s2443" style="position:absolute;left:4392;top:12917;width:73;height:127" filled="f" stroked="f">
                <v:textbox style="mso-next-textbox:#_x0000_s2443;mso-rotate-with-shape:t" inset="0,0,0,0">
                  <w:txbxContent>
                    <w:p w:rsidR="00000000" w:rsidRDefault="00000000">
                      <w:r>
                        <w:rPr>
                          <w:rFonts w:ascii="Arial" w:hAnsi="Arial"/>
                          <w:snapToGrid w:val="0"/>
                          <w:color w:val="000000"/>
                          <w:sz w:val="10"/>
                          <w:lang w:val="en-US" w:eastAsia="en-US"/>
                        </w:rPr>
                        <w:t>i</w:t>
                      </w:r>
                    </w:p>
                  </w:txbxContent>
                </v:textbox>
              </v:rect>
              <v:rect id="_x0000_s2444" style="position:absolute;left:4410;top:12899;width:54;height:127" filled="f" stroked="f"/>
              <v:rect id="_x0000_s2445" style="position:absolute;left:4410;top:12917;width:109;height:127" filled="f" stroked="f">
                <v:textbox style="mso-next-textbox:#_x0000_s2445;mso-rotate-with-shape:t" inset="0,0,0,0">
                  <w:txbxContent>
                    <w:p w:rsidR="00000000" w:rsidRDefault="00000000">
                      <w:r>
                        <w:rPr>
                          <w:rFonts w:ascii="Arial" w:hAnsi="Arial"/>
                          <w:snapToGrid w:val="0"/>
                          <w:color w:val="000000"/>
                          <w:sz w:val="10"/>
                          <w:lang w:val="en-US" w:eastAsia="en-US"/>
                        </w:rPr>
                        <w:t>v</w:t>
                      </w:r>
                    </w:p>
                  </w:txbxContent>
                </v:textbox>
              </v:rect>
              <v:rect id="_x0000_s2446" style="position:absolute;left:4464;top:12899;width:73;height:127" filled="f" stroked="f"/>
              <v:rect id="_x0000_s2447" style="position:absolute;left:4464;top:12917;width:109;height:127" filled="f" stroked="f">
                <v:textbox style="mso-next-textbox:#_x0000_s2447;mso-rotate-with-shape:t" inset="0,0,0,0">
                  <w:txbxContent>
                    <w:p w:rsidR="00000000" w:rsidRDefault="00000000">
                      <w:r>
                        <w:rPr>
                          <w:rFonts w:ascii="Arial" w:hAnsi="Arial"/>
                          <w:snapToGrid w:val="0"/>
                          <w:color w:val="000000"/>
                          <w:sz w:val="10"/>
                          <w:lang w:val="en-US" w:eastAsia="en-US"/>
                        </w:rPr>
                        <w:t>e</w:t>
                      </w:r>
                    </w:p>
                  </w:txbxContent>
                </v:textbox>
              </v:rect>
              <v:rect id="_x0000_s2448" style="position:absolute;left:4537;top:12899;width:36;height:127" filled="f" stroked="f"/>
              <v:rect id="_x0000_s2449" style="position:absolute;left:4537;top:12917;width:91;height:127" filled="f" stroked="f">
                <v:textbox style="mso-next-textbox:#_x0000_s2449;mso-rotate-with-shape:t" inset="0,0,0,0">
                  <w:txbxContent>
                    <w:p w:rsidR="00000000" w:rsidRDefault="00000000">
                      <w:r>
                        <w:rPr>
                          <w:rFonts w:ascii="Arial" w:hAnsi="Arial"/>
                          <w:snapToGrid w:val="0"/>
                          <w:color w:val="000000"/>
                          <w:sz w:val="10"/>
                          <w:lang w:val="en-US" w:eastAsia="en-US"/>
                        </w:rPr>
                        <w:t>r</w:t>
                      </w:r>
                    </w:p>
                  </w:txbxContent>
                </v:textbox>
              </v:rect>
            </v:group>
            <v:rect id="_x0000_s2450" style="position:absolute;left:4778;top:13201;width:85;height:123" o:regroupid="1" filled="f" stroked="f"/>
            <v:rect id="_x0000_s2451" style="position:absolute;left:4778;top:13218;width:118;height:124" o:regroupid="1" filled="f" stroked="f">
              <v:textbox style="mso-next-textbox:#_x0000_s2451;mso-rotate-with-shape:t" inset="0,0,0,0">
                <w:txbxContent>
                  <w:p w:rsidR="00000000" w:rsidRDefault="00000000">
                    <w:r>
                      <w:rPr>
                        <w:rFonts w:ascii="Arial" w:hAnsi="Arial"/>
                        <w:snapToGrid w:val="0"/>
                        <w:color w:val="000000"/>
                        <w:sz w:val="10"/>
                        <w:lang w:val="en-US" w:eastAsia="en-US"/>
                      </w:rPr>
                      <w:t>R</w:t>
                    </w:r>
                  </w:p>
                </w:txbxContent>
              </v:textbox>
            </v:rect>
            <v:rect id="_x0000_s2452" style="position:absolute;left:4863;top:13201;width:34;height:123" o:regroupid="1" filled="f" stroked="f"/>
            <v:rect id="_x0000_s2453" style="position:absolute;left:4863;top:13218;width:68;height:124" o:regroupid="1" filled="f" stroked="f">
              <v:textbox style="mso-next-textbox:#_x0000_s2453;mso-rotate-with-shape:t" inset="0,0,0,0">
                <w:txbxContent>
                  <w:p w:rsidR="00000000" w:rsidRDefault="00000000">
                    <w:r>
                      <w:rPr>
                        <w:rFonts w:ascii="Arial" w:hAnsi="Arial"/>
                        <w:snapToGrid w:val="0"/>
                        <w:color w:val="000000"/>
                        <w:sz w:val="10"/>
                        <w:lang w:val="en-US" w:eastAsia="en-US"/>
                      </w:rPr>
                      <w:t>i</w:t>
                    </w:r>
                  </w:p>
                </w:txbxContent>
              </v:textbox>
            </v:rect>
            <v:rect id="_x0000_s2454" style="position:absolute;left:4880;top:13201;width:51;height:123" o:regroupid="1" filled="f" stroked="f"/>
            <v:rect id="_x0000_s2455" style="position:absolute;left:4880;top:13218;width:101;height:124" o:regroupid="1" filled="f" stroked="f">
              <v:textbox style="mso-next-textbox:#_x0000_s2455;mso-rotate-with-shape:t" inset="0,0,0,0">
                <w:txbxContent>
                  <w:p w:rsidR="00000000" w:rsidRDefault="00000000">
                    <w:r>
                      <w:rPr>
                        <w:rFonts w:ascii="Arial" w:hAnsi="Arial"/>
                        <w:snapToGrid w:val="0"/>
                        <w:color w:val="000000"/>
                        <w:sz w:val="10"/>
                        <w:lang w:val="en-US" w:eastAsia="en-US"/>
                      </w:rPr>
                      <w:t>v</w:t>
                    </w:r>
                  </w:p>
                </w:txbxContent>
              </v:textbox>
            </v:rect>
            <v:rect id="_x0000_s2456" style="position:absolute;left:4931;top:13201;width:68;height:123" o:regroupid="1" filled="f" stroked="f"/>
            <v:rect id="_x0000_s2457" style="position:absolute;left:4931;top:13218;width:102;height:124" o:regroupid="1" filled="f" stroked="f">
              <v:textbox style="mso-next-textbox:#_x0000_s2457;mso-rotate-with-shape:t" inset="0,0,0,0">
                <w:txbxContent>
                  <w:p w:rsidR="00000000" w:rsidRDefault="00000000">
                    <w:r>
                      <w:rPr>
                        <w:rFonts w:ascii="Arial" w:hAnsi="Arial"/>
                        <w:snapToGrid w:val="0"/>
                        <w:color w:val="000000"/>
                        <w:sz w:val="10"/>
                        <w:lang w:val="en-US" w:eastAsia="en-US"/>
                      </w:rPr>
                      <w:t>e</w:t>
                    </w:r>
                  </w:p>
                </w:txbxContent>
              </v:textbox>
            </v:rect>
            <v:rect id="_x0000_s2458" style="position:absolute;left:4999;top:13201;width:34;height:123" o:regroupid="1" filled="f" stroked="f"/>
            <v:rect id="_x0000_s2459" style="position:absolute;left:4999;top:13218;width:85;height:124" o:regroupid="1" filled="f" stroked="f">
              <v:textbox style="mso-next-textbox:#_x0000_s2459;mso-rotate-with-shape:t" inset="0,0,0,0">
                <w:txbxContent>
                  <w:p w:rsidR="00000000" w:rsidRDefault="00000000">
                    <w:r>
                      <w:rPr>
                        <w:rFonts w:ascii="Arial" w:hAnsi="Arial"/>
                        <w:snapToGrid w:val="0"/>
                        <w:color w:val="000000"/>
                        <w:sz w:val="10"/>
                        <w:lang w:val="en-US" w:eastAsia="en-US"/>
                      </w:rPr>
                      <w:t>r</w:t>
                    </w:r>
                  </w:p>
                </w:txbxContent>
              </v:textbox>
            </v:rect>
            <v:rect id="_x0000_s2460" style="position:absolute;left:5033;top:13201;width:50;height:123" o:regroupid="1" filled="f" stroked="f"/>
            <v:rect id="_x0000_s2461" style="position:absolute;left:5033;top:13218;width:102;height:124" o:regroupid="1" filled="f" stroked="f">
              <v:textbox style="mso-next-textbox:#_x0000_s2461;mso-rotate-with-shape:t" inset="0,0,0,0">
                <w:txbxContent>
                  <w:p w:rsidR="00000000" w:rsidRDefault="00000000">
                    <w:r>
                      <w:rPr>
                        <w:rFonts w:ascii="Arial" w:hAnsi="Arial"/>
                        <w:snapToGrid w:val="0"/>
                        <w:color w:val="000000"/>
                        <w:sz w:val="10"/>
                        <w:lang w:val="en-US" w:eastAsia="en-US"/>
                      </w:rPr>
                      <w:t>s</w:t>
                    </w:r>
                  </w:p>
                </w:txbxContent>
              </v:textbox>
            </v:rect>
            <v:rect id="_x0000_s2462" style="position:absolute;left:4931;top:11610;width:68;height:105" o:regroupid="1" filled="f" stroked="f"/>
            <v:rect id="_x0000_s2463" style="position:absolute;left:4931;top:11610;width:119;height:124" o:regroupid="1" filled="f" stroked="f">
              <v:textbox style="mso-next-textbox:#_x0000_s2463;mso-rotate-with-shape:t" inset="0,0,0,0">
                <w:txbxContent>
                  <w:p w:rsidR="00000000" w:rsidRDefault="00000000">
                    <w:r>
                      <w:rPr>
                        <w:rFonts w:ascii="Arial" w:hAnsi="Arial"/>
                        <w:snapToGrid w:val="0"/>
                        <w:color w:val="000000"/>
                        <w:sz w:val="10"/>
                        <w:lang w:val="en-US" w:eastAsia="en-US"/>
                      </w:rPr>
                      <w:t>F</w:t>
                    </w:r>
                  </w:p>
                </w:txbxContent>
              </v:textbox>
            </v:rect>
            <v:rect id="_x0000_s2464" style="position:absolute;left:4999;top:11610;width:67;height:105" o:regroupid="1" filled="f" stroked="f"/>
            <v:rect id="_x0000_s2465" style="position:absolute;left:4999;top:11610;width:119;height:124" o:regroupid="1" filled="f" stroked="f">
              <v:textbox style="mso-next-textbox:#_x0000_s2465;mso-rotate-with-shape:t" inset="0,0,0,0">
                <w:txbxContent>
                  <w:p w:rsidR="00000000" w:rsidRDefault="00000000">
                    <w:r>
                      <w:rPr>
                        <w:rFonts w:ascii="Arial" w:hAnsi="Arial"/>
                        <w:snapToGrid w:val="0"/>
                        <w:color w:val="000000"/>
                        <w:sz w:val="10"/>
                        <w:lang w:val="en-US" w:eastAsia="en-US"/>
                      </w:rPr>
                      <w:t>C</w:t>
                    </w:r>
                  </w:p>
                </w:txbxContent>
              </v:textbox>
            </v:rect>
            <v:rect id="_x0000_s2466" style="position:absolute;left:5066;top:11610;width:69;height:105" o:regroupid="1" filled="f" stroked="f"/>
            <v:rect id="_x0000_s2467" style="position:absolute;left:5066;top:11610;width:119;height:124" o:regroupid="1" filled="f" stroked="f">
              <v:textbox style="mso-next-textbox:#_x0000_s2467;mso-rotate-with-shape:t" inset="0,0,0,0">
                <w:txbxContent>
                  <w:p w:rsidR="00000000" w:rsidRDefault="00000000">
                    <w:r>
                      <w:rPr>
                        <w:rFonts w:ascii="Arial" w:hAnsi="Arial"/>
                        <w:snapToGrid w:val="0"/>
                        <w:color w:val="000000"/>
                        <w:sz w:val="10"/>
                        <w:lang w:val="en-US" w:eastAsia="en-US"/>
                      </w:rPr>
                      <w:t>T</w:t>
                    </w:r>
                  </w:p>
                </w:txbxContent>
              </v:textbox>
            </v:rect>
            <v:rect id="_x0000_s2468" style="position:absolute;left:3861;top:12140;width:85;height:106" o:regroupid="1" filled="f" stroked="f"/>
            <v:rect id="_x0000_s2469" style="position:absolute;left:3861;top:12140;width:135;height:124" o:regroupid="1" filled="f" stroked="f">
              <v:textbox style="mso-next-textbox:#_x0000_s2469;mso-rotate-with-shape:t" inset="0,0,0,0">
                <w:txbxContent>
                  <w:p w:rsidR="00000000" w:rsidRDefault="00000000">
                    <w:r>
                      <w:rPr>
                        <w:rFonts w:ascii="Arial" w:hAnsi="Arial"/>
                        <w:snapToGrid w:val="0"/>
                        <w:color w:val="000000"/>
                        <w:sz w:val="10"/>
                        <w:lang w:val="en-US" w:eastAsia="en-US"/>
                      </w:rPr>
                      <w:t>O</w:t>
                    </w:r>
                  </w:p>
                </w:txbxContent>
              </v:textbox>
            </v:rect>
            <v:rect id="_x0000_s2470" style="position:absolute;left:3946;top:12140;width:51;height:106" o:regroupid="1" filled="f" stroked="f"/>
            <v:rect id="_x0000_s2471" style="position:absolute;left:3946;top:12140;width:102;height:124" o:regroupid="1" filled="f" stroked="f">
              <v:textbox style="mso-next-textbox:#_x0000_s2471;mso-rotate-with-shape:t" inset="0,0,0,0">
                <w:txbxContent>
                  <w:p w:rsidR="00000000" w:rsidRDefault="00000000">
                    <w:r>
                      <w:rPr>
                        <w:rFonts w:ascii="Arial" w:hAnsi="Arial"/>
                        <w:snapToGrid w:val="0"/>
                        <w:color w:val="000000"/>
                        <w:sz w:val="10"/>
                        <w:lang w:val="en-US" w:eastAsia="en-US"/>
                      </w:rPr>
                      <w:t>s</w:t>
                    </w:r>
                  </w:p>
                </w:txbxContent>
              </v:textbox>
            </v:rect>
            <v:rect id="_x0000_s2472" style="position:absolute;left:3997;top:12122;width:68;height:124" o:regroupid="1" filled="f" stroked="f"/>
            <v:rect id="_x0000_s2473" style="position:absolute;left:3997;top:12140;width:102;height:124" o:regroupid="1" filled="f" stroked="f">
              <v:textbox style="mso-next-textbox:#_x0000_s2473;mso-rotate-with-shape:t" inset="0,0,0,0">
                <w:txbxContent>
                  <w:p w:rsidR="00000000" w:rsidRDefault="00000000">
                    <w:r>
                      <w:rPr>
                        <w:rFonts w:ascii="Arial" w:hAnsi="Arial"/>
                        <w:snapToGrid w:val="0"/>
                        <w:color w:val="000000"/>
                        <w:sz w:val="10"/>
                        <w:lang w:val="en-US" w:eastAsia="en-US"/>
                      </w:rPr>
                      <w:t>u</w:t>
                    </w:r>
                  </w:p>
                </w:txbxContent>
              </v:textbox>
            </v:rect>
            <v:rect id="_x0000_s2474" style="position:absolute;left:4048;top:12140;width:68;height:106" o:regroupid="1" filled="f" stroked="f"/>
            <v:rect id="_x0000_s2475" style="position:absolute;left:4048;top:12140;width:102;height:124" o:regroupid="1" filled="f" stroked="f">
              <v:textbox style="mso-next-textbox:#_x0000_s2475;mso-rotate-with-shape:t" inset="0,0,0,0">
                <w:txbxContent>
                  <w:p w:rsidR="00000000" w:rsidRDefault="00000000">
                    <w:r>
                      <w:rPr>
                        <w:rFonts w:ascii="Arial" w:hAnsi="Arial"/>
                        <w:snapToGrid w:val="0"/>
                        <w:color w:val="000000"/>
                        <w:sz w:val="10"/>
                        <w:lang w:val="en-US" w:eastAsia="en-US"/>
                      </w:rPr>
                      <w:t>n</w:t>
                    </w:r>
                  </w:p>
                </w:txbxContent>
              </v:textbox>
            </v:rect>
            <v:rect id="_x0000_s2476" style="position:absolute;left:4897;top:12900;width:34;height:124" o:regroupid="1" filled="f" stroked="f"/>
            <v:rect id="_x0000_s2477" style="position:absolute;left:4897;top:12917;width:85;height:124" o:regroupid="1" filled="f" stroked="f">
              <v:textbox style="mso-next-textbox:#_x0000_s2477;mso-rotate-with-shape:t" inset="0,0,0,0">
                <w:txbxContent>
                  <w:p w:rsidR="00000000" w:rsidRDefault="00000000">
                    <w:r>
                      <w:rPr>
                        <w:rFonts w:ascii="Arial" w:hAnsi="Arial"/>
                        <w:snapToGrid w:val="0"/>
                        <w:color w:val="000000"/>
                        <w:sz w:val="10"/>
                        <w:lang w:val="en-US" w:eastAsia="en-US"/>
                      </w:rPr>
                      <w:t>I</w:t>
                    </w:r>
                  </w:p>
                </w:txbxContent>
              </v:textbox>
            </v:rect>
            <v:rect id="_x0000_s2478" style="position:absolute;left:4931;top:12900;width:68;height:124" o:regroupid="1" filled="f" stroked="f"/>
            <v:rect id="_x0000_s2479" style="position:absolute;left:4931;top:12917;width:135;height:124" o:regroupid="1" filled="f" stroked="f">
              <v:textbox style="mso-next-textbox:#_x0000_s2479;mso-rotate-with-shape:t" inset="0,0,0,0">
                <w:txbxContent>
                  <w:p w:rsidR="00000000" w:rsidRDefault="00000000">
                    <w:r>
                      <w:rPr>
                        <w:rFonts w:ascii="Arial" w:hAnsi="Arial"/>
                        <w:snapToGrid w:val="0"/>
                        <w:color w:val="000000"/>
                        <w:sz w:val="10"/>
                        <w:lang w:val="en-US" w:eastAsia="en-US"/>
                      </w:rPr>
                      <w:t>m</w:t>
                    </w:r>
                  </w:p>
                </w:txbxContent>
              </v:textbox>
            </v:rect>
            <v:rect id="_x0000_s2480" style="position:absolute;left:4999;top:12900;width:67;height:124" o:regroupid="1" filled="f" stroked="f"/>
            <v:rect id="_x0000_s2481" style="position:absolute;left:4999;top:12917;width:102;height:124" o:regroupid="1" filled="f" stroked="f">
              <v:textbox style="mso-next-textbox:#_x0000_s2481;mso-rotate-with-shape:t" inset="0,0,0,0">
                <w:txbxContent>
                  <w:p w:rsidR="00000000" w:rsidRDefault="00000000">
                    <w:r>
                      <w:rPr>
                        <w:rFonts w:ascii="Arial" w:hAnsi="Arial"/>
                        <w:snapToGrid w:val="0"/>
                        <w:color w:val="000000"/>
                        <w:sz w:val="10"/>
                        <w:lang w:val="en-US" w:eastAsia="en-US"/>
                      </w:rPr>
                      <w:t>o</w:t>
                    </w:r>
                  </w:p>
                </w:txbxContent>
              </v:textbox>
            </v:rect>
            <v:rect id="_x0000_s2482" style="position:absolute;left:4218;top:12034;width:67;height:124" o:regroupid="1" filled="f" stroked="f"/>
            <v:rect id="_x0000_s2483" style="position:absolute;left:4218;top:12051;width:119;height:124" o:regroupid="1" filled="f" stroked="f">
              <v:textbox style="mso-next-textbox:#_x0000_s2483;mso-rotate-with-shape:t" inset="0,0,0,0">
                <w:txbxContent>
                  <w:p w:rsidR="00000000" w:rsidRDefault="00000000">
                    <w:r>
                      <w:rPr>
                        <w:rFonts w:ascii="Arial" w:hAnsi="Arial"/>
                        <w:snapToGrid w:val="0"/>
                        <w:color w:val="000000"/>
                        <w:sz w:val="10"/>
                        <w:lang w:val="en-US" w:eastAsia="en-US"/>
                      </w:rPr>
                      <w:t>E</w:t>
                    </w:r>
                  </w:p>
                </w:txbxContent>
              </v:textbox>
            </v:rect>
            <v:rect id="_x0000_s2484" style="position:absolute;left:4285;top:12034;width:52;height:124" o:regroupid="1" filled="f" stroked="f"/>
            <v:rect id="_x0000_s2485" style="position:absolute;left:4285;top:12051;width:102;height:124" o:regroupid="1" filled="f" stroked="f">
              <v:textbox style="mso-next-textbox:#_x0000_s2485;mso-rotate-with-shape:t" inset="0,0,0,0">
                <w:txbxContent>
                  <w:p w:rsidR="00000000" w:rsidRDefault="00000000">
                    <w:r>
                      <w:rPr>
                        <w:rFonts w:ascii="Arial" w:hAnsi="Arial"/>
                        <w:snapToGrid w:val="0"/>
                        <w:color w:val="000000"/>
                        <w:sz w:val="10"/>
                        <w:lang w:val="en-US" w:eastAsia="en-US"/>
                      </w:rPr>
                      <w:t>k</w:t>
                    </w:r>
                  </w:p>
                </w:txbxContent>
              </v:textbox>
            </v:rect>
            <v:rect id="_x0000_s2486" style="position:absolute;left:4337;top:12034;width:33;height:124" o:regroupid="1" filled="f" stroked="f"/>
            <v:rect id="_x0000_s2487" style="position:absolute;left:4337;top:12051;width:68;height:124" o:regroupid="1" filled="f" stroked="f">
              <v:textbox style="mso-next-textbox:#_x0000_s2487;mso-rotate-with-shape:t" inset="0,0,0,0">
                <w:txbxContent>
                  <w:p w:rsidR="00000000" w:rsidRDefault="00000000">
                    <w:r>
                      <w:rPr>
                        <w:rFonts w:ascii="Arial" w:hAnsi="Arial"/>
                        <w:snapToGrid w:val="0"/>
                        <w:color w:val="000000"/>
                        <w:sz w:val="10"/>
                        <w:lang w:val="en-US" w:eastAsia="en-US"/>
                      </w:rPr>
                      <w:t>i</w:t>
                    </w:r>
                  </w:p>
                </w:txbxContent>
              </v:textbox>
            </v:rect>
            <v:rect id="_x0000_s2488" style="position:absolute;left:4353;top:12034;width:52;height:124" o:regroupid="1" filled="f" stroked="f"/>
            <v:rect id="_x0000_s2489" style="position:absolute;left:4353;top:12051;width:85;height:124" o:regroupid="1" filled="f" stroked="f">
              <v:textbox style="mso-next-textbox:#_x0000_s2489;mso-rotate-with-shape:t" inset="0,0,0,0">
                <w:txbxContent>
                  <w:p w:rsidR="00000000" w:rsidRDefault="00000000">
                    <w:r>
                      <w:rPr>
                        <w:rFonts w:ascii="Arial" w:hAnsi="Arial"/>
                        <w:snapToGrid w:val="0"/>
                        <w:color w:val="000000"/>
                        <w:sz w:val="10"/>
                        <w:lang w:val="en-US" w:eastAsia="en-US"/>
                      </w:rPr>
                      <w:t>t</w:t>
                    </w:r>
                  </w:p>
                </w:txbxContent>
              </v:textbox>
            </v:rect>
            <v:rect id="_x0000_s2490" style="position:absolute;left:4387;top:12034;width:35;height:124" o:regroupid="1" filled="f" stroked="f"/>
            <v:rect id="_x0000_s2491" style="position:absolute;left:4387;top:12051;width:68;height:124" o:regroupid="1" filled="f" stroked="f">
              <v:textbox style="mso-next-textbox:#_x0000_s2491;mso-rotate-with-shape:t" inset="0,0,0,0">
                <w:txbxContent>
                  <w:p w:rsidR="00000000" w:rsidRDefault="00000000">
                    <w:r>
                      <w:rPr>
                        <w:rFonts w:ascii="Arial" w:hAnsi="Arial"/>
                        <w:snapToGrid w:val="0"/>
                        <w:color w:val="000000"/>
                        <w:sz w:val="10"/>
                        <w:lang w:val="en-US" w:eastAsia="en-US"/>
                      </w:rPr>
                      <w:t>i</w:t>
                    </w:r>
                  </w:p>
                </w:txbxContent>
              </v:textbox>
            </v:rect>
            <v:rect id="_x0000_s2492" style="position:absolute;left:4965;top:12511;width:68;height:106" o:regroupid="1" filled="f" stroked="f"/>
            <v:rect id="_x0000_s2493" style="position:absolute;left:4965;top:12511;width:118;height:124" o:regroupid="1" filled="f" stroked="f">
              <v:textbox style="mso-next-textbox:#_x0000_s2493;mso-rotate-with-shape:t" inset="0,0,0,0">
                <w:txbxContent>
                  <w:p w:rsidR="00000000" w:rsidRDefault="00000000">
                    <w:r>
                      <w:rPr>
                        <w:rFonts w:ascii="Arial" w:hAnsi="Arial"/>
                        <w:snapToGrid w:val="0"/>
                        <w:color w:val="000000"/>
                        <w:sz w:val="10"/>
                        <w:lang w:val="en-US" w:eastAsia="en-US"/>
                      </w:rPr>
                      <w:t>E</w:t>
                    </w:r>
                  </w:p>
                </w:txbxContent>
              </v:textbox>
            </v:rect>
            <v:rect id="_x0000_s2494" style="position:absolute;left:5016;top:12511;width:67;height:106" o:regroupid="1" filled="f" stroked="f"/>
            <v:rect id="_x0000_s2495" style="position:absolute;left:5016;top:12511;width:102;height:124" o:regroupid="1" filled="f" stroked="f">
              <v:textbox style="mso-next-textbox:#_x0000_s2495;mso-rotate-with-shape:t" inset="0,0,0,0">
                <w:txbxContent>
                  <w:p w:rsidR="00000000" w:rsidRDefault="00000000">
                    <w:r>
                      <w:rPr>
                        <w:rFonts w:ascii="Arial" w:hAnsi="Arial"/>
                        <w:snapToGrid w:val="0"/>
                        <w:color w:val="000000"/>
                        <w:sz w:val="10"/>
                        <w:lang w:val="en-US" w:eastAsia="en-US"/>
                      </w:rPr>
                      <w:t>n</w:t>
                    </w:r>
                  </w:p>
                </w:txbxContent>
              </v:textbox>
            </v:rect>
            <v:rect id="_x0000_s2496" style="position:absolute;left:5083;top:12511;width:52;height:106" o:regroupid="1" filled="f" stroked="f"/>
            <v:rect id="_x0000_s2497" style="position:absolute;left:5083;top:12511;width:102;height:124" o:regroupid="1" filled="f" stroked="f">
              <v:textbox style="mso-next-textbox:#_x0000_s2497;mso-rotate-with-shape:t" inset="0,0,0,0">
                <w:txbxContent>
                  <w:p w:rsidR="00000000" w:rsidRDefault="00000000">
                    <w:r>
                      <w:rPr>
                        <w:rFonts w:ascii="Arial" w:hAnsi="Arial"/>
                        <w:snapToGrid w:val="0"/>
                        <w:color w:val="000000"/>
                        <w:sz w:val="10"/>
                        <w:lang w:val="en-US" w:eastAsia="en-US"/>
                      </w:rPr>
                      <w:t>u</w:t>
                    </w:r>
                  </w:p>
                </w:txbxContent>
              </v:textbox>
            </v:rect>
            <v:rect id="_x0000_s2498" style="position:absolute;left:5135;top:12511;width:68;height:106" o:regroupid="1" filled="f" stroked="f"/>
            <v:rect id="_x0000_s2499" style="position:absolute;left:5135;top:12511;width:102;height:124" o:regroupid="1" filled="f" stroked="f">
              <v:textbox style="mso-next-textbox:#_x0000_s2499;mso-rotate-with-shape:t" inset="0,0,0,0">
                <w:txbxContent>
                  <w:p w:rsidR="00000000" w:rsidRDefault="00000000">
                    <w:r>
                      <w:rPr>
                        <w:rFonts w:ascii="Arial" w:hAnsi="Arial"/>
                        <w:snapToGrid w:val="0"/>
                        <w:color w:val="000000"/>
                        <w:sz w:val="10"/>
                        <w:lang w:val="en-US" w:eastAsia="en-US"/>
                      </w:rPr>
                      <w:t>g</w:t>
                    </w:r>
                  </w:p>
                </w:txbxContent>
              </v:textbox>
            </v:rect>
            <v:rect id="_x0000_s2500" style="position:absolute;left:5203;top:12494;width:67;height:123" o:regroupid="1" filled="f" stroked="f"/>
            <v:rect id="_x0000_s2501" style="position:absolute;left:5203;top:12511;width:102;height:124" o:regroupid="1" filled="f" stroked="f">
              <v:textbox style="mso-next-textbox:#_x0000_s2501;mso-rotate-with-shape:t" inset="0,0,0,0">
                <w:txbxContent>
                  <w:p w:rsidR="00000000" w:rsidRDefault="00000000">
                    <w:r>
                      <w:rPr>
                        <w:rFonts w:ascii="Arial" w:hAnsi="Arial"/>
                        <w:snapToGrid w:val="0"/>
                        <w:color w:val="000000"/>
                        <w:sz w:val="10"/>
                        <w:lang w:val="en-US" w:eastAsia="en-US"/>
                      </w:rPr>
                      <w:t>u</w:t>
                    </w:r>
                  </w:p>
                </w:txbxContent>
              </v:textbox>
            </v:rect>
            <v:rect id="_x0000_s2502" style="position:absolute;left:4370;top:13218;width:68;height:106" o:regroupid="1" filled="f" stroked="f"/>
            <v:rect id="_x0000_s2503" style="position:absolute;left:4370;top:13218;width:119;height:124" o:regroupid="1" filled="f" stroked="f">
              <v:textbox style="mso-next-textbox:#_x0000_s2503;mso-rotate-with-shape:t" inset="0,0,0,0">
                <w:txbxContent>
                  <w:p w:rsidR="00000000" w:rsidRDefault="00000000">
                    <w:r>
                      <w:rPr>
                        <w:rFonts w:ascii="Arial" w:hAnsi="Arial"/>
                        <w:snapToGrid w:val="0"/>
                        <w:color w:val="000000"/>
                        <w:sz w:val="10"/>
                        <w:lang w:val="en-US" w:eastAsia="en-US"/>
                      </w:rPr>
                      <w:t>B</w:t>
                    </w:r>
                  </w:p>
                </w:txbxContent>
              </v:textbox>
            </v:rect>
            <v:rect id="_x0000_s2504" style="position:absolute;left:4438;top:13218;width:69;height:106" o:regroupid="1" filled="f" stroked="f"/>
            <v:rect id="_x0000_s2505" style="position:absolute;left:4438;top:13218;width:102;height:124" o:regroupid="1" filled="f" stroked="f">
              <v:textbox style="mso-next-textbox:#_x0000_s2505;mso-rotate-with-shape:t" inset="0,0,0,0">
                <w:txbxContent>
                  <w:p w:rsidR="00000000" w:rsidRDefault="00000000">
                    <w:r>
                      <w:rPr>
                        <w:rFonts w:ascii="Arial" w:hAnsi="Arial"/>
                        <w:snapToGrid w:val="0"/>
                        <w:color w:val="000000"/>
                        <w:sz w:val="10"/>
                        <w:lang w:val="en-US" w:eastAsia="en-US"/>
                      </w:rPr>
                      <w:t>a</w:t>
                    </w:r>
                  </w:p>
                </w:txbxContent>
              </v:textbox>
            </v:rect>
            <v:rect id="_x0000_s2506" style="position:absolute;left:4490;top:13218;width:67;height:106" o:regroupid="1" filled="f" stroked="f"/>
            <v:rect id="_x0000_s2507" style="position:absolute;left:4490;top:13218;width:102;height:124" o:regroupid="1" filled="f" stroked="f">
              <v:textbox style="mso-next-textbox:#_x0000_s2507;mso-rotate-with-shape:t" inset="0,0,0,0">
                <w:txbxContent>
                  <w:p w:rsidR="00000000" w:rsidRDefault="00000000">
                    <w:r>
                      <w:rPr>
                        <w:rFonts w:ascii="Arial" w:hAnsi="Arial"/>
                        <w:snapToGrid w:val="0"/>
                        <w:color w:val="000000"/>
                        <w:sz w:val="10"/>
                        <w:lang w:val="en-US" w:eastAsia="en-US"/>
                      </w:rPr>
                      <w:t>y</w:t>
                    </w:r>
                  </w:p>
                </w:txbxContent>
              </v:textbox>
            </v:rect>
            <v:rect id="_x0000_s2508" style="position:absolute;left:4557;top:13218;width:52;height:106" o:regroupid="1" filled="f" stroked="f"/>
            <v:rect id="_x0000_s2509" style="position:absolute;left:4557;top:13218;width:102;height:124" o:regroupid="1" filled="f" stroked="f">
              <v:textbox style="mso-next-textbox:#_x0000_s2509;mso-rotate-with-shape:t" inset="0,0,0,0">
                <w:txbxContent>
                  <w:p w:rsidR="00000000" w:rsidRDefault="00000000">
                    <w:r>
                      <w:rPr>
                        <w:rFonts w:ascii="Arial" w:hAnsi="Arial"/>
                        <w:snapToGrid w:val="0"/>
                        <w:color w:val="000000"/>
                        <w:sz w:val="10"/>
                        <w:lang w:val="en-US" w:eastAsia="en-US"/>
                      </w:rPr>
                      <w:t>e</w:t>
                    </w:r>
                  </w:p>
                </w:txbxContent>
              </v:textbox>
            </v:rect>
            <v:rect id="_x0000_s2510" style="position:absolute;left:4609;top:13218;width:33;height:106" o:regroupid="1" filled="f" stroked="f"/>
            <v:rect id="_x0000_s2511" style="position:absolute;left:4609;top:13218;width:68;height:124" o:regroupid="1" filled="f" stroked="f">
              <v:textbox style="mso-next-textbox:#_x0000_s2511;mso-rotate-with-shape:t" inset="0,0,0,0">
                <w:txbxContent>
                  <w:p w:rsidR="00000000" w:rsidRDefault="00000000">
                    <w:r>
                      <w:rPr>
                        <w:rFonts w:ascii="Arial" w:hAnsi="Arial"/>
                        <w:snapToGrid w:val="0"/>
                        <w:color w:val="000000"/>
                        <w:sz w:val="10"/>
                        <w:lang w:val="en-US" w:eastAsia="en-US"/>
                      </w:rPr>
                      <w:t>l</w:t>
                    </w:r>
                  </w:p>
                </w:txbxContent>
              </v:textbox>
            </v:rect>
            <v:rect id="_x0000_s2512" style="position:absolute;left:4642;top:13218;width:52;height:106" o:regroupid="1" filled="f" stroked="f"/>
            <v:rect id="_x0000_s2513" style="position:absolute;left:4642;top:13218;width:102;height:124" o:regroupid="1" filled="f" stroked="f">
              <v:textbox style="mso-next-textbox:#_x0000_s2513;mso-rotate-with-shape:t" inset="0,0,0,0">
                <w:txbxContent>
                  <w:p w:rsidR="00000000" w:rsidRDefault="00000000">
                    <w:r>
                      <w:rPr>
                        <w:rFonts w:ascii="Arial" w:hAnsi="Arial"/>
                        <w:snapToGrid w:val="0"/>
                        <w:color w:val="000000"/>
                        <w:sz w:val="10"/>
                        <w:lang w:val="en-US" w:eastAsia="en-US"/>
                      </w:rPr>
                      <w:t>s</w:t>
                    </w:r>
                  </w:p>
                </w:txbxContent>
              </v:textbox>
            </v:rect>
            <v:rect id="_x0000_s2514" style="position:absolute;left:4694;top:13218;width:50;height:106" o:regroupid="1" filled="f" stroked="f"/>
            <v:rect id="_x0000_s2515" style="position:absolute;left:4694;top:13218;width:101;height:124" o:regroupid="1" filled="f" stroked="f">
              <v:textbox style="mso-next-textbox:#_x0000_s2515;mso-rotate-with-shape:t" inset="0,0,0,0">
                <w:txbxContent>
                  <w:p w:rsidR="00000000" w:rsidRDefault="00000000">
                    <w:r>
                      <w:rPr>
                        <w:rFonts w:ascii="Arial" w:hAnsi="Arial"/>
                        <w:snapToGrid w:val="0"/>
                        <w:color w:val="000000"/>
                        <w:sz w:val="10"/>
                        <w:lang w:val="en-US" w:eastAsia="en-US"/>
                      </w:rPr>
                      <w:t>a</w:t>
                    </w:r>
                  </w:p>
                </w:txbxContent>
              </v:textbox>
            </v:rect>
            <v:rect id="_x0000_s2516" style="position:absolute;left:5203;top:12617;width:67;height:124" o:regroupid="1" filled="f" stroked="f"/>
            <v:rect id="_x0000_s2517" style="position:absolute;left:5203;top:12635;width:119;height:124" o:regroupid="1" filled="f" stroked="f">
              <v:textbox style="mso-next-textbox:#_x0000_s2517;mso-rotate-with-shape:t" inset="0,0,0,0">
                <w:txbxContent>
                  <w:p w:rsidR="00000000" w:rsidRDefault="00000000">
                    <w:r>
                      <w:rPr>
                        <w:rFonts w:ascii="Arial" w:hAnsi="Arial"/>
                        <w:snapToGrid w:val="0"/>
                        <w:color w:val="000000"/>
                        <w:sz w:val="10"/>
                        <w:lang w:val="en-US" w:eastAsia="en-US"/>
                      </w:rPr>
                      <w:t>E</w:t>
                    </w:r>
                  </w:p>
                </w:txbxContent>
              </v:textbox>
            </v:rect>
            <v:rect id="_x0000_s2518" style="position:absolute;left:5270;top:12617;width:68;height:124" o:regroupid="1" filled="f" stroked="f"/>
            <v:rect id="_x0000_s2519" style="position:absolute;left:5270;top:12635;width:102;height:124" o:regroupid="1" filled="f" stroked="f">
              <v:textbox style="mso-next-textbox:#_x0000_s2519;mso-rotate-with-shape:t" inset="0,0,0,0">
                <w:txbxContent>
                  <w:p w:rsidR="00000000" w:rsidRDefault="00000000">
                    <w:r>
                      <w:rPr>
                        <w:rFonts w:ascii="Arial" w:hAnsi="Arial"/>
                        <w:snapToGrid w:val="0"/>
                        <w:color w:val="000000"/>
                        <w:sz w:val="10"/>
                        <w:lang w:val="en-US" w:eastAsia="en-US"/>
                      </w:rPr>
                      <w:t>b</w:t>
                    </w:r>
                  </w:p>
                </w:txbxContent>
              </v:textbox>
            </v:rect>
            <v:rect id="_x0000_s2520" style="position:absolute;left:5338;top:12617;width:52;height:124" o:regroupid="1" filled="f" stroked="f"/>
            <v:rect id="_x0000_s2521" style="position:absolute;left:5338;top:12635;width:102;height:124" o:regroupid="1" filled="f" stroked="f">
              <v:textbox style="mso-next-textbox:#_x0000_s2521;mso-rotate-with-shape:t" inset="0,0,0,0">
                <w:txbxContent>
                  <w:p w:rsidR="00000000" w:rsidRDefault="00000000">
                    <w:r>
                      <w:rPr>
                        <w:rFonts w:ascii="Arial" w:hAnsi="Arial"/>
                        <w:snapToGrid w:val="0"/>
                        <w:color w:val="000000"/>
                        <w:sz w:val="10"/>
                        <w:lang w:val="en-US" w:eastAsia="en-US"/>
                      </w:rPr>
                      <w:t>o</w:t>
                    </w:r>
                  </w:p>
                </w:txbxContent>
              </v:textbox>
            </v:rect>
            <v:rect id="_x0000_s2522" style="position:absolute;left:5390;top:12617;width:67;height:124" o:regroupid="1" filled="f" stroked="f"/>
            <v:rect id="_x0000_s2523" style="position:absolute;left:5390;top:12635;width:102;height:124" o:regroupid="1" filled="f" stroked="f">
              <v:textbox style="mso-next-textbox:#_x0000_s2523;mso-rotate-with-shape:t" inset="0,0,0,0">
                <w:txbxContent>
                  <w:p w:rsidR="00000000" w:rsidRDefault="00000000">
                    <w:r>
                      <w:rPr>
                        <w:rFonts w:ascii="Arial" w:hAnsi="Arial"/>
                        <w:snapToGrid w:val="0"/>
                        <w:color w:val="000000"/>
                        <w:sz w:val="10"/>
                        <w:lang w:val="en-US" w:eastAsia="en-US"/>
                      </w:rPr>
                      <w:t>n</w:t>
                    </w:r>
                  </w:p>
                </w:txbxContent>
              </v:textbox>
            </v:rect>
            <v:rect id="_x0000_s2524" style="position:absolute;left:5457;top:12617;width:51;height:124" o:regroupid="1" filled="f" stroked="f"/>
            <v:rect id="_x0000_s2525" style="position:absolute;left:5457;top:12635;width:102;height:124" o:regroupid="1" filled="f" stroked="f">
              <v:textbox style="mso-next-textbox:#_x0000_s2525;mso-rotate-with-shape:t" inset="0,0,0,0">
                <w:txbxContent>
                  <w:p w:rsidR="00000000" w:rsidRDefault="00000000">
                    <w:r>
                      <w:rPr>
                        <w:rFonts w:ascii="Arial" w:hAnsi="Arial"/>
                        <w:snapToGrid w:val="0"/>
                        <w:color w:val="000000"/>
                        <w:sz w:val="10"/>
                        <w:lang w:val="en-US" w:eastAsia="en-US"/>
                      </w:rPr>
                      <w:t>y</w:t>
                    </w:r>
                  </w:p>
                </w:txbxContent>
              </v:textbox>
            </v:rect>
            <v:rect id="_x0000_s2526" style="position:absolute;left:5508;top:12617;width:34;height:124" o:regroupid="1" filled="f" stroked="f"/>
            <v:rect id="_x0000_s2527" style="position:absolute;left:5508;top:12635;width:69;height:124" o:regroupid="1" filled="f" stroked="f">
              <v:textbox style="mso-next-textbox:#_x0000_s2527;mso-rotate-with-shape:t" inset="0,0,0,0">
                <w:txbxContent>
                  <w:p w:rsidR="00000000" w:rsidRDefault="00000000">
                    <w:r>
                      <w:rPr>
                        <w:rFonts w:ascii="Arial" w:hAnsi="Arial"/>
                        <w:snapToGrid w:val="0"/>
                        <w:color w:val="000000"/>
                        <w:sz w:val="10"/>
                        <w:lang w:val="en-US" w:eastAsia="en-US"/>
                      </w:rPr>
                      <w:t>i</w:t>
                    </w:r>
                  </w:p>
                </w:txbxContent>
              </v:textbox>
            </v:rect>
            <v:rect id="_x0000_s2528" style="position:absolute;left:5050;top:13041;width:68;height:124" o:regroupid="1" filled="f" stroked="f"/>
            <v:rect id="_x0000_s2529" style="position:absolute;left:5050;top:13059;width:118;height:124" o:regroupid="1" filled="f" stroked="f">
              <v:textbox style="mso-next-textbox:#_x0000_s2529;mso-rotate-with-shape:t" inset="0,0,0,0">
                <w:txbxContent>
                  <w:p w:rsidR="00000000" w:rsidRDefault="00000000">
                    <w:r>
                      <w:rPr>
                        <w:rFonts w:ascii="Arial" w:hAnsi="Arial"/>
                        <w:snapToGrid w:val="0"/>
                        <w:color w:val="000000"/>
                        <w:sz w:val="10"/>
                        <w:lang w:val="en-US" w:eastAsia="en-US"/>
                      </w:rPr>
                      <w:t>A</w:t>
                    </w:r>
                  </w:p>
                </w:txbxContent>
              </v:textbox>
            </v:rect>
            <v:rect id="_x0000_s2530" style="position:absolute;left:5118;top:13041;width:67;height:124" o:regroupid="1" filled="f" stroked="f"/>
            <v:rect id="_x0000_s2531" style="position:absolute;left:5118;top:13059;width:102;height:124" o:regroupid="1" filled="f" stroked="f">
              <v:textbox style="mso-next-textbox:#_x0000_s2531;mso-rotate-with-shape:t" inset="0,0,0,0">
                <w:txbxContent>
                  <w:p w:rsidR="00000000" w:rsidRDefault="00000000">
                    <w:r>
                      <w:rPr>
                        <w:rFonts w:ascii="Arial" w:hAnsi="Arial"/>
                        <w:snapToGrid w:val="0"/>
                        <w:color w:val="000000"/>
                        <w:sz w:val="10"/>
                        <w:lang w:val="en-US" w:eastAsia="en-US"/>
                      </w:rPr>
                      <w:t>b</w:t>
                    </w:r>
                  </w:p>
                </w:txbxContent>
              </v:textbox>
            </v:rect>
            <v:rect id="_x0000_s2532" style="position:absolute;left:5185;top:13041;width:35;height:124" o:regroupid="1" filled="f" stroked="f"/>
            <v:rect id="_x0000_s2533" style="position:absolute;left:5185;top:13059;width:68;height:124" o:regroupid="1" filled="f" stroked="f">
              <v:textbox style="mso-next-textbox:#_x0000_s2533;mso-rotate-with-shape:t" inset="0,0,0,0">
                <w:txbxContent>
                  <w:p w:rsidR="00000000" w:rsidRDefault="00000000">
                    <w:r>
                      <w:rPr>
                        <w:rFonts w:ascii="Arial" w:hAnsi="Arial"/>
                        <w:snapToGrid w:val="0"/>
                        <w:color w:val="000000"/>
                        <w:sz w:val="10"/>
                        <w:lang w:val="en-US" w:eastAsia="en-US"/>
                      </w:rPr>
                      <w:t>i</w:t>
                    </w:r>
                  </w:p>
                </w:txbxContent>
              </v:textbox>
            </v:rect>
            <v:rect id="_x0000_s2534" style="position:absolute;left:5203;top:13041;width:67;height:124" o:regroupid="1" filled="f" stroked="f"/>
            <v:rect id="_x0000_s2535" style="position:absolute;left:5203;top:13059;width:102;height:124" o:regroupid="1" filled="f" stroked="f">
              <v:textbox style="mso-next-textbox:#_x0000_s2535;mso-rotate-with-shape:t" inset="0,0,0,0">
                <w:txbxContent>
                  <w:p w:rsidR="00000000" w:rsidRDefault="00000000">
                    <w:r>
                      <w:rPr>
                        <w:rFonts w:ascii="Arial" w:hAnsi="Arial"/>
                        <w:snapToGrid w:val="0"/>
                        <w:color w:val="000000"/>
                        <w:sz w:val="10"/>
                        <w:lang w:val="en-US" w:eastAsia="en-US"/>
                      </w:rPr>
                      <w:t>a</w:t>
                    </w:r>
                  </w:p>
                </w:txbxContent>
              </v:textbox>
            </v:rect>
            <v:rect id="_x0000_s2536" style="position:absolute;left:5220;top:13182;width:67;height:124" o:regroupid="1" filled="f" stroked="f"/>
            <v:rect id="_x0000_s2537" style="position:absolute;left:5220;top:13201;width:118;height:124" o:regroupid="1" filled="f" stroked="f">
              <v:textbox style="mso-next-textbox:#_x0000_s2537;mso-rotate-with-shape:t" inset="0,0,0,0">
                <w:txbxContent>
                  <w:p w:rsidR="00000000" w:rsidRDefault="00000000">
                    <w:r>
                      <w:rPr>
                        <w:rFonts w:ascii="Arial" w:hAnsi="Arial"/>
                        <w:snapToGrid w:val="0"/>
                        <w:color w:val="000000"/>
                        <w:sz w:val="10"/>
                        <w:lang w:val="en-US" w:eastAsia="en-US"/>
                      </w:rPr>
                      <w:t>A</w:t>
                    </w:r>
                  </w:p>
                </w:txbxContent>
              </v:textbox>
            </v:rect>
            <v:rect id="_x0000_s2538" style="position:absolute;left:5287;top:13182;width:51;height:124" o:regroupid="1" filled="f" stroked="f"/>
            <v:rect id="_x0000_s2539" style="position:absolute;left:5287;top:13201;width:102;height:124" o:regroupid="1" filled="f" stroked="f">
              <v:textbox style="mso-next-textbox:#_x0000_s2539;mso-rotate-with-shape:t" inset="0,0,0,0">
                <w:txbxContent>
                  <w:p w:rsidR="00000000" w:rsidRDefault="00000000">
                    <w:r>
                      <w:rPr>
                        <w:rFonts w:ascii="Arial" w:hAnsi="Arial"/>
                        <w:snapToGrid w:val="0"/>
                        <w:color w:val="000000"/>
                        <w:sz w:val="10"/>
                        <w:lang w:val="en-US" w:eastAsia="en-US"/>
                      </w:rPr>
                      <w:t>k</w:t>
                    </w:r>
                  </w:p>
                </w:txbxContent>
              </v:textbox>
            </v:rect>
            <v:rect id="_x0000_s2540" style="position:absolute;left:5338;top:13182;width:69;height:124" o:regroupid="1" filled="f" stroked="f"/>
            <v:rect id="_x0000_s2541" style="position:absolute;left:5338;top:13201;width:119;height:124" o:regroupid="1" filled="f" stroked="f">
              <v:textbox style="mso-next-textbox:#_x0000_s2541;mso-rotate-with-shape:t" inset="0,0,0,0">
                <w:txbxContent>
                  <w:p w:rsidR="00000000" w:rsidRDefault="00000000">
                    <w:r>
                      <w:rPr>
                        <w:rFonts w:ascii="Arial" w:hAnsi="Arial"/>
                        <w:snapToGrid w:val="0"/>
                        <w:color w:val="000000"/>
                        <w:sz w:val="10"/>
                        <w:lang w:val="en-US" w:eastAsia="en-US"/>
                      </w:rPr>
                      <w:t>w</w:t>
                    </w:r>
                  </w:p>
                </w:txbxContent>
              </v:textbox>
            </v:rect>
            <v:rect id="_x0000_s2542" style="position:absolute;left:5407;top:13182;width:67;height:124" o:regroupid="1" filled="f" stroked="f"/>
            <v:rect id="_x0000_s2543" style="position:absolute;left:5407;top:13201;width:101;height:124" o:regroupid="1" filled="f" stroked="f">
              <v:textbox style="mso-next-textbox:#_x0000_s2543;mso-rotate-with-shape:t" inset="0,0,0,0">
                <w:txbxContent>
                  <w:p w:rsidR="00000000" w:rsidRDefault="00000000">
                    <w:r>
                      <w:rPr>
                        <w:rFonts w:ascii="Arial" w:hAnsi="Arial"/>
                        <w:snapToGrid w:val="0"/>
                        <w:color w:val="000000"/>
                        <w:sz w:val="10"/>
                        <w:lang w:val="en-US" w:eastAsia="en-US"/>
                      </w:rPr>
                      <w:t>a</w:t>
                    </w:r>
                  </w:p>
                </w:txbxContent>
              </v:textbox>
            </v:rect>
            <v:rect id="_x0000_s2544" style="position:absolute;left:5474;top:13182;width:34;height:124" o:regroupid="1" filled="f" stroked="f"/>
            <v:rect id="_x0000_s2545" style="position:absolute;left:5474;top:13201;width:85;height:124" o:regroupid="1" filled="f" stroked="f">
              <v:textbox style="mso-next-textbox:#_x0000_s2545;mso-rotate-with-shape:t" inset="0,0,0,0">
                <w:txbxContent>
                  <w:p w:rsidR="00000000" w:rsidRDefault="00000000">
                    <w:r>
                      <w:rPr>
                        <w:rFonts w:ascii="Arial" w:hAnsi="Arial"/>
                        <w:snapToGrid w:val="0"/>
                        <w:color w:val="000000"/>
                        <w:sz w:val="10"/>
                        <w:lang w:val="en-US" w:eastAsia="en-US"/>
                      </w:rPr>
                      <w:t>I</w:t>
                    </w:r>
                  </w:p>
                </w:txbxContent>
              </v:textbox>
            </v:rect>
            <v:rect id="_x0000_s2546" style="position:absolute;left:5508;top:13182;width:51;height:124" o:regroupid="1" filled="f" stroked="f"/>
            <v:rect id="_x0000_s2547" style="position:absolute;left:5508;top:13201;width:102;height:124" o:regroupid="1" filled="f" stroked="f">
              <v:textbox style="mso-next-textbox:#_x0000_s2547;mso-rotate-with-shape:t" inset="0,0,0,0">
                <w:txbxContent>
                  <w:p w:rsidR="00000000" w:rsidRDefault="00000000">
                    <w:r>
                      <w:rPr>
                        <w:rFonts w:ascii="Arial" w:hAnsi="Arial"/>
                        <w:snapToGrid w:val="0"/>
                        <w:color w:val="000000"/>
                        <w:sz w:val="10"/>
                        <w:lang w:val="en-US" w:eastAsia="en-US"/>
                      </w:rPr>
                      <w:t>b</w:t>
                    </w:r>
                  </w:p>
                </w:txbxContent>
              </v:textbox>
            </v:rect>
            <v:rect id="_x0000_s2548" style="position:absolute;left:5559;top:13182;width:68;height:124" o:regroupid="1" filled="f" stroked="f"/>
            <v:rect id="_x0000_s2549" style="position:absolute;left:5559;top:13201;width:102;height:124" o:regroupid="1" filled="f" stroked="f">
              <v:textbox style="mso-next-textbox:#_x0000_s2549;mso-rotate-with-shape:t" inset="0,0,0,0">
                <w:txbxContent>
                  <w:p w:rsidR="00000000" w:rsidRDefault="00000000">
                    <w:r>
                      <w:rPr>
                        <w:rFonts w:ascii="Arial" w:hAnsi="Arial"/>
                        <w:snapToGrid w:val="0"/>
                        <w:color w:val="000000"/>
                        <w:sz w:val="10"/>
                        <w:lang w:val="en-US" w:eastAsia="en-US"/>
                      </w:rPr>
                      <w:t>o</w:t>
                    </w:r>
                  </w:p>
                </w:txbxContent>
              </v:textbox>
            </v:rect>
            <v:rect id="_x0000_s2550" style="position:absolute;left:5610;top:13182;width:85;height:124" o:regroupid="1" filled="f" stroked="f"/>
            <v:rect id="_x0000_s2551" style="position:absolute;left:5610;top:13201;width:136;height:124" o:regroupid="1" filled="f" stroked="f">
              <v:textbox style="mso-next-textbox:#_x0000_s2551;mso-rotate-with-shape:t" inset="0,0,0,0">
                <w:txbxContent>
                  <w:p w:rsidR="00000000" w:rsidRDefault="00000000">
                    <w:r>
                      <w:rPr>
                        <w:rFonts w:ascii="Arial" w:hAnsi="Arial"/>
                        <w:snapToGrid w:val="0"/>
                        <w:color w:val="000000"/>
                        <w:sz w:val="10"/>
                        <w:lang w:val="en-US" w:eastAsia="en-US"/>
                      </w:rPr>
                      <w:t>m</w:t>
                    </w:r>
                  </w:p>
                </w:txbxContent>
              </v:textbox>
            </v:rect>
            <v:rect id="_x0000_s2552" style="position:absolute;left:3522;top:12494;width:68;height:105" o:regroupid="1" filled="f" stroked="f"/>
            <v:rect id="_x0000_s2553" style="position:absolute;left:3522;top:12494;width:102;height:124" o:regroupid="1" filled="f" stroked="f">
              <v:textbox style="mso-next-textbox:#_x0000_s2553;mso-rotate-with-shape:t" inset="0,0,0,0">
                <w:txbxContent>
                  <w:p w:rsidR="00000000" w:rsidRDefault="00000000">
                    <w:r>
                      <w:rPr>
                        <w:rFonts w:ascii="Arial" w:hAnsi="Arial"/>
                        <w:snapToGrid w:val="0"/>
                        <w:color w:val="000000"/>
                        <w:sz w:val="10"/>
                        <w:lang w:val="en-US" w:eastAsia="en-US"/>
                      </w:rPr>
                      <w:t>L</w:t>
                    </w:r>
                  </w:p>
                </w:txbxContent>
              </v:textbox>
            </v:rect>
            <v:rect id="_x0000_s2554" style="position:absolute;left:3572;top:12494;width:68;height:105" o:regroupid="1" filled="f" stroked="f"/>
            <v:rect id="_x0000_s2555" style="position:absolute;left:3572;top:12494;width:102;height:124" o:regroupid="1" filled="f" stroked="f">
              <v:textbox style="mso-next-textbox:#_x0000_s2555;mso-rotate-with-shape:t" inset="0,0,0,0">
                <w:txbxContent>
                  <w:p w:rsidR="00000000" w:rsidRDefault="00000000">
                    <w:r>
                      <w:rPr>
                        <w:rFonts w:ascii="Arial" w:hAnsi="Arial"/>
                        <w:snapToGrid w:val="0"/>
                        <w:color w:val="000000"/>
                        <w:sz w:val="10"/>
                        <w:lang w:val="en-US" w:eastAsia="en-US"/>
                      </w:rPr>
                      <w:t>a</w:t>
                    </w:r>
                  </w:p>
                </w:txbxContent>
              </v:textbox>
            </v:rect>
            <v:rect id="_x0000_s2556" style="position:absolute;left:3640;top:12494;width:52;height:105" o:regroupid="1" filled="f" stroked="f"/>
            <v:rect id="_x0000_s2557" style="position:absolute;left:3640;top:12494;width:102;height:124" o:regroupid="1" filled="f" stroked="f">
              <v:textbox style="mso-next-textbox:#_x0000_s2557;mso-rotate-with-shape:t" inset="0,0,0,0">
                <w:txbxContent>
                  <w:p w:rsidR="00000000" w:rsidRDefault="00000000">
                    <w:r>
                      <w:rPr>
                        <w:rFonts w:ascii="Arial" w:hAnsi="Arial"/>
                        <w:snapToGrid w:val="0"/>
                        <w:color w:val="000000"/>
                        <w:sz w:val="10"/>
                        <w:lang w:val="en-US" w:eastAsia="en-US"/>
                      </w:rPr>
                      <w:t>g</w:t>
                    </w:r>
                  </w:p>
                </w:txbxContent>
              </v:textbox>
            </v:rect>
            <v:rect id="_x0000_s2558" style="position:absolute;left:3692;top:12494;width:67;height:105" o:regroupid="1" filled="f" stroked="f"/>
            <v:rect id="_x0000_s2559" style="position:absolute;left:3692;top:12494;width:102;height:124" o:regroupid="1" filled="f" stroked="f">
              <v:textbox style="mso-next-textbox:#_x0000_s2559;mso-rotate-with-shape:t" inset="0,0,0,0">
                <w:txbxContent>
                  <w:p w:rsidR="00000000" w:rsidRDefault="00000000">
                    <w:r>
                      <w:rPr>
                        <w:rFonts w:ascii="Arial" w:hAnsi="Arial"/>
                        <w:snapToGrid w:val="0"/>
                        <w:color w:val="000000"/>
                        <w:sz w:val="10"/>
                        <w:lang w:val="en-US" w:eastAsia="en-US"/>
                      </w:rPr>
                      <w:t>o</w:t>
                    </w:r>
                  </w:p>
                </w:txbxContent>
              </v:textbox>
            </v:rect>
            <v:rect id="_x0000_s2560" style="position:absolute;left:3759;top:12494;width:52;height:105" o:regroupid="1" filled="f" stroked="f"/>
            <v:rect id="_x0000_s2561" style="position:absolute;left:3759;top:12494;width:102;height:124" o:regroupid="1" filled="f" stroked="f">
              <v:textbox style="mso-next-textbox:#_x0000_s2561;mso-rotate-with-shape:t" inset="0,0,0,0">
                <w:txbxContent>
                  <w:p w:rsidR="00000000" w:rsidRDefault="00000000">
                    <w:r>
                      <w:rPr>
                        <w:rFonts w:ascii="Arial" w:hAnsi="Arial"/>
                        <w:snapToGrid w:val="0"/>
                        <w:color w:val="000000"/>
                        <w:sz w:val="10"/>
                        <w:lang w:val="en-US" w:eastAsia="en-US"/>
                      </w:rPr>
                      <w:t>s</w:t>
                    </w:r>
                  </w:p>
                </w:txbxContent>
              </v:textbox>
            </v:rect>
            <v:rect id="_x0000_s2562" style="position:absolute;left:4744;top:12617;width:68;height:124" o:regroupid="1" filled="f" stroked="f"/>
            <v:rect id="_x0000_s2563" style="position:absolute;left:4744;top:12635;width:119;height:124" o:regroupid="1" filled="f" stroked="f">
              <v:textbox style="mso-next-textbox:#_x0000_s2563;mso-rotate-with-shape:t" inset="0,0,0,0">
                <w:txbxContent>
                  <w:p w:rsidR="00000000" w:rsidRDefault="00000000">
                    <w:r>
                      <w:rPr>
                        <w:rFonts w:ascii="Arial" w:hAnsi="Arial"/>
                        <w:snapToGrid w:val="0"/>
                        <w:color w:val="000000"/>
                        <w:sz w:val="10"/>
                        <w:lang w:val="en-US" w:eastAsia="en-US"/>
                      </w:rPr>
                      <w:t>A</w:t>
                    </w:r>
                  </w:p>
                </w:txbxContent>
              </v:textbox>
            </v:rect>
            <v:rect id="_x0000_s2564" style="position:absolute;left:4795;top:12617;width:68;height:124" o:regroupid="1" filled="f" stroked="f"/>
            <v:rect id="_x0000_s2565" style="position:absolute;left:4795;top:12635;width:102;height:124" o:regroupid="1" filled="f" stroked="f">
              <v:textbox style="mso-next-textbox:#_x0000_s2565;mso-rotate-with-shape:t" inset="0,0,0,0">
                <w:txbxContent>
                  <w:p w:rsidR="00000000" w:rsidRDefault="00000000">
                    <w:r>
                      <w:rPr>
                        <w:rFonts w:ascii="Arial" w:hAnsi="Arial"/>
                        <w:snapToGrid w:val="0"/>
                        <w:color w:val="000000"/>
                        <w:sz w:val="10"/>
                        <w:lang w:val="en-US" w:eastAsia="en-US"/>
                      </w:rPr>
                      <w:t>n</w:t>
                    </w:r>
                  </w:p>
                </w:txbxContent>
              </v:textbox>
            </v:rect>
            <v:rect id="_x0000_s2566" style="position:absolute;left:4863;top:12617;width:51;height:124" o:regroupid="1" filled="f" stroked="f"/>
            <v:rect id="_x0000_s2567" style="position:absolute;left:4863;top:12635;width:102;height:124" o:regroupid="1" filled="f" stroked="f">
              <v:textbox style="mso-next-textbox:#_x0000_s2567;mso-rotate-with-shape:t" inset="0,0,0,0">
                <w:txbxContent>
                  <w:p w:rsidR="00000000" w:rsidRDefault="00000000">
                    <w:r>
                      <w:rPr>
                        <w:rFonts w:ascii="Arial" w:hAnsi="Arial"/>
                        <w:snapToGrid w:val="0"/>
                        <w:color w:val="000000"/>
                        <w:sz w:val="10"/>
                        <w:lang w:val="en-US" w:eastAsia="en-US"/>
                      </w:rPr>
                      <w:t>a</w:t>
                    </w:r>
                  </w:p>
                </w:txbxContent>
              </v:textbox>
            </v:rect>
            <v:rect id="_x0000_s2568" style="position:absolute;left:4914;top:12617;width:85;height:124" o:regroupid="1" filled="f" stroked="f"/>
            <v:rect id="_x0000_s2569" style="position:absolute;left:4914;top:12635;width:136;height:124" o:regroupid="1" filled="f" stroked="f">
              <v:textbox style="mso-next-textbox:#_x0000_s2569;mso-rotate-with-shape:t" inset="0,0,0,0">
                <w:txbxContent>
                  <w:p w:rsidR="00000000" w:rsidRDefault="00000000">
                    <w:r>
                      <w:rPr>
                        <w:rFonts w:ascii="Arial" w:hAnsi="Arial"/>
                        <w:snapToGrid w:val="0"/>
                        <w:color w:val="000000"/>
                        <w:sz w:val="10"/>
                        <w:lang w:val="en-US" w:eastAsia="en-US"/>
                      </w:rPr>
                      <w:t>m</w:t>
                    </w:r>
                  </w:p>
                </w:txbxContent>
              </v:textbox>
            </v:rect>
            <v:rect id="_x0000_s2570" style="position:absolute;left:5016;top:12617;width:50;height:124" o:regroupid="1" filled="f" stroked="f"/>
            <v:rect id="_x0000_s2571" style="position:absolute;left:5016;top:12635;width:102;height:124" o:regroupid="1" filled="f" stroked="f">
              <v:textbox style="mso-next-textbox:#_x0000_s2571;mso-rotate-with-shape:t" inset="0,0,0,0">
                <w:txbxContent>
                  <w:p w:rsidR="00000000" w:rsidRDefault="00000000">
                    <w:r>
                      <w:rPr>
                        <w:rFonts w:ascii="Arial" w:hAnsi="Arial"/>
                        <w:snapToGrid w:val="0"/>
                        <w:color w:val="000000"/>
                        <w:sz w:val="10"/>
                        <w:lang w:val="en-US" w:eastAsia="en-US"/>
                      </w:rPr>
                      <w:t>b</w:t>
                    </w:r>
                  </w:p>
                </w:txbxContent>
              </v:textbox>
            </v:rect>
            <v:rect id="_x0000_s2572" style="position:absolute;left:5066;top:12617;width:52;height:124" o:regroupid="1" filled="f" stroked="f"/>
            <v:rect id="_x0000_s2573" style="position:absolute;left:5066;top:12635;width:86;height:124" o:regroupid="1" filled="f" stroked="f">
              <v:textbox style="mso-next-textbox:#_x0000_s2573;mso-rotate-with-shape:t" inset="0,0,0,0">
                <w:txbxContent>
                  <w:p w:rsidR="00000000" w:rsidRDefault="00000000">
                    <w:r>
                      <w:rPr>
                        <w:rFonts w:ascii="Arial" w:hAnsi="Arial"/>
                        <w:snapToGrid w:val="0"/>
                        <w:color w:val="000000"/>
                        <w:sz w:val="10"/>
                        <w:lang w:val="en-US" w:eastAsia="en-US"/>
                      </w:rPr>
                      <w:t>r</w:t>
                    </w:r>
                  </w:p>
                </w:txbxContent>
              </v:textbox>
            </v:rect>
            <v:rect id="_x0000_s2574" style="position:absolute;left:5101;top:12617;width:67;height:124" o:regroupid="1" filled="f" stroked="f"/>
            <v:rect id="_x0000_s2575" style="position:absolute;left:5101;top:12635;width:102;height:124" o:regroupid="1" filled="f" stroked="f">
              <v:textbox style="mso-next-textbox:#_x0000_s2575;mso-rotate-with-shape:t" inset="0,0,0,0">
                <w:txbxContent>
                  <w:p w:rsidR="00000000" w:rsidRDefault="00000000">
                    <w:r>
                      <w:rPr>
                        <w:rFonts w:ascii="Arial" w:hAnsi="Arial"/>
                        <w:snapToGrid w:val="0"/>
                        <w:color w:val="000000"/>
                        <w:sz w:val="10"/>
                        <w:lang w:val="en-US" w:eastAsia="en-US"/>
                      </w:rPr>
                      <w:t>a</w:t>
                    </w:r>
                  </w:p>
                </w:txbxContent>
              </v:textbox>
            </v:rect>
            <v:rect id="_x0000_s2576" style="position:absolute;left:3165;top:13572;width:577;height:52" o:regroupid="1" fillcolor="black" strokeweight=".9pt">
              <v:stroke color2="white pure"/>
            </v:rect>
            <v:rect id="_x0000_s2577" style="position:absolute;left:3165;top:13607;width:577;height:53" o:regroupid="1" strokeweight=".9pt">
              <v:stroke color2="white pure"/>
            </v:rect>
            <v:rect id="_x0000_s2578" style="position:absolute;left:3725;top:13572;width:578;height:52" o:regroupid="1" strokeweight=".9pt">
              <v:stroke color2="white pure"/>
            </v:rect>
            <v:rect id="_x0000_s2579" style="position:absolute;left:3725;top:13607;width:578;height:53" o:regroupid="1" fillcolor="black" strokeweight=".9pt">
              <v:stroke color2="white pure"/>
            </v:rect>
            <v:rect id="_x0000_s2580" style="position:absolute;left:4285;top:13572;width:1138;height:52" o:regroupid="1" fillcolor="black" strokeweight=".9pt">
              <v:stroke color2="white pure"/>
            </v:rect>
            <v:rect id="_x0000_s2581" style="position:absolute;left:4285;top:13607;width:1138;height:53" o:regroupid="1" strokeweight=".9pt">
              <v:stroke color2="white pure"/>
            </v:rect>
            <v:rect id="_x0000_s2582" style="position:absolute;left:5407;top:13572;width:1137;height:52" o:regroupid="1" strokeweight=".9pt">
              <v:stroke color2="white pure"/>
            </v:rect>
            <v:rect id="_x0000_s2583" style="position:absolute;left:5407;top:13607;width:1137;height:53" o:regroupid="1" fillcolor="black" strokeweight=".9pt">
              <v:stroke color2="white pure"/>
            </v:rect>
            <v:rect id="_x0000_s2584" style="position:absolute;left:3080;top:13448;width:68;height:106" o:regroupid="1" filled="f" stroked="f"/>
            <v:rect id="_x0000_s2585" style="position:absolute;left:3080;top:13448;width:102;height:124" o:regroupid="1" filled="f" stroked="f">
              <v:textbox style="mso-next-textbox:#_x0000_s2585;mso-rotate-with-shape:t" inset="0,0,0,0">
                <w:txbxContent>
                  <w:p w:rsidR="00000000" w:rsidRDefault="00000000">
                    <w:r>
                      <w:rPr>
                        <w:rFonts w:ascii="Arial" w:hAnsi="Arial"/>
                        <w:b/>
                        <w:snapToGrid w:val="0"/>
                        <w:color w:val="000000"/>
                        <w:sz w:val="10"/>
                        <w:lang w:val="en-US" w:eastAsia="en-US"/>
                      </w:rPr>
                      <w:t>2</w:t>
                    </w:r>
                  </w:p>
                </w:txbxContent>
              </v:textbox>
            </v:rect>
            <v:rect id="_x0000_s2586" style="position:absolute;left:3131;top:13448;width:68;height:106" o:regroupid="1" filled="f" stroked="f"/>
            <v:rect id="_x0000_s2587" style="position:absolute;left:3131;top:13448;width:102;height:124" o:regroupid="1" filled="f" stroked="f">
              <v:textbox style="mso-next-textbox:#_x0000_s2587;mso-rotate-with-shape:t" inset="0,0,0,0">
                <w:txbxContent>
                  <w:p w:rsidR="00000000" w:rsidRDefault="00000000">
                    <w:r>
                      <w:rPr>
                        <w:rFonts w:ascii="Arial" w:hAnsi="Arial"/>
                        <w:b/>
                        <w:snapToGrid w:val="0"/>
                        <w:color w:val="000000"/>
                        <w:sz w:val="10"/>
                        <w:lang w:val="en-US" w:eastAsia="en-US"/>
                      </w:rPr>
                      <w:t>0</w:t>
                    </w:r>
                  </w:p>
                </w:txbxContent>
              </v:textbox>
            </v:rect>
            <v:rect id="_x0000_s2588" style="position:absolute;left:3182;top:13448;width:68;height:106" o:regroupid="1" filled="f" stroked="f"/>
            <v:rect id="_x0000_s2589" style="position:absolute;left:3182;top:13448;width:101;height:124" o:regroupid="1" filled="f" stroked="f">
              <v:textbox style="mso-next-textbox:#_x0000_s2589;mso-rotate-with-shape:t" inset="0,0,0,0">
                <w:txbxContent>
                  <w:p w:rsidR="00000000" w:rsidRDefault="00000000">
                    <w:r>
                      <w:rPr>
                        <w:rFonts w:ascii="Arial" w:hAnsi="Arial"/>
                        <w:b/>
                        <w:snapToGrid w:val="0"/>
                        <w:color w:val="000000"/>
                        <w:sz w:val="10"/>
                        <w:lang w:val="en-US" w:eastAsia="en-US"/>
                      </w:rPr>
                      <w:t>0</w:t>
                    </w:r>
                  </w:p>
                </w:txbxContent>
              </v:textbox>
            </v:rect>
            <v:rect id="_x0000_s2590" style="position:absolute;left:4252;top:13448;width:68;height:106" o:regroupid="1" filled="f" stroked="f"/>
            <v:rect id="_x0000_s2591" style="position:absolute;left:4252;top:13448;width:101;height:124" o:regroupid="1" filled="f" stroked="f">
              <v:textbox style="mso-next-textbox:#_x0000_s2591;mso-rotate-with-shape:t" inset="0,0,0,0">
                <w:txbxContent>
                  <w:p w:rsidR="00000000" w:rsidRDefault="00000000">
                    <w:r>
                      <w:rPr>
                        <w:rFonts w:ascii="Arial" w:hAnsi="Arial"/>
                        <w:b/>
                        <w:snapToGrid w:val="0"/>
                        <w:color w:val="000000"/>
                        <w:sz w:val="10"/>
                        <w:lang w:val="en-US" w:eastAsia="en-US"/>
                      </w:rPr>
                      <w:t>0</w:t>
                    </w:r>
                  </w:p>
                </w:txbxContent>
              </v:textbox>
            </v:rect>
            <v:rect id="_x0000_s2592" style="position:absolute;left:5322;top:13448;width:68;height:106" o:regroupid="1" filled="f" stroked="f"/>
            <v:rect id="_x0000_s2593" style="position:absolute;left:5322;top:13448;width:101;height:124" o:regroupid="1" filled="f" stroked="f">
              <v:textbox style="mso-next-textbox:#_x0000_s2593;mso-rotate-with-shape:t" inset="0,0,0,0">
                <w:txbxContent>
                  <w:p w:rsidR="00000000" w:rsidRDefault="00000000">
                    <w:r>
                      <w:rPr>
                        <w:rFonts w:ascii="Arial" w:hAnsi="Arial"/>
                        <w:b/>
                        <w:snapToGrid w:val="0"/>
                        <w:color w:val="000000"/>
                        <w:sz w:val="10"/>
                        <w:lang w:val="en-US" w:eastAsia="en-US"/>
                      </w:rPr>
                      <w:t>2</w:t>
                    </w:r>
                  </w:p>
                </w:txbxContent>
              </v:textbox>
            </v:rect>
            <v:rect id="_x0000_s2594" style="position:absolute;left:5390;top:13448;width:50;height:106" o:regroupid="1" filled="f" stroked="f"/>
            <v:rect id="_x0000_s2595" style="position:absolute;left:5390;top:13448;width:102;height:124" o:regroupid="1" filled="f" stroked="f">
              <v:textbox style="mso-next-textbox:#_x0000_s2595;mso-rotate-with-shape:t" inset="0,0,0,0">
                <w:txbxContent>
                  <w:p w:rsidR="00000000" w:rsidRDefault="00000000">
                    <w:r>
                      <w:rPr>
                        <w:rFonts w:ascii="Arial" w:hAnsi="Arial"/>
                        <w:b/>
                        <w:snapToGrid w:val="0"/>
                        <w:color w:val="000000"/>
                        <w:sz w:val="10"/>
                        <w:lang w:val="en-US" w:eastAsia="en-US"/>
                      </w:rPr>
                      <w:t>0</w:t>
                    </w:r>
                  </w:p>
                </w:txbxContent>
              </v:textbox>
            </v:rect>
            <v:rect id="_x0000_s2596" style="position:absolute;left:5440;top:13448;width:52;height:106" o:regroupid="1" filled="f" stroked="f"/>
            <v:rect id="_x0000_s2597" style="position:absolute;left:5440;top:13448;width:102;height:124" o:regroupid="1" filled="f" stroked="f">
              <v:textbox style="mso-next-textbox:#_x0000_s2597;mso-rotate-with-shape:t" inset="0,0,0,0">
                <w:txbxContent>
                  <w:p w:rsidR="00000000" w:rsidRDefault="00000000">
                    <w:r>
                      <w:rPr>
                        <w:rFonts w:ascii="Arial" w:hAnsi="Arial"/>
                        <w:b/>
                        <w:snapToGrid w:val="0"/>
                        <w:color w:val="000000"/>
                        <w:sz w:val="10"/>
                        <w:lang w:val="en-US" w:eastAsia="en-US"/>
                      </w:rPr>
                      <w:t>0</w:t>
                    </w:r>
                  </w:p>
                </w:txbxContent>
              </v:textbox>
            </v:rect>
            <v:rect id="_x0000_s2598" style="position:absolute;left:6459;top:13448;width:68;height:106" o:regroupid="1" filled="f" stroked="f"/>
            <v:rect id="_x0000_s2599" style="position:absolute;left:6459;top:13448;width:102;height:124" o:regroupid="1" filled="f" stroked="f">
              <v:textbox style="mso-next-textbox:#_x0000_s2599;mso-rotate-with-shape:t" inset="0,0,0,0">
                <w:txbxContent>
                  <w:p w:rsidR="00000000" w:rsidRDefault="00000000">
                    <w:r>
                      <w:rPr>
                        <w:rFonts w:ascii="Arial" w:hAnsi="Arial"/>
                        <w:b/>
                        <w:snapToGrid w:val="0"/>
                        <w:color w:val="000000"/>
                        <w:sz w:val="10"/>
                        <w:lang w:val="en-US" w:eastAsia="en-US"/>
                      </w:rPr>
                      <w:t>4</w:t>
                    </w:r>
                  </w:p>
                </w:txbxContent>
              </v:textbox>
            </v:rect>
            <v:rect id="_x0000_s2600" style="position:absolute;left:6510;top:13448;width:68;height:106" o:regroupid="1" filled="f" stroked="f"/>
            <v:rect id="_x0000_s2601" style="position:absolute;left:6510;top:13448;width:102;height:124" o:regroupid="1" filled="f" stroked="f">
              <v:textbox style="mso-next-textbox:#_x0000_s2601;mso-rotate-with-shape:t" inset="0,0,0,0">
                <w:txbxContent>
                  <w:p w:rsidR="00000000" w:rsidRDefault="00000000">
                    <w:r>
                      <w:rPr>
                        <w:rFonts w:ascii="Arial" w:hAnsi="Arial"/>
                        <w:b/>
                        <w:snapToGrid w:val="0"/>
                        <w:color w:val="000000"/>
                        <w:sz w:val="10"/>
                        <w:lang w:val="en-US" w:eastAsia="en-US"/>
                      </w:rPr>
                      <w:t>0</w:t>
                    </w:r>
                  </w:p>
                </w:txbxContent>
              </v:textbox>
            </v:rect>
            <v:rect id="_x0000_s2602" style="position:absolute;left:6561;top:13448;width:68;height:106" o:regroupid="1" filled="f" stroked="f"/>
            <v:rect id="_x0000_s2603" style="position:absolute;left:6561;top:13448;width:102;height:124" o:regroupid="1" filled="f" stroked="f">
              <v:textbox style="mso-next-textbox:#_x0000_s2603;mso-rotate-with-shape:t" inset="0,0,0,0">
                <w:txbxContent>
                  <w:p w:rsidR="00000000" w:rsidRDefault="00000000">
                    <w:r>
                      <w:rPr>
                        <w:rFonts w:ascii="Arial" w:hAnsi="Arial"/>
                        <w:b/>
                        <w:snapToGrid w:val="0"/>
                        <w:color w:val="000000"/>
                        <w:sz w:val="10"/>
                        <w:lang w:val="en-US" w:eastAsia="en-US"/>
                      </w:rPr>
                      <w:t>0</w:t>
                    </w:r>
                  </w:p>
                </w:txbxContent>
              </v:textbox>
            </v:rect>
            <v:rect id="_x0000_s2604" style="position:absolute;left:6679;top:13448;width:85;height:106" o:regroupid="1" filled="f" stroked="f"/>
            <v:rect id="_x0000_s2605" style="position:absolute;left:6679;top:13448;width:136;height:124" o:regroupid="1" filled="f" stroked="f">
              <v:textbox style="mso-next-textbox:#_x0000_s2605;mso-rotate-with-shape:t" inset="0,0,0,0">
                <w:txbxContent>
                  <w:p w:rsidR="00000000" w:rsidRDefault="00000000">
                    <w:r>
                      <w:rPr>
                        <w:rFonts w:ascii="Arial" w:hAnsi="Arial"/>
                        <w:b/>
                        <w:snapToGrid w:val="0"/>
                        <w:color w:val="000000"/>
                        <w:sz w:val="10"/>
                        <w:lang w:val="en-US" w:eastAsia="en-US"/>
                      </w:rPr>
                      <w:t>M</w:t>
                    </w:r>
                  </w:p>
                </w:txbxContent>
              </v:textbox>
            </v:rect>
            <v:rect id="_x0000_s2606" style="position:absolute;left:6748;top:13448;width:51;height:106" o:regroupid="1" filled="f" stroked="f"/>
            <v:rect id="_x0000_s2607" style="position:absolute;left:6748;top:13448;width:85;height:124" o:regroupid="1" filled="f" stroked="f">
              <v:textbox style="mso-next-textbox:#_x0000_s2607;mso-rotate-with-shape:t" inset="0,0,0,0">
                <w:txbxContent>
                  <w:p w:rsidR="00000000" w:rsidRDefault="00000000">
                    <w:r>
                      <w:rPr>
                        <w:rFonts w:ascii="Arial" w:hAnsi="Arial"/>
                        <w:b/>
                        <w:snapToGrid w:val="0"/>
                        <w:color w:val="000000"/>
                        <w:sz w:val="10"/>
                        <w:lang w:val="en-US" w:eastAsia="en-US"/>
                      </w:rPr>
                      <w:t>i</w:t>
                    </w:r>
                  </w:p>
                </w:txbxContent>
              </v:textbox>
            </v:rect>
            <v:rect id="_x0000_s2608" style="position:absolute;left:6781;top:13448;width:52;height:106" o:regroupid="1" filled="f" stroked="f"/>
            <v:rect id="_x0000_s2609" style="position:absolute;left:6781;top:13448;width:85;height:124" o:regroupid="1" filled="f" stroked="f">
              <v:textbox style="mso-next-textbox:#_x0000_s2609;mso-rotate-with-shape:t" inset="0,0,0,0">
                <w:txbxContent>
                  <w:p w:rsidR="00000000" w:rsidRDefault="00000000">
                    <w:r>
                      <w:rPr>
                        <w:rFonts w:ascii="Arial" w:hAnsi="Arial"/>
                        <w:b/>
                        <w:snapToGrid w:val="0"/>
                        <w:color w:val="000000"/>
                        <w:sz w:val="10"/>
                        <w:lang w:val="en-US" w:eastAsia="en-US"/>
                      </w:rPr>
                      <w:t>l</w:t>
                    </w:r>
                  </w:p>
                </w:txbxContent>
              </v:textbox>
            </v:rect>
            <v:rect id="_x0000_s2610" style="position:absolute;left:6816;top:13448;width:50;height:106" o:regroupid="1" filled="f" stroked="f"/>
            <v:rect id="_x0000_s2611" style="position:absolute;left:6816;top:13448;width:102;height:124" o:regroupid="1" filled="f" stroked="f">
              <v:textbox style="mso-next-textbox:#_x0000_s2611;mso-rotate-with-shape:t" inset="0,0,0,0">
                <w:txbxContent>
                  <w:p w:rsidR="00000000" w:rsidRDefault="00000000">
                    <w:r>
                      <w:rPr>
                        <w:rFonts w:ascii="Arial" w:hAnsi="Arial"/>
                        <w:b/>
                        <w:snapToGrid w:val="0"/>
                        <w:color w:val="000000"/>
                        <w:sz w:val="10"/>
                        <w:lang w:val="en-US" w:eastAsia="en-US"/>
                      </w:rPr>
                      <w:t>e</w:t>
                    </w:r>
                  </w:p>
                </w:txbxContent>
              </v:textbox>
            </v:rect>
            <v:rect id="_x0000_s2612" style="position:absolute;left:6866;top:13448;width:69;height:106" o:regroupid="1" filled="f" stroked="f"/>
            <v:rect id="_x0000_s2613" style="position:absolute;left:6866;top:13448;width:102;height:124" o:regroupid="1" filled="f" stroked="f">
              <v:textbox style="mso-next-textbox:#_x0000_s2613;mso-rotate-with-shape:t" inset="0,0,0,0">
                <w:txbxContent>
                  <w:p w:rsidR="00000000" w:rsidRDefault="00000000">
                    <w:r>
                      <w:rPr>
                        <w:rFonts w:ascii="Arial" w:hAnsi="Arial"/>
                        <w:b/>
                        <w:snapToGrid w:val="0"/>
                        <w:color w:val="000000"/>
                        <w:sz w:val="10"/>
                        <w:lang w:val="en-US" w:eastAsia="en-US"/>
                      </w:rPr>
                      <w:t>s</w:t>
                    </w:r>
                  </w:p>
                </w:txbxContent>
              </v:textbox>
            </v:rect>
            <v:shape id="_x0000_s2614" style="position:absolute;left:8157;top:10991;width:561;height:530" coordsize="600,543" o:regroupid="1" path="m,272l200,217,164,127r91,54l309,r36,181l454,127r-54,90l600,272,400,308r54,90l345,362,309,543,255,362r-91,36l200,308,,272e" filled="f" strokeweight=".9pt">
              <v:stroke color2="white pure"/>
              <v:path arrowok="t"/>
            </v:shape>
            <v:shape id="_x0000_s2615" style="position:absolute;left:8446;top:10991;width:33;height:265" coordsize="36,272" o:regroupid="1" path="m,l,272,36,181,,xe" fillcolor="black" strokeweight=".9pt">
              <v:stroke color2="white pure"/>
              <v:path arrowok="t"/>
            </v:shape>
            <v:shape id="_x0000_s2616" style="position:absolute;left:8446;top:11256;width:272;height:36" coordsize="291,36" o:regroupid="1" path="m,l291,,91,36,,xe" fillcolor="black" strokeweight=".9pt">
              <v:stroke color2="white pure"/>
              <v:path arrowok="t"/>
            </v:shape>
            <v:shape id="_x0000_s2617" style="position:absolute;left:8395;top:11256;width:51;height:265" coordsize="54,271" o:regroupid="1" path="m54,r,271l,90,54,xe" fillcolor="black" strokeweight=".9pt">
              <v:stroke color2="white pure"/>
              <v:path arrowok="t"/>
            </v:shape>
            <v:shape id="_x0000_s2618" style="position:absolute;left:8157;top:11203;width:289;height:53" coordsize="309,55" o:regroupid="1" path="m309,55l,55,200,,309,55xe" fillcolor="black" strokeweight=".9pt">
              <v:stroke color2="white pure"/>
              <v:path arrowok="t"/>
            </v:shape>
            <v:shape id="_x0000_s2619" style="position:absolute;left:8446;top:11115;width:135;height:141" coordsize="145,145" o:regroupid="1" path="m,145l145,,91,90,,145xe" fillcolor="black" strokeweight=".9pt">
              <v:stroke color2="white pure"/>
              <v:path arrowok="t"/>
            </v:shape>
            <v:shape id="_x0000_s2620" style="position:absolute;left:8446;top:11256;width:135;height:123" coordsize="145,126" o:regroupid="1" path="m,l145,126,36,90,,xe" fillcolor="black" strokeweight=".9pt">
              <v:stroke color2="white pure"/>
              <v:path arrowok="t"/>
            </v:shape>
            <v:shape id="_x0000_s2621" style="position:absolute;left:8293;top:11256;width:153;height:123" coordsize="163,126" o:regroupid="1" path="m163,l,126,54,36,163,xe" fillcolor="black" strokeweight=".9pt">
              <v:stroke color2="white pure"/>
              <v:path arrowok="t"/>
            </v:shape>
            <v:shape id="_x0000_s2622" style="position:absolute;left:8293;top:11115;width:153;height:141" coordsize="163,145" o:regroupid="1" path="m163,145l,,109,54r54,91xe" fillcolor="black" strokeweight=".9pt">
              <v:stroke color2="white pure"/>
              <v:path arrowok="t"/>
            </v:shape>
            <v:rect id="_x0000_s2623" style="position:absolute;left:8395;top:10849;width:84;height:124" o:regroupid="1" filled="f" stroked="f"/>
            <v:rect id="_x0000_s2624" style="position:absolute;left:8395;top:10868;width:102;height:124" o:regroupid="1" filled="f" stroked="f">
              <v:textbox style="mso-next-textbox:#_x0000_s2624;mso-rotate-with-shape:t" inset="0,0,0,0">
                <w:txbxContent>
                  <w:p w:rsidR="00000000" w:rsidRDefault="00000000">
                    <w:r>
                      <w:rPr>
                        <w:snapToGrid w:val="0"/>
                        <w:color w:val="000000"/>
                        <w:sz w:val="10"/>
                        <w:lang w:val="en-US" w:eastAsia="en-US"/>
                      </w:rPr>
                      <w:t>N</w:t>
                    </w:r>
                  </w:p>
                </w:txbxContent>
              </v:textbox>
            </v:rect>
            <v:rect id="_x0000_s2625" style="position:absolute;left:8768;top:11220;width:68;height:124" o:regroupid="1" filled="f" stroked="f"/>
            <v:rect id="_x0000_s2626" style="position:absolute;left:8768;top:11239;width:102;height:124" o:regroupid="1" filled="f" stroked="f">
              <v:textbox style="mso-next-textbox:#_x0000_s2626;mso-rotate-with-shape:t" inset="0,0,0,0">
                <w:txbxContent>
                  <w:p w:rsidR="00000000" w:rsidRDefault="00000000">
                    <w:r>
                      <w:rPr>
                        <w:snapToGrid w:val="0"/>
                        <w:color w:val="000000"/>
                        <w:sz w:val="10"/>
                        <w:lang w:val="en-US" w:eastAsia="en-US"/>
                      </w:rPr>
                      <w:t>E</w:t>
                    </w:r>
                  </w:p>
                </w:txbxContent>
              </v:textbox>
            </v:rect>
            <v:rect id="_x0000_s2627" style="position:absolute;left:8021;top:11220;width:102;height:124" o:regroupid="1" filled="f" stroked="f"/>
            <v:rect id="_x0000_s2628" style="position:absolute;left:8021;top:11239;width:136;height:124" o:regroupid="1" filled="f" stroked="f">
              <v:textbox style="mso-next-textbox:#_x0000_s2628;mso-rotate-with-shape:t" inset="0,0,0,0">
                <w:txbxContent>
                  <w:p w:rsidR="00000000" w:rsidRDefault="00000000">
                    <w:r>
                      <w:rPr>
                        <w:snapToGrid w:val="0"/>
                        <w:color w:val="000000"/>
                        <w:sz w:val="10"/>
                        <w:lang w:val="en-US" w:eastAsia="en-US"/>
                      </w:rPr>
                      <w:t>W</w:t>
                    </w:r>
                  </w:p>
                </w:txbxContent>
              </v:textbox>
            </v:rect>
            <v:rect id="_x0000_s2629" style="position:absolute;left:8412;top:11556;width:67;height:124" o:regroupid="1" filled="f" stroked="f"/>
            <v:rect id="_x0000_s2630" style="position:absolute;left:8412;top:11575;width:85;height:124" o:regroupid="1" filled="f" stroked="f">
              <v:textbox style="mso-next-textbox:#_x0000_s2630;mso-rotate-with-shape:t" inset="0,0,0,0">
                <w:txbxContent>
                  <w:p w:rsidR="00000000" w:rsidRDefault="00000000">
                    <w:r>
                      <w:rPr>
                        <w:snapToGrid w:val="0"/>
                        <w:color w:val="000000"/>
                        <w:sz w:val="10"/>
                        <w:lang w:val="en-US" w:eastAsia="en-US"/>
                      </w:rPr>
                      <w:t>S</w:t>
                    </w:r>
                  </w:p>
                </w:txbxContent>
              </v:textbox>
            </v:rect>
            <v:rect id="_x0000_s2631" style="position:absolute;left:8090;top:12935;width:220;height:124" o:regroupid="1" fillcolor="#cd3333" strokeweight=".9pt">
              <v:stroke color2="white pure"/>
            </v:rect>
            <v:rect id="_x0000_s2632" style="position:absolute;left:8090;top:13041;width:220;height:141" o:regroupid="1" fillcolor="#eec900" strokeweight=".9pt">
              <v:stroke color2="white pure"/>
            </v:rect>
            <v:rect id="_x0000_s2633" style="position:absolute;left:8090;top:13165;width:220;height:124" o:regroupid="1" fillcolor="#b5ff00" strokeweight=".9pt">
              <v:stroke color2="white pure"/>
            </v:rect>
            <v:rect id="_x0000_s2634" style="position:absolute;left:8090;top:13289;width:220;height:124" o:regroupid="1" fillcolor="#aea5ff" strokeweight=".9pt">
              <v:stroke color2="white pure"/>
            </v:rect>
            <v:rect id="_x0000_s2635" style="position:absolute;left:8090;top:13413;width:220;height:123" o:regroupid="1" fillcolor="#7a8a34" strokeweight=".9pt">
              <v:stroke color2="white pure"/>
            </v:rect>
            <v:rect id="_x0000_s2636" style="position:absolute;left:8090;top:13536;width:220;height:124" o:regroupid="1" fillcolor="#016400" strokeweight=".9pt">
              <v:stroke color2="white pure"/>
            </v:rect>
            <v:rect id="_x0000_s2637" style="position:absolute;left:8412;top:12758;width:67;height:124" o:regroupid="1" filled="f" stroked="f"/>
            <v:rect id="_x0000_s2638" style="position:absolute;left:8479;top:12758;width:68;height:124" o:regroupid="1" filled="f" stroked="f"/>
            <v:rect id="_x0000_s2639" style="position:absolute;left:8386;top:12791;width:1329;height:1000" o:regroupid="1" filled="f" stroked="f">
              <v:textbox style="mso-next-textbox:#_x0000_s2639;mso-rotate-with-shape:t" inset="0,0,0,0">
                <w:txbxContent>
                  <w:p w:rsidR="00000000" w:rsidRDefault="00000000">
                    <w:pPr>
                      <w:spacing w:line="240" w:lineRule="auto"/>
                      <w:rPr>
                        <w:rFonts w:ascii="Arial" w:hAnsi="Arial"/>
                        <w:b/>
                        <w:snapToGrid w:val="0"/>
                        <w:color w:val="000000"/>
                        <w:sz w:val="10"/>
                        <w:lang w:val="en-US" w:eastAsia="en-US"/>
                      </w:rPr>
                    </w:pPr>
                    <w:r>
                      <w:rPr>
                        <w:rFonts w:ascii="Arial" w:hAnsi="Arial"/>
                        <w:b/>
                        <w:snapToGrid w:val="0"/>
                        <w:color w:val="000000"/>
                        <w:sz w:val="10"/>
                        <w:lang w:val="en-US" w:eastAsia="en-US"/>
                      </w:rPr>
                      <w:t xml:space="preserve">   CLAVE</w:t>
                    </w:r>
                  </w:p>
                  <w:p w:rsidR="00000000" w:rsidRDefault="00000000">
                    <w:pPr>
                      <w:spacing w:after="20" w:line="240" w:lineRule="auto"/>
                      <w:rPr>
                        <w:rFonts w:ascii="Arial" w:hAnsi="Arial"/>
                        <w:snapToGrid w:val="0"/>
                        <w:color w:val="000000"/>
                        <w:sz w:val="10"/>
                        <w:lang w:val="en-US" w:eastAsia="en-US"/>
                      </w:rPr>
                    </w:pPr>
                    <w:r>
                      <w:rPr>
                        <w:rFonts w:ascii="Arial" w:hAnsi="Arial"/>
                        <w:snapToGrid w:val="0"/>
                        <w:color w:val="000000"/>
                        <w:sz w:val="10"/>
                        <w:lang w:val="en-US" w:eastAsia="en-US"/>
                      </w:rPr>
                      <w:t>Noroccidental</w:t>
                    </w:r>
                  </w:p>
                  <w:p w:rsidR="00000000" w:rsidRDefault="00000000">
                    <w:pPr>
                      <w:spacing w:after="20" w:line="240" w:lineRule="auto"/>
                      <w:rPr>
                        <w:rFonts w:ascii="Arial" w:hAnsi="Arial"/>
                        <w:snapToGrid w:val="0"/>
                        <w:color w:val="000000"/>
                        <w:sz w:val="10"/>
                        <w:lang w:val="en-US" w:eastAsia="en-US"/>
                      </w:rPr>
                    </w:pPr>
                    <w:r>
                      <w:rPr>
                        <w:rFonts w:ascii="Arial" w:hAnsi="Arial"/>
                        <w:snapToGrid w:val="0"/>
                        <w:color w:val="000000"/>
                        <w:sz w:val="10"/>
                        <w:lang w:val="en-US" w:eastAsia="en-US"/>
                      </w:rPr>
                      <w:t>Nororiental</w:t>
                    </w:r>
                  </w:p>
                  <w:p w:rsidR="00000000" w:rsidRDefault="00000000">
                    <w:pPr>
                      <w:spacing w:after="20" w:line="240" w:lineRule="auto"/>
                      <w:rPr>
                        <w:rFonts w:ascii="Arial" w:hAnsi="Arial"/>
                        <w:snapToGrid w:val="0"/>
                        <w:color w:val="000000"/>
                        <w:sz w:val="10"/>
                        <w:lang w:val="en-US" w:eastAsia="en-US"/>
                      </w:rPr>
                    </w:pPr>
                    <w:r>
                      <w:rPr>
                        <w:rFonts w:ascii="Arial" w:hAnsi="Arial"/>
                        <w:snapToGrid w:val="0"/>
                        <w:color w:val="000000"/>
                        <w:sz w:val="10"/>
                        <w:lang w:val="en-US" w:eastAsia="en-US"/>
                      </w:rPr>
                      <w:t>Centro-septentrional</w:t>
                    </w:r>
                  </w:p>
                  <w:p w:rsidR="00000000" w:rsidRDefault="00000000">
                    <w:pPr>
                      <w:spacing w:after="20" w:line="240" w:lineRule="auto"/>
                      <w:rPr>
                        <w:rFonts w:ascii="Arial" w:hAnsi="Arial"/>
                        <w:snapToGrid w:val="0"/>
                        <w:color w:val="000000"/>
                        <w:sz w:val="10"/>
                        <w:lang w:val="en-US" w:eastAsia="en-US"/>
                      </w:rPr>
                    </w:pPr>
                    <w:r>
                      <w:rPr>
                        <w:rFonts w:ascii="Arial" w:hAnsi="Arial"/>
                        <w:snapToGrid w:val="0"/>
                        <w:color w:val="000000"/>
                        <w:sz w:val="10"/>
                        <w:lang w:val="en-US" w:eastAsia="en-US"/>
                      </w:rPr>
                      <w:t>Sudoccidental</w:t>
                    </w:r>
                  </w:p>
                  <w:p w:rsidR="00000000" w:rsidRDefault="00000000">
                    <w:pPr>
                      <w:spacing w:after="20" w:line="240" w:lineRule="auto"/>
                      <w:rPr>
                        <w:rFonts w:ascii="Arial" w:hAnsi="Arial"/>
                        <w:snapToGrid w:val="0"/>
                        <w:color w:val="000000"/>
                        <w:sz w:val="10"/>
                        <w:lang w:val="en-US" w:eastAsia="en-US"/>
                      </w:rPr>
                    </w:pPr>
                    <w:r>
                      <w:rPr>
                        <w:rFonts w:ascii="Arial" w:hAnsi="Arial"/>
                        <w:snapToGrid w:val="0"/>
                        <w:color w:val="000000"/>
                        <w:sz w:val="10"/>
                        <w:lang w:val="en-US" w:eastAsia="en-US"/>
                      </w:rPr>
                      <w:t>Meridional</w:t>
                    </w:r>
                  </w:p>
                  <w:p w:rsidR="00000000" w:rsidRDefault="00000000">
                    <w:pPr>
                      <w:spacing w:after="20" w:line="240" w:lineRule="auto"/>
                      <w:rPr>
                        <w:rFonts w:ascii="Arial" w:hAnsi="Arial"/>
                        <w:snapToGrid w:val="0"/>
                        <w:color w:val="000000"/>
                        <w:sz w:val="10"/>
                        <w:lang w:val="en-US" w:eastAsia="en-US"/>
                      </w:rPr>
                    </w:pPr>
                    <w:r>
                      <w:rPr>
                        <w:rFonts w:ascii="Arial" w:hAnsi="Arial"/>
                        <w:snapToGrid w:val="0"/>
                        <w:color w:val="000000"/>
                        <w:sz w:val="10"/>
                        <w:lang w:val="en-US" w:eastAsia="en-US"/>
                      </w:rPr>
                      <w:t>Sudoriental</w:t>
                    </w:r>
                  </w:p>
                </w:txbxContent>
              </v:textbox>
            </v:rect>
            <v:rect id="_x0000_s2640" style="position:absolute;left:8547;top:12758;width:69;height:124" o:regroupid="1" filled="f" stroked="f"/>
            <v:oval id="_x0000_s2641" style="position:absolute;left:4981;top:11433;width:239;height:247" o:regroupid="1" fillcolor="#036" strokeweight=".9pt">
              <v:stroke color2="white pure"/>
            </v:oval>
            <v:oval id="_x0000_s2642" style="position:absolute;left:3505;top:12529;width:85;height:88" o:regroupid="1" fillcolor="#036" strokeweight=".9pt">
              <v:stroke color2="white pure"/>
            </v:oval>
            <v:oval id="_x0000_s2643" style="position:absolute;left:5933;top:11167;width:85;height:89" o:regroupid="1" fillcolor="#036" strokeweight=".9pt">
              <v:stroke color2="white pure"/>
            </v:oval>
            <v:oval id="_x0000_s2644" style="position:absolute;left:5118;top:10884;width:85;height:89" o:regroupid="1" fillcolor="#036" strokeweight=".9pt">
              <v:stroke color2="white pure"/>
            </v:oval>
            <v:oval id="_x0000_s2645" style="position:absolute;left:5083;top:12475;width:85;height:89" o:regroupid="1" fillcolor="#036" strokeweight=".9pt">
              <v:stroke color2="white pure"/>
            </v:oval>
            <v:oval id="_x0000_s2646" style="position:absolute;left:3352;top:12494;width:153;height:158" o:regroupid="1" fillcolor="yellow" strokeweight=".9pt">
              <v:stroke color2="white pure"/>
            </v:oval>
            <v:shape id="_x0000_s2647" style="position:absolute;left:3420;top:12546;width:34;height:53" coordsize="36,54" o:regroupid="1" path="m,18l18,54,36,36,18,,,18xe" fillcolor="black" stroked="f">
              <v:path arrowok="t"/>
            </v:shape>
            <v:shape id="_x0000_s2648" style="position:absolute;left:3470;top:12511;width:52;height:53" coordsize="55,54" o:regroupid="1" path="m,18l18,54,55,36,37,,,18xe" fillcolor="black" stroked="f">
              <v:path arrowok="t"/>
            </v:shape>
            <v:shape id="_x0000_s2649" style="position:absolute;left:3522;top:12475;width:50;height:54" coordsize="54,55" o:regroupid="1" path="m,19l18,55,54,37,36,,,19xe" fillcolor="black" stroked="f">
              <v:path arrowok="t"/>
            </v:shape>
            <v:shape id="_x0000_s2650" style="position:absolute;left:3590;top:12440;width:34;height:54" coordsize="36,55" o:regroupid="1" path="m,18l18,55,36,36,18,,,18xe" fillcolor="black" stroked="f">
              <v:path arrowok="t"/>
            </v:shape>
            <v:shape id="_x0000_s2651" style="position:absolute;left:3640;top:12405;width:52;height:53" coordsize="55,54" o:regroupid="1" path="m,18l18,54,55,36,36,,,18xe" fillcolor="black" stroked="f">
              <v:path arrowok="t"/>
            </v:shape>
            <v:shape id="_x0000_s2652" style="position:absolute;left:3692;top:12352;width:50;height:53" coordsize="54,54" o:regroupid="1" path="m,18l18,54,54,36,36,,,18xe" fillcolor="black" stroked="f">
              <v:path arrowok="t"/>
            </v:shape>
            <v:shape id="_x0000_s2653" style="position:absolute;left:3759;top:12317;width:52;height:53" coordsize="55,54" o:regroupid="1" path="m,18l18,54,55,36,37,,,18xe" fillcolor="black" stroked="f">
              <v:path arrowok="t"/>
            </v:shape>
            <v:shape id="_x0000_s2654" style="position:absolute;left:3811;top:12281;width:50;height:53" coordsize="54,55" o:regroupid="1" path="m,18l18,55,54,37,36,,,18xe" fillcolor="black" stroked="f">
              <v:path arrowok="t"/>
            </v:shape>
            <v:shape id="_x0000_s2655" style="position:absolute;left:3878;top:12246;width:34;height:52" coordsize="37,54" o:regroupid="1" path="m,18l19,54,37,36,19,,,18xe" fillcolor="black" stroked="f">
              <v:path arrowok="t"/>
            </v:shape>
            <v:shape id="_x0000_s2656" style="position:absolute;left:3929;top:12210;width:51;height:53" coordsize="54,54" o:regroupid="1" path="m,18l18,54,54,36,36,,,18xe" fillcolor="black" stroked="f">
              <v:path arrowok="t"/>
            </v:shape>
            <v:shape id="_x0000_s2657" style="position:absolute;left:3980;top:12175;width:51;height:53" coordsize="55,54" o:regroupid="1" path="m,18l19,54,55,36,37,,,18xe" fillcolor="black" stroked="f">
              <v:path arrowok="t"/>
            </v:shape>
            <v:shape id="_x0000_s2658" style="position:absolute;left:4048;top:12140;width:51;height:53" coordsize="55,54" o:regroupid="1" path="m,18l18,54,55,36,36,,,18xe" fillcolor="black" stroked="f">
              <v:path arrowok="t"/>
            </v:shape>
            <v:shape id="_x0000_s2659" style="position:absolute;left:4099;top:12104;width:51;height:54" coordsize="54,55" o:regroupid="1" path="m,18l18,55,54,37,36,,,18xe" fillcolor="black" stroked="f">
              <v:path arrowok="t"/>
            </v:shape>
            <v:shape id="_x0000_s2660" style="position:absolute;left:4167;top:12069;width:34;height:53" coordsize="37,54" o:regroupid="1" path="m,18l18,54,37,36,18,,,18xe" fillcolor="black" stroked="f">
              <v:path arrowok="t"/>
            </v:shape>
            <v:shape id="_x0000_s2661" style="position:absolute;left:4218;top:12016;width:50;height:53" coordsize="54,54" o:regroupid="1" path="m,18l18,54,54,36,36,,,18xe" fillcolor="black" stroked="f">
              <v:path arrowok="t"/>
            </v:shape>
            <v:shape id="_x0000_s2662" style="position:absolute;left:4268;top:11981;width:52;height:53" coordsize="55,54" o:regroupid="1" path="m,18l18,54,55,36,37,,,18xe" fillcolor="black" stroked="f">
              <v:path arrowok="t"/>
            </v:shape>
            <v:shape id="_x0000_s2663" style="position:absolute;left:4337;top:11945;width:50;height:54" coordsize="54,55" o:regroupid="1" path="m,19l18,55,54,37,36,,,19xe" fillcolor="black" stroked="f">
              <v:path arrowok="t"/>
            </v:shape>
            <v:shape id="_x0000_s2664" style="position:absolute;left:4387;top:11910;width:51;height:53" coordsize="55,55" o:regroupid="1" path="m,18l19,55,55,36,37,,,18xe" fillcolor="black" stroked="f">
              <v:path arrowok="t"/>
            </v:shape>
            <v:shape id="_x0000_s2665" style="position:absolute;left:4455;top:11875;width:35;height:52" coordsize="37,54" o:regroupid="1" path="m,18l18,54,37,36,18,,,18xe" fillcolor="black" stroked="f">
              <v:path arrowok="t"/>
            </v:shape>
            <v:shape id="_x0000_s2666" style="position:absolute;left:4507;top:11839;width:50;height:53" coordsize="54,54" o:regroupid="1" path="m,18l18,54,54,36,36,,,18xe" fillcolor="black" stroked="f">
              <v:path arrowok="t"/>
            </v:shape>
            <v:shape id="_x0000_s2667" style="position:absolute;left:4557;top:11804;width:52;height:53" coordsize="55,54" o:regroupid="1" path="m,18l18,54,55,36,37,,,18xe" fillcolor="black" stroked="f">
              <v:path arrowok="t"/>
            </v:shape>
            <v:shape id="_x0000_s2668" style="position:absolute;left:4625;top:11768;width:51;height:54" coordsize="54,55" o:regroupid="1" path="m,19l18,55,54,37,36,,,19xe" fillcolor="black" stroked="f">
              <v:path arrowok="t"/>
            </v:shape>
            <v:shape id="_x0000_s2669" style="position:absolute;left:4676;top:11733;width:51;height:54" coordsize="55,55" o:regroupid="1" path="m,18l19,55,55,36,37,,,18xe" fillcolor="black" stroked="f">
              <v:path arrowok="t"/>
            </v:shape>
            <v:shape id="_x0000_s2670" style="position:absolute;left:4744;top:11680;width:34;height:53" coordsize="36,54" o:regroupid="1" path="m,18l18,54,36,36,18,,,18xe" fillcolor="black" stroked="f">
              <v:path arrowok="t"/>
            </v:shape>
            <v:shape id="_x0000_s2671" style="position:absolute;left:4795;top:11645;width:51;height:53" coordsize="54,54" o:regroupid="1" path="m,18l18,54,54,36,36,,,18xe" fillcolor="black" stroked="f">
              <v:path arrowok="t"/>
            </v:shape>
            <v:shape id="_x0000_s2672" style="position:absolute;left:4846;top:11610;width:51;height:53" coordsize="55,54" o:regroupid="1" path="m,18l18,54,55,36,36,,,18xe" fillcolor="black" stroked="f">
              <v:path arrowok="t"/>
            </v:shape>
            <v:shape id="_x0000_s2673" style="position:absolute;left:4829;top:11591;width:152;height:142" coordsize="163,145" o:regroupid="1" path="m91,145l163,,,,91,145xe" fillcolor="black" stroked="f">
              <v:path arrowok="t"/>
            </v:shape>
            <v:oval id="_x0000_s2675" style="position:absolute;left:5729;top:13712;width:237;height:248" o:regroupid="1" fillcolor="#036" strokeweight=".9pt">
              <v:stroke color2="white pure"/>
            </v:oval>
            <v:rect id="_x0000_s2676" style="position:absolute;left:7292;top:12228;width:2665;height:247" o:regroupid="1" filled="f" stroked="f"/>
            <v:rect id="_x0000_s2677" style="position:absolute;left:7023;top:12274;width:3499;height:281" o:regroupid="1" filled="f" stroked="f">
              <v:textbox style="mso-next-textbox:#_x0000_s2677;mso-rotate-with-shape:t" inset="0,0,0,0">
                <w:txbxContent>
                  <w:p w:rsidR="00000000" w:rsidRDefault="00000000">
                    <w:r>
                      <w:rPr>
                        <w:rFonts w:ascii="Arial Black" w:hAnsi="Arial Black"/>
                        <w:snapToGrid w:val="0"/>
                        <w:color w:val="000000"/>
                        <w:sz w:val="12"/>
                        <w:lang w:val="en-US" w:eastAsia="en-US"/>
                      </w:rPr>
                      <w:t>Población total:- 124 millones (aproximadamente</w:t>
                    </w:r>
                  </w:p>
                </w:txbxContent>
              </v:textbox>
            </v:rect>
          </v:group>
        </w:pict>
      </w:r>
    </w:p>
    <w:p w:rsidR="00000000" w:rsidRDefault="00000000">
      <w:pPr>
        <w:pStyle w:val="SingleTxt"/>
      </w:pPr>
      <w:r>
        <w:rPr>
          <w:noProof/>
          <w:w w:val="100"/>
        </w:rPr>
        <w:pict>
          <v:rect id="_x0000_s2674" style="position:absolute;left:0;text-align:left;margin-left:345.55pt;margin-top:310.75pt;width:51.8pt;height:19.5pt;z-index:2;mso-position-horizontal:absolute;mso-position-horizontal-relative:text;mso-position-vertical:absolute;mso-position-vertical-relative:text" o:regroupid="1" o:allowincell="f" filled="f" stroked="f"/>
        </w:pic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Sección B</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sobre los avances logrados en la aplicación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Artículo 1: Definición de la discriminación contra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1.1</w:t>
      </w:r>
      <w:r>
        <w:rPr>
          <w:i w:val="0"/>
        </w:rPr>
        <w:tab/>
        <w:t>Nigeria es signataria de la Convención sobre la eliminación de todas las formas de discriminación contra la mujer, firmada en 1985 y ratificada en 1989, además de su protocolo facultativo en 1999; así, pues, al aplicarle expresa su aprobación de la definición de discriminación y rechaza las prácticas discriminatorias co</w:t>
      </w:r>
      <w:r>
        <w:rPr>
          <w:i w:val="0"/>
        </w:rPr>
        <w:t>n</w:t>
      </w:r>
      <w:r>
        <w:rPr>
          <w:i w:val="0"/>
        </w:rPr>
        <w:t>tra la mujer</w:t>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rPr>
          <w:i w:val="0"/>
        </w:rPr>
        <w:tab/>
        <w:t>1.2</w:t>
      </w:r>
      <w:r>
        <w:rPr>
          <w:i w:val="0"/>
        </w:rPr>
        <w:tab/>
        <w:t>A primera vista, el artículo 42 de la Constitución de Nigeria de 1999 garantiza la ausencia de discriminación. Sin embargo, hay usos tradicionales practicados en muchos Estados de la Federación que especifican las funciones de los sexos en el sistema consuetudinario.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i w:val="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val="0"/>
        </w:rPr>
        <w:tab/>
        <w:t>1.3</w:t>
      </w:r>
      <w:r>
        <w:rPr>
          <w:i w:val="0"/>
        </w:rPr>
        <w:tab/>
        <w:t>En virtud de las obligaciones que se desprenden de los artículos 13 a 15, del inciso b) del párrafo 1 del artículo 16 y de los artículos 17 a 18 y 42 de la Constitución de Nigeria de 1999, los tres poderes del Estado –es decir, el ejecutivo, el legislativo y el judicial– son órganos competentes para el fomento y la protección de la mujer contra todas las formas de usos, políticas y leyes  discriminatorios en Nigeria.</w:t>
      </w:r>
    </w:p>
    <w:p w:rsidR="00000000" w:rsidRDefault="00000000">
      <w:pPr>
        <w:pStyle w:val="SingleTxt"/>
        <w:spacing w:after="0" w:line="120" w:lineRule="exact"/>
        <w:rPr>
          <w:sz w:val="10"/>
        </w:rPr>
      </w:pPr>
    </w:p>
    <w:p w:rsidR="00000000" w:rsidRDefault="00000000">
      <w:pPr>
        <w:pStyle w:val="SingleTxt"/>
      </w:pPr>
      <w:r>
        <w:tab/>
        <w:t>Muy recientemente, el Tribunal de Apelación demostró suficientemente su competencia y eficacia al declarar tres costumbres de los estados de Enugu y Ana</w:t>
      </w:r>
      <w:r>
        <w:t>m</w:t>
      </w:r>
      <w:r>
        <w:t>bra discriminatorias contra la mujer y constitutivas de violaciones de sus derechos y de la dignidad humana en las siguientes causas:</w:t>
      </w:r>
    </w:p>
    <w:p w:rsidR="00000000" w:rsidRDefault="00000000">
      <w:pPr>
        <w:pStyle w:val="SingleTxt"/>
        <w:tabs>
          <w:tab w:val="right" w:pos="1685"/>
        </w:tabs>
        <w:ind w:left="1742" w:hanging="475"/>
      </w:pPr>
      <w:r>
        <w:tab/>
        <w:t>•</w:t>
      </w:r>
      <w:r>
        <w:tab/>
        <w:t xml:space="preserve">Theresa Onwo contra Nwafor Oko y 12 personas más (1996) 6 NWLR </w:t>
      </w:r>
      <w:r>
        <w:br/>
        <w:t>(Parte 456) pág. 584;</w:t>
      </w:r>
    </w:p>
    <w:p w:rsidR="00000000" w:rsidRDefault="00000000">
      <w:pPr>
        <w:pStyle w:val="SingleTxt"/>
        <w:tabs>
          <w:tab w:val="right" w:pos="1685"/>
        </w:tabs>
        <w:ind w:left="1742" w:hanging="475"/>
      </w:pPr>
      <w:r>
        <w:tab/>
        <w:t>•</w:t>
      </w:r>
      <w:r>
        <w:tab/>
        <w:t>Augustine Mojekwu contra Caroline Mojekwu (1997) 7 NWLR (Parte 512) pág. 238;</w:t>
      </w:r>
    </w:p>
    <w:p w:rsidR="00000000" w:rsidRDefault="00000000">
      <w:pPr>
        <w:pStyle w:val="SingleTxt"/>
        <w:tabs>
          <w:tab w:val="right" w:pos="1685"/>
        </w:tabs>
        <w:ind w:left="1742" w:hanging="475"/>
      </w:pPr>
      <w:r>
        <w:tab/>
        <w:t>•</w:t>
      </w:r>
      <w:r>
        <w:tab/>
        <w:t>Mojekwu contra Ejikeme (2000) 5 NWLR (Parte 657) pág. 402; y</w:t>
      </w:r>
    </w:p>
    <w:p w:rsidR="00000000" w:rsidRDefault="00000000">
      <w:pPr>
        <w:pStyle w:val="SingleTxt"/>
        <w:tabs>
          <w:tab w:val="right" w:pos="1685"/>
        </w:tabs>
        <w:ind w:left="1742" w:hanging="475"/>
      </w:pPr>
      <w:r>
        <w:tab/>
        <w:t>•</w:t>
      </w:r>
      <w:r>
        <w:tab/>
        <w:t xml:space="preserve">Alajemba Uke y Anor contra Albert Iro (2001) 11 NWLR (Parte 723), </w:t>
      </w:r>
      <w:r>
        <w:br/>
        <w:t>pág. 203.</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i w:val="0"/>
        </w:rPr>
      </w:pPr>
      <w:r>
        <w:tab/>
      </w:r>
      <w:r>
        <w:rPr>
          <w:i w:val="0"/>
        </w:rPr>
        <w:t>1.4</w:t>
      </w:r>
      <w:r>
        <w:rPr>
          <w:i w:val="0"/>
        </w:rPr>
        <w:tab/>
        <w:t>A consecuencia de la urbanización, la educación, la ilustración pública y la concienciación nacional, el carácter patriarcal de Nigeria y otros usos culturales negativos para la mujer están decayendo rápidamente. Las mujeres han abogado seriamente por la adopción de medidas positivas, por lo que la participación de las mujeres en los órganos encargados de la adopción de decisiones ha ido en aumento. Ahora se elige y se nombra a mujeres para los cargos de concejal, presidente del gobierno local, diputado a las cámaras legislativas de la Asamblea Nacional y de los estados, personal directivo, director, secretario permanente, comisionado, vicecanciller, juez, asesor especial, embajador y honorable ministro. En los cuadros 7 y 8 se indican los porcentajes de mujeres elegidas o nombradas en los diferentes niveles.</w:t>
      </w:r>
    </w:p>
    <w:p w:rsidR="00000000" w:rsidRDefault="00000000"/>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2.0</w:t>
      </w:r>
      <w:r>
        <w:tab/>
        <w:t>Artículo 2: Obligación de eliminar la discriminación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rPr>
          <w:b w:val="0"/>
          <w:i/>
        </w:rPr>
        <w:t>2.1</w:t>
      </w:r>
      <w:r>
        <w:rPr>
          <w:b w:val="0"/>
          <w:i/>
        </w:rPr>
        <w:tab/>
        <w:t>Preámbulo</w:t>
      </w:r>
    </w:p>
    <w:p w:rsidR="00000000" w:rsidRDefault="00000000">
      <w:pPr>
        <w:pStyle w:val="SingleTxt"/>
        <w:keepNext/>
        <w:keepLines/>
        <w:spacing w:after="0" w:line="120" w:lineRule="exact"/>
        <w:rPr>
          <w:sz w:val="10"/>
        </w:rPr>
      </w:pPr>
    </w:p>
    <w:p w:rsidR="00000000" w:rsidRDefault="00000000">
      <w:pPr>
        <w:pStyle w:val="SingleTxt"/>
        <w:keepNext/>
        <w:keepLines/>
      </w:pPr>
      <w:r>
        <w:tab/>
        <w:t>Desde 1998 se han logrado en verdad avances en materia de adelanto de la mujer y eliminación de la discriminación. El Gobierno Federal y otros poderes del Estado, incluidos los Estados, han expresado su disposición a laborar en pro de la igualdad de los hombres y las mujeres en cumplimiento de las disposiciones const</w:t>
      </w:r>
      <w:r>
        <w:t>i</w:t>
      </w:r>
      <w:r>
        <w:t>tucionales. En la esfera de los nombramientos políticos en el nivel federal, hay un 13,6 por ciento de ministras y un 27 por ciento de secretarias permanentes. Además, hay mujeres que dirigen varias instituciones y organismos nacionales, a saber: Ce</w:t>
      </w:r>
      <w:r>
        <w:t>n</w:t>
      </w:r>
      <w:r>
        <w:t>tro Nacional para el Desarrollo de la Mujer, Organismo Nacional de Administración y Supervisión de Alimentos y Medicamentos, Organismo Autónomo de la Zona N</w:t>
      </w:r>
      <w:r>
        <w:t>i</w:t>
      </w:r>
      <w:r>
        <w:t>geriana de Elaboración y Exportación, Instituto Nigeriano de Asuntos Internacion</w:t>
      </w:r>
      <w:r>
        <w:t>a</w:t>
      </w:r>
      <w:r>
        <w:t>les, Organismo Nacional de Gestión de Emergencias, Comité Nacional de Acción contra el SIDA, Programa Nacional de Inmunización, Interventor General de Inm</w:t>
      </w:r>
      <w:r>
        <w:t>i</w:t>
      </w:r>
      <w:r>
        <w:t>gración de Nigeria y Comisión Nacional para la UNESCO, etc.</w:t>
      </w:r>
    </w:p>
    <w:p w:rsidR="00000000" w:rsidRDefault="00000000">
      <w:pPr>
        <w:pStyle w:val="SingleTxt"/>
      </w:pPr>
      <w:r>
        <w:tab/>
        <w:t>También ha habido más mujeres que han obtenido cargos electivos, si bien esa mejora no es suficiente aún. Ahora tres de los 109 senadores (el 2,8 por ciento) y 12 de los 360 (el 3,3 por ciento) diputados a la Cámara de Representantes  son mujeres.</w:t>
      </w:r>
    </w:p>
    <w:p w:rsidR="00000000" w:rsidRDefault="00000000">
      <w:pPr>
        <w:pStyle w:val="SingleTxt"/>
      </w:pPr>
      <w:r>
        <w:tab/>
        <w:t>Un resultado importante del presente clima democrático en el país es la apar</w:t>
      </w:r>
      <w:r>
        <w:t>i</w:t>
      </w:r>
      <w:r>
        <w:t>ción de una aspirante a la Presidencia para las elecciones nacionales de 2003. Un importante avance democrático ha sido el logrado en el sector de los nombramientos judiciales. En la mayoría de las judicaturas de los 36 Estados y del Territorio de la Capital Federal hay ahora mujeres que desempeñan las funciones de jueces de Tr</w:t>
      </w:r>
      <w:r>
        <w:t>i</w:t>
      </w:r>
      <w:r>
        <w:t>bunal Superior y representan el 30 por ciento del número total de jueces del país. El Estado de Lagos, además de tener a una presidenta de la judicatura, ha batido una marca con treinta y cuatro mujeres jueces de un total de cincuenta y dos, lo que constituye una representación del 65 por ciento. Asimismo, desde la Conferencia de Beijing otras tres mujeres han sido nombradas miembros del Tribunal de Apelación, pero aún no hay ninguna mujer que sea miembro del Tribunal Supremo. El juez principal del Tribunal Federal Superior de Nigeria es una mujer. En el nivel más bajo del sistema judicial, que es el de los tribunales de derecho consuetudinario en los Estados meridionales, se ha nombrado miembros de dichos tribunales y pres</w:t>
      </w:r>
      <w:r>
        <w:t>i</w:t>
      </w:r>
      <w:r>
        <w:t>dentas a mujeres, cosa que hace unos años parecía imposible, en particular en los Estados de habla igbo.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rPr>
          <w:b w:val="0"/>
          <w:i/>
        </w:rPr>
        <w:t xml:space="preserve">2.2 </w:t>
      </w:r>
      <w:r>
        <w:rPr>
          <w:b w:val="0"/>
          <w:i/>
        </w:rPr>
        <w:tab/>
        <w:t>Obstáculos</w:t>
      </w:r>
    </w:p>
    <w:p w:rsidR="00000000" w:rsidRDefault="00000000">
      <w:pPr>
        <w:pStyle w:val="SingleTxt"/>
        <w:spacing w:after="0" w:line="120" w:lineRule="exact"/>
        <w:rPr>
          <w:sz w:val="10"/>
        </w:rPr>
      </w:pPr>
    </w:p>
    <w:p w:rsidR="00000000" w:rsidRDefault="00000000">
      <w:pPr>
        <w:pStyle w:val="SingleTxt"/>
      </w:pPr>
      <w:r>
        <w:tab/>
        <w:t>En Nigeria hay varios impedimentos socioculturales, económicos, políticos y rel</w:t>
      </w:r>
      <w:r>
        <w:t>i</w:t>
      </w:r>
      <w:r>
        <w:t>giosos para el fomento y la protección de los derechos de la mujer.</w:t>
      </w:r>
    </w:p>
    <w:p w:rsidR="00000000" w:rsidRDefault="00000000">
      <w:pPr>
        <w:pStyle w:val="SingleTxt"/>
      </w:pPr>
      <w:r>
        <w:tab/>
        <w:t>En la parte septentrional del país, si bien algunas disposiciones de la legisl</w:t>
      </w:r>
      <w:r>
        <w:t>a</w:t>
      </w:r>
      <w:r>
        <w:t>ción penal de la Sharia de los Estados no han impedido la discriminación contra la mujer, otras protegen los derechos de la mujer contra la discriminación: por eje</w:t>
      </w:r>
      <w:r>
        <w:t>m</w:t>
      </w:r>
      <w:r>
        <w:t>plo, el artículo 239 de la Ley del Código Penal, de 2000, de la Sharia del Estado de Zamfara prohíbe y castiga la trata de mujeres. En el caso de Safiya Hussein, del E</w:t>
      </w:r>
      <w:r>
        <w:t>s</w:t>
      </w:r>
      <w:r>
        <w:t>tado de Sokoto, el problema radicó en que el juez que presidió el juicio en el Trib</w:t>
      </w:r>
      <w:r>
        <w:t>u</w:t>
      </w:r>
      <w:r>
        <w:t>nal de la Sharia aplicó de forma improcedente el Código Penal substantivo y no o</w:t>
      </w:r>
      <w:r>
        <w:t>b</w:t>
      </w:r>
      <w:r>
        <w:t>servó todas las garantías procesales  de que disfrutan las personas acusadas, como Safiya, de conformidad con la Ley de Procedimiento Penal, de 2000, de la Sharia del Estado de Sokoto; por esa razón, de conformidad con el párrafo 2 del artículo 187 del mismo Código, el Tribunal de Apelación de la Sharia del Estado de Sokoto a</w:t>
      </w:r>
      <w:r>
        <w:t>d</w:t>
      </w:r>
      <w:r>
        <w:t>mitió a trámite la apelación de Safiya y anuló la sentencia condenatoria con el a</w:t>
      </w:r>
      <w:r>
        <w:t>r</w:t>
      </w:r>
      <w:r>
        <w:t>gumento de que se trataba de un error judicial contrario al espíritu y a los fines del sistema jud</w:t>
      </w:r>
      <w:r>
        <w:t>i</w:t>
      </w:r>
      <w:r>
        <w:t>cial penal de la Sharia, reflejado en el Código.</w:t>
      </w:r>
    </w:p>
    <w:p w:rsidR="00000000" w:rsidRDefault="00000000">
      <w:pPr>
        <w:pStyle w:val="SingleTxt"/>
      </w:pPr>
      <w:r>
        <w:tab/>
        <w:t>En la parte meridional de Nigeria, hay numerosas leyes y usos consuetudin</w:t>
      </w:r>
      <w:r>
        <w:t>a</w:t>
      </w:r>
      <w:r>
        <w:t>rios, tales como los ritos de viudez, la herencia y la sucesión en materia de propi</w:t>
      </w:r>
      <w:r>
        <w:t>e</w:t>
      </w:r>
      <w:r>
        <w:t>dad por parte de las mujeres, que impiden el adelanto de la mujer y la protección de sus d</w:t>
      </w:r>
      <w:r>
        <w:t>e</w:t>
      </w:r>
      <w:r>
        <w:t>rechos.</w:t>
      </w:r>
    </w:p>
    <w:p w:rsidR="00000000" w:rsidRDefault="00000000">
      <w:pPr>
        <w:pStyle w:val="SingleTxt"/>
      </w:pPr>
      <w:r>
        <w:tab/>
        <w:t>Otras leyes y políticas discriminatorias de Nigeria figuran en las disposiciones 124 y 127 del Reglamento de la Policía y en sus leyes y políticas fiscales. La trib</w:t>
      </w:r>
      <w:r>
        <w:t>u</w:t>
      </w:r>
      <w:r>
        <w:t>tación de las mujeres en el sector público sigue basada en la absurda premisa de que las mujeres casadas no tienen responsabilidades familiares y son mantenidas por los hombres, por lo que en los casos en que los dos trabajan los hombres pueden di</w:t>
      </w:r>
      <w:r>
        <w:t>s</w:t>
      </w:r>
      <w:r>
        <w:t>frutar de la desgravación fiscal correspondiente a los hijos y personas a cargo, pero las mujeres no. La disposición del Reglamento de la Policía que impone restricci</w:t>
      </w:r>
      <w:r>
        <w:t>o</w:t>
      </w:r>
      <w:r>
        <w:t>nes a las agentes de policía casadas, mientras se encuentran de servicio, es discrim</w:t>
      </w:r>
      <w:r>
        <w:t>i</w:t>
      </w:r>
      <w:r>
        <w:t>natoria. Por ejemplo, las agentes no pueden casarse sin que se someta a su futuro e</w:t>
      </w:r>
      <w:r>
        <w:t>s</w:t>
      </w:r>
      <w:r>
        <w:t>poso a una investigación. Sin embargo, no ocurre así en el caso de los agentes.</w:t>
      </w:r>
    </w:p>
    <w:p w:rsidR="00000000" w:rsidRDefault="00000000">
      <w:pPr>
        <w:pStyle w:val="SingleTxt"/>
      </w:pPr>
      <w:r>
        <w:tab/>
        <w:t>Además, algunas disposiciones de la Constitución de Nigeria de 1999 son di</w:t>
      </w:r>
      <w:r>
        <w:t>s</w:t>
      </w:r>
      <w:r>
        <w:t>criminatorias contra la mujer, en particular en la esferas relativas al lenguaje (art</w:t>
      </w:r>
      <w:r>
        <w:t>í</w:t>
      </w:r>
      <w:r>
        <w:t>culo 131) y la ciudadanía (artículo 29) y en la redacción del artículo 42, que prohíbe la discriminación por razón de sexo; se debe a que ese artículo preserva la igualdad de condición para los hombres y las mujeres sólo en relación con la ley, pero no h</w:t>
      </w:r>
      <w:r>
        <w:t>a</w:t>
      </w:r>
      <w:r>
        <w:t>ce extensiva la protección a la práctica, como tampoco protege a las mujeres en el ámbito privado.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Medidas para eliminar la discriminación</w:t>
      </w:r>
    </w:p>
    <w:p w:rsidR="00000000" w:rsidRDefault="00000000">
      <w:pPr>
        <w:pStyle w:val="SingleTxt"/>
        <w:spacing w:after="0" w:line="120" w:lineRule="exact"/>
        <w:rPr>
          <w:sz w:val="10"/>
        </w:rPr>
      </w:pPr>
    </w:p>
    <w:p w:rsidR="00000000" w:rsidRDefault="00000000">
      <w:pPr>
        <w:pStyle w:val="SingleTxt"/>
      </w:pPr>
      <w:r>
        <w:tab/>
        <w:t>La mayoría de los Estados del país, con la intención de proteger a las mujeres y a las niñas, han promulgado leyes para eliminar la discriminación. Entre ellas fig</w:t>
      </w:r>
      <w:r>
        <w:t>u</w:t>
      </w:r>
      <w:r>
        <w:t>ran l</w:t>
      </w:r>
      <w:r>
        <w:t>e</w:t>
      </w:r>
      <w:r>
        <w:t>yes relacionadas con</w:t>
      </w:r>
    </w:p>
    <w:p w:rsidR="00000000" w:rsidRDefault="00000000">
      <w:pPr>
        <w:pStyle w:val="SingleTxt"/>
        <w:tabs>
          <w:tab w:val="right" w:pos="1685"/>
        </w:tabs>
        <w:ind w:left="1742" w:hanging="475"/>
      </w:pPr>
      <w:r>
        <w:tab/>
        <w:t>•</w:t>
      </w:r>
      <w:r>
        <w:tab/>
        <w:t>Los usos relativos a la viudez y la mutilación genital de la mujer, también ll</w:t>
      </w:r>
      <w:r>
        <w:t>a</w:t>
      </w:r>
      <w:r>
        <w:t>mada circuncisión femenina. La Ley de Prohibición de la Violación de los D</w:t>
      </w:r>
      <w:r>
        <w:t>e</w:t>
      </w:r>
      <w:r>
        <w:t>rechos Humanos Fundamentales de las Personas Viudas, No. 3 de 2001, del Estado de Enugu, y la Ley del Estado de Edo por la que se prohíbe la mutil</w:t>
      </w:r>
      <w:r>
        <w:t>a</w:t>
      </w:r>
      <w:r>
        <w:t>ción genital de la mujer, de octubre de 2000 (la pena correspondiente es el p</w:t>
      </w:r>
      <w:r>
        <w:t>a</w:t>
      </w:r>
      <w:r>
        <w:t>go de mil naira y seis meses de r</w:t>
      </w:r>
      <w:r>
        <w:t>e</w:t>
      </w:r>
      <w:r>
        <w:t>clusión);</w:t>
      </w:r>
    </w:p>
    <w:p w:rsidR="00000000" w:rsidRDefault="00000000">
      <w:pPr>
        <w:pStyle w:val="SingleTxt"/>
        <w:tabs>
          <w:tab w:val="right" w:pos="1685"/>
        </w:tabs>
        <w:ind w:left="1742" w:hanging="475"/>
      </w:pPr>
      <w:r>
        <w:tab/>
        <w:t>•</w:t>
      </w:r>
      <w:r>
        <w:tab/>
        <w:t>La prohibición del matrimonio en edad temprana (Estados de Kebbi y Níger);</w:t>
      </w:r>
    </w:p>
    <w:p w:rsidR="00000000" w:rsidRDefault="00000000">
      <w:pPr>
        <w:pStyle w:val="SingleTxt"/>
        <w:tabs>
          <w:tab w:val="right" w:pos="1685"/>
        </w:tabs>
        <w:ind w:left="1742" w:hanging="475"/>
      </w:pPr>
      <w:r>
        <w:tab/>
        <w:t>•</w:t>
      </w:r>
      <w:r>
        <w:tab/>
        <w:t>El mantenimiento en las escuelas de las niñas y la prohibición de su deserción e</w:t>
      </w:r>
      <w:r>
        <w:t>s</w:t>
      </w:r>
      <w:r>
        <w:t>colar (Estados de Kano, Borno Gombe y Bauchi);</w:t>
      </w:r>
    </w:p>
    <w:p w:rsidR="00000000" w:rsidRDefault="00000000">
      <w:pPr>
        <w:pStyle w:val="SingleTxt"/>
        <w:tabs>
          <w:tab w:val="right" w:pos="1685"/>
        </w:tabs>
        <w:ind w:left="1742" w:hanging="475"/>
      </w:pPr>
      <w:r>
        <w:tab/>
        <w:t>•</w:t>
      </w:r>
      <w:r>
        <w:tab/>
        <w:t>La trata de mujeres y niños (Código Penal (enmendado) del Estado de Edo, 2000). Además, el artículo 239 del Código Penal, de 2000, de la Sharia del Estado de Zamfara castiga la trata de mujeres con la pena de dos años de recl</w:t>
      </w:r>
      <w:r>
        <w:t>u</w:t>
      </w:r>
      <w:r>
        <w:t>sión y cincuenta latigazos.</w:t>
      </w:r>
    </w:p>
    <w:p w:rsidR="00000000" w:rsidRDefault="00000000">
      <w:pPr>
        <w:pStyle w:val="SingleTxt"/>
      </w:pPr>
      <w:r>
        <w:tab/>
        <w:t xml:space="preserve">Hay disposiciones relativas a la asistencia letrada a las mujeres, en particular las mujeres pobres, para que luchen contra la discriminación: por ejemplo, en el </w:t>
      </w:r>
      <w:r>
        <w:br/>
        <w:t>famoso caso de Safiya Hussein, que fue condenada a morir lapidada por adulterio, gracias a la asistencia letrada y al asesoramiento jurídicos recibidos de los minist</w:t>
      </w:r>
      <w:r>
        <w:t>e</w:t>
      </w:r>
      <w:r>
        <w:t>rios federal y estatal de Asuntos de la Mujer y la sociedad civil, pudo apelar contra la sentencia ante el Tribunal de Apelación de la Sharia del Estado de Sokoto, que anuló la sentencia del trib</w:t>
      </w:r>
      <w:r>
        <w:t>u</w:t>
      </w:r>
      <w:r>
        <w:t>nal inferior.</w:t>
      </w:r>
    </w:p>
    <w:p w:rsidR="00000000" w:rsidRDefault="00000000">
      <w:pPr>
        <w:pStyle w:val="SingleTxt"/>
      </w:pPr>
      <w:r>
        <w:tab/>
        <w:t>La política nacional aprobada en julio de 2000 es otra expresión del compr</w:t>
      </w:r>
      <w:r>
        <w:t>o</w:t>
      </w:r>
      <w:r>
        <w:t>miso del Gobierno con la integración plena de la mujer en el desarrollo nacional p</w:t>
      </w:r>
      <w:r>
        <w:t>a</w:t>
      </w:r>
      <w:r>
        <w:t>ra eliminar las desigualdades que se han desarrollado en nuestra sociedad con el tiempo mediante las estructuras y los procesos resultantes del patriarcado, del col</w:t>
      </w:r>
      <w:r>
        <w:t>o</w:t>
      </w:r>
      <w:r>
        <w:t>nialismo y del capitalismo.</w:t>
      </w:r>
    </w:p>
    <w:p w:rsidR="00000000" w:rsidRDefault="00000000">
      <w:pPr>
        <w:pStyle w:val="SingleTxt"/>
      </w:pPr>
      <w:r>
        <w:tab/>
        <w:t>Se espera que dicha política consolide cambios destacados y en gran medida revolucionarios y ya estimulados por los programas pasados y presentes de desarr</w:t>
      </w:r>
      <w:r>
        <w:t>o</w:t>
      </w:r>
      <w:r>
        <w:t>llo de la mujer y para guiar a la sociedad nigeriana hacia la equidad y la justicia s</w:t>
      </w:r>
      <w:r>
        <w:t>o</w:t>
      </w:r>
      <w:r>
        <w:t>ciales y una calidad de vida muy mejorada. Los loables objetivos y las estrategias de aplicación que figuran en esa política han de inspirar cambios legislativos y sociales en Nigeria.</w:t>
      </w:r>
    </w:p>
    <w:p w:rsidR="00000000" w:rsidRDefault="00000000">
      <w:pPr>
        <w:pStyle w:val="SingleTxt"/>
      </w:pPr>
      <w:r>
        <w:tab/>
        <w:t>El Gobierno Federal, con el fin de fomentar el adelanto de la mujer, creó el Comité Nacional Consultivo de Coordinación de resultas de la Conferencia Regional Africana para evaluar los avances logrados en la aplicación de la Plataforma de A</w:t>
      </w:r>
      <w:r>
        <w:t>c</w:t>
      </w:r>
      <w:r>
        <w:t>ción de Beijing y la Plataforma de Acción Africana.</w:t>
      </w:r>
    </w:p>
    <w:p w:rsidR="00000000" w:rsidRDefault="00000000">
      <w:pPr>
        <w:pStyle w:val="SingleTxt"/>
      </w:pPr>
      <w:r>
        <w:tab/>
        <w:t>Para aumentar aún más la participación de las mujeres en la política y eliminar la discriminación en esa esfera de la vida, el Ministerio Federal de Asuntos de la Mujer y Desarrollo de la Juventud creó el Comité Nacional de Acción para la Part</w:t>
      </w:r>
      <w:r>
        <w:t>i</w:t>
      </w:r>
      <w:r>
        <w:t>cipación Política de la Mujer, encargado de formular estrategias para una moviliz</w:t>
      </w:r>
      <w:r>
        <w:t>a</w:t>
      </w:r>
      <w:r>
        <w:t>ción y una participación eficaces de las mujeres con miras a registrarse, votar y ser votadas en el próximo proceso electoral. Las actividades del Comité van encamin</w:t>
      </w:r>
      <w:r>
        <w:t>a</w:t>
      </w:r>
      <w:r>
        <w:t>das también a la eliminación de la discriminación contra las mujeres en la política. La Asamblea Nacional tiene ante sí los proyectos de ley para la aplicación interna de la Convención sobre la eliminación de todas las formas de discriminación contra la mujer y la Convención sobre los Derechos del Niño.</w:t>
      </w:r>
    </w:p>
    <w:p w:rsidR="00000000" w:rsidRDefault="00000000">
      <w:pPr>
        <w:pStyle w:val="SingleTxt"/>
      </w:pPr>
      <w:r>
        <w:tab/>
        <w:t>En 2002, se celebró un Congreso Nacional de Mujeres para conmemorar el Día Internacional de la Mujer y se aprovechó ese foro para sensibilizar aún más a las mujeres nigerianas sobre la necesidad de que participen en los asuntos políticos. También se aprovechó para lanzar la campaña “Dinero de las mujeres para la ele</w:t>
      </w:r>
      <w:r>
        <w:t>c</w:t>
      </w:r>
      <w:r>
        <w:t>ción de mujeres”, encaminada a obtener fondos con miras a ayudar a las aspirantes políticas en las elecciones de 2003. Asistieron al congreso más de 8.000 mujeres, por lo que fue un acto muy logrado y eficaz para llegar a las mujeres de la base de los 774 municipios del país. El Presidente Olusegun Obasanjo asistió al congreso en compañía de su esposa y otros funcionarios gubernamentales y políticos destacados.</w:t>
      </w:r>
    </w:p>
    <w:p w:rsidR="00000000" w:rsidRDefault="00000000">
      <w:pPr>
        <w:pStyle w:val="SingleTxt"/>
      </w:pPr>
      <w:r>
        <w:t>Los gobiernos de los Estados y las ONG han organizado seminarios, cursos práct</w:t>
      </w:r>
      <w:r>
        <w:t>i</w:t>
      </w:r>
      <w:r>
        <w:t>cos y otras actividades para fomentar el respeto de los derechos de la mujer y elim</w:t>
      </w:r>
      <w:r>
        <w:t>i</w:t>
      </w:r>
      <w:r>
        <w:t>nar la discriminación. Se están adoptando medidas para modificar o abolir las leyes vigentes que afectan negativamente a la aplicación de la Convención, incluida la abolición de todas las disposiciones penales nacionales que constituyan una discr</w:t>
      </w:r>
      <w:r>
        <w:t>i</w:t>
      </w:r>
      <w:r>
        <w:t>minación.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rPr>
          <w:b w:val="0"/>
          <w:i/>
        </w:rPr>
        <w:t>2.4</w:t>
      </w:r>
      <w:r>
        <w:rPr>
          <w:b w:val="0"/>
          <w:i/>
        </w:rPr>
        <w:tab/>
        <w:t>Medidas para reparar la discriminación</w:t>
      </w:r>
    </w:p>
    <w:p w:rsidR="00000000" w:rsidRDefault="00000000">
      <w:pPr>
        <w:pStyle w:val="SingleTxt"/>
        <w:keepNext/>
        <w:keepLines/>
        <w:spacing w:after="0" w:line="120" w:lineRule="exact"/>
        <w:rPr>
          <w:sz w:val="10"/>
        </w:rPr>
      </w:pPr>
    </w:p>
    <w:p w:rsidR="00000000" w:rsidRDefault="00000000">
      <w:pPr>
        <w:pStyle w:val="SingleTxt"/>
        <w:keepNext/>
        <w:keepLines/>
      </w:pPr>
      <w:r>
        <w:tab/>
        <w:t>La entronización del gobierno democrático en Nigeria después de un largo p</w:t>
      </w:r>
      <w:r>
        <w:t>e</w:t>
      </w:r>
      <w:r>
        <w:t>ríodo de gobierno militar se ha caracterizado por un mayor compromiso con la labor de aplicación de las disposiciones de la Convención, como lo demuestra el hecho de que, además de la Constitución de Nigeria de 1999, en los dos últimos años haya habido una avalancha de instrumentos legislativos promulgados en las Asambleas de los Estados, todos ellos destinados a eliminar la discriminación contra la mujer. Se espera que, antes de la expiración del mandato del gobierno actual en 2003, muchos de los proyectos de ley pendientes en la Asamblea Federal y en las de los Estados hayan entrado en vigor.</w:t>
      </w:r>
    </w:p>
    <w:p w:rsidR="00000000" w:rsidRDefault="00000000">
      <w:pPr>
        <w:pStyle w:val="SingleTxt"/>
        <w:tabs>
          <w:tab w:val="right" w:pos="1685"/>
        </w:tabs>
        <w:ind w:left="1742" w:hanging="475"/>
      </w:pPr>
      <w:r>
        <w:tab/>
        <w:t>•</w:t>
      </w:r>
      <w:r>
        <w:tab/>
        <w:t>En el nivel federal, la aprobación de la Política Nacional de la Mujer en julio de 2000 tiene por objeto velar por que se imponga de forma eficaz el cumpl</w:t>
      </w:r>
      <w:r>
        <w:t>i</w:t>
      </w:r>
      <w:r>
        <w:t xml:space="preserve">miento de los principios y las disposiciones que figuran en la Constitución de Nigeria. </w:t>
      </w:r>
    </w:p>
    <w:p w:rsidR="00000000" w:rsidRDefault="00000000">
      <w:pPr>
        <w:pStyle w:val="SingleTxt"/>
        <w:tabs>
          <w:tab w:val="right" w:pos="1685"/>
        </w:tabs>
        <w:ind w:left="1742" w:hanging="475"/>
      </w:pPr>
      <w:r>
        <w:tab/>
        <w:t>•</w:t>
      </w:r>
      <w:r>
        <w:tab/>
        <w:t>Traducción a las tres lenguas nigerianas más importantes y distribución entre la base de las disposiciones de la Convención. También se han distribuido ejemplares de manuales relativos a la Convención.</w:t>
      </w:r>
    </w:p>
    <w:p w:rsidR="00000000" w:rsidRDefault="00000000">
      <w:pPr>
        <w:pStyle w:val="SingleTxt"/>
        <w:tabs>
          <w:tab w:val="right" w:pos="1685"/>
        </w:tabs>
        <w:ind w:left="1742" w:hanging="475"/>
      </w:pPr>
      <w:r>
        <w:tab/>
        <w:t>•</w:t>
      </w:r>
      <w:r>
        <w:tab/>
        <w:t>Facilitación de material de información, educación y comunicación para sens</w:t>
      </w:r>
      <w:r>
        <w:t>i</w:t>
      </w:r>
      <w:r>
        <w:t>bilizar e instruir al público en general sobre los derechos fundamentales de las muj</w:t>
      </w:r>
      <w:r>
        <w:t>e</w:t>
      </w:r>
      <w:r>
        <w:t>res y la necesidad de eliminar la discriminación contra ellas.</w:t>
      </w:r>
    </w:p>
    <w:p w:rsidR="00000000" w:rsidRDefault="00000000">
      <w:pPr>
        <w:pStyle w:val="SingleTxt"/>
        <w:tabs>
          <w:tab w:val="right" w:pos="1685"/>
        </w:tabs>
        <w:ind w:left="1742" w:hanging="475"/>
      </w:pPr>
      <w:r>
        <w:tab/>
        <w:t>•</w:t>
      </w:r>
      <w:r>
        <w:tab/>
        <w:t>También las ONG han apoyado a los gobiernos federal y de los Estados en la concienciación y sensibilización del público en general sobre la discriminación contra la mujer. Otros sectores son los de apoyo a programas de potenciación e ilustración dirigidos a las mujeres, las instituciones, los estudiantes y el públ</w:t>
      </w:r>
      <w:r>
        <w:t>i</w:t>
      </w:r>
      <w:r>
        <w:t>co en general. Algunos de ellos han ido destinados a grupos profesionales rel</w:t>
      </w:r>
      <w:r>
        <w:t>e</w:t>
      </w:r>
      <w:r>
        <w:t>vantes, como los de  abogados, jueces y legisladores en todos los niveles. A</w:t>
      </w:r>
      <w:r>
        <w:t>c</w:t>
      </w:r>
      <w:r>
        <w:t>tualmente, más del 70 por ciento al menos de las Asambleas de los Estados de Nigeria tienen ante sí proyectos de ley relativos a la potenciación de la mujer.</w:t>
      </w:r>
    </w:p>
    <w:p w:rsidR="00000000" w:rsidRDefault="00000000">
      <w:pPr>
        <w:pStyle w:val="SingleTxt"/>
        <w:tabs>
          <w:tab w:val="right" w:pos="1685"/>
        </w:tabs>
        <w:ind w:left="1742" w:hanging="475"/>
      </w:pPr>
      <w:r>
        <w:tab/>
      </w:r>
      <w:r>
        <w:tab/>
        <w:t>Se está alentando el papel de avanzada de un juez del Tribunal Supremo en la causa Mojekwu contra Ejikeme (2000, 5 NWLR, parte 657, página 402), al r</w:t>
      </w:r>
      <w:r>
        <w:t>e</w:t>
      </w:r>
      <w:r>
        <w:t>conocer y citar la Convención como norma aplicable, para que cunda su eje</w:t>
      </w:r>
      <w:r>
        <w:t>m</w:t>
      </w:r>
      <w:r>
        <w:t>plo. Se espera que más tribunales aprendan a invocar el espíritu de la Conve</w:t>
      </w:r>
      <w:r>
        <w:t>n</w:t>
      </w:r>
      <w:r>
        <w:t>ción en sus “interpretaciones”, como ya se hace en algunas partes del país, es decir, r</w:t>
      </w:r>
      <w:r>
        <w:t>e</w:t>
      </w:r>
      <w:r>
        <w:t>curriendo a la doctrina de la incoherencia, cuando sea necesario.</w:t>
      </w:r>
    </w:p>
    <w:p w:rsidR="00000000" w:rsidRDefault="00000000">
      <w:pPr>
        <w:pStyle w:val="SingleTxt"/>
        <w:tabs>
          <w:tab w:val="right" w:pos="1685"/>
        </w:tabs>
        <w:ind w:left="1742" w:hanging="475"/>
      </w:pPr>
      <w:r>
        <w:tab/>
        <w:t>•</w:t>
      </w:r>
      <w:r>
        <w:tab/>
        <w:t>El Ministerio Federal de Justicia está examinando actualmente la disposiciones del Código Penal y otros instrumentos legislativos conexos que discriminan contra la mujer y adoptando medidas para abolirlas. El Ministerio Federal de Asuntos de la Mujer y Desarrollo de la Juventud, tras celebrar las oportunas consultas con otros interesados directos, presentó las intervenciones previstas en las siguientes e</w:t>
      </w:r>
      <w:r>
        <w:t>s</w:t>
      </w:r>
      <w:r>
        <w:t>feras: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right="1260" w:hanging="950"/>
      </w:pPr>
      <w:r>
        <w:tab/>
        <w:t>+</w:t>
      </w:r>
      <w:r>
        <w:tab/>
        <w:t>Castigos a las esposas;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right="1260" w:hanging="950"/>
      </w:pPr>
      <w:r>
        <w:tab/>
        <w:t>+</w:t>
      </w:r>
      <w:r>
        <w:tab/>
        <w:t>Herencia de las esposas;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right="1260" w:hanging="950"/>
      </w:pPr>
      <w:r>
        <w:tab/>
        <w:t>+</w:t>
      </w:r>
      <w:r>
        <w:tab/>
        <w:t>Las esposas y la sucesión en materia de propiedad, etc.</w:t>
      </w:r>
    </w:p>
    <w:p w:rsidR="00000000" w:rsidRDefault="00000000">
      <w:pPr>
        <w:pStyle w:val="SingleTxt"/>
        <w:tabs>
          <w:tab w:val="right" w:pos="1685"/>
        </w:tabs>
        <w:ind w:left="1742" w:hanging="475"/>
      </w:pPr>
      <w:r>
        <w:tab/>
        <w:t>•</w:t>
      </w:r>
      <w:r>
        <w:tab/>
        <w:t>El Ministerio de Asuntos de la Mujer y Desarrollo de la Juventud cuenta con un Centro de Asistencia Letrada y está prestando apoyo a todos los ministerios de Asuntos de la Mujer y Desarrollo de la Juventud para que hagan lo propio. En el Centro Nacional para el Desarrollo de la Mujer, organismo autónomo d</w:t>
      </w:r>
      <w:r>
        <w:t>e</w:t>
      </w:r>
      <w:r>
        <w:t>pendiente de dicho ministerio, hay un Centro de Crisis para la Mujer, que se encarga de prestar asesoramiento jurídico y de otra índole. También el Consejo de Asistencia Letrada, órgano del Gobierno Federal presente en todos los Est</w:t>
      </w:r>
      <w:r>
        <w:t>a</w:t>
      </w:r>
      <w:r>
        <w:t>dos de la Federación, tiene una Dependencia de Asistencia Letrada a la Mujer, que presta servicios en particular a las mujeres pobres y necesitadas de ella en relación con causas penales.</w:t>
      </w:r>
    </w:p>
    <w:p w:rsidR="00000000" w:rsidRDefault="00000000">
      <w:pPr>
        <w:pStyle w:val="SingleTxt"/>
        <w:tabs>
          <w:tab w:val="right" w:pos="1685"/>
        </w:tabs>
        <w:ind w:left="1742" w:hanging="475"/>
      </w:pPr>
      <w:r>
        <w:tab/>
        <w:t>•</w:t>
      </w:r>
      <w:r>
        <w:tab/>
        <w:t>Varias ONG del país se han hecho cargo de la representación de mujeres p</w:t>
      </w:r>
      <w:r>
        <w:t>o</w:t>
      </w:r>
      <w:r>
        <w:t>bres que han sufrido la violación de sus derechos humanos, pero no pueden pagar esos servicios. También abogados particulares se hacen cargo pro bono de casos de muj</w:t>
      </w:r>
      <w:r>
        <w:t>e</w:t>
      </w:r>
      <w:r>
        <w:t>res pobres.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3.0</w:t>
      </w:r>
      <w:r>
        <w:tab/>
        <w:t>Artículo 3: Medidas para lograr el adelanto pleno de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Medidas legislativas y de otra índole</w:t>
      </w:r>
    </w:p>
    <w:p w:rsidR="00000000" w:rsidRDefault="00000000">
      <w:pPr>
        <w:pStyle w:val="SingleTxt"/>
        <w:spacing w:after="0" w:line="120" w:lineRule="exact"/>
        <w:rPr>
          <w:sz w:val="10"/>
        </w:rPr>
      </w:pPr>
    </w:p>
    <w:p w:rsidR="00000000" w:rsidRDefault="00000000">
      <w:pPr>
        <w:pStyle w:val="SingleTxt"/>
      </w:pPr>
      <w:r>
        <w:tab/>
        <w:t>Como ya hemos dicho, la Constitución de la República Federal de Nigeria de 1999 dispone que las mujeres nigerianas tienen derecho a disfrutar de todos los d</w:t>
      </w:r>
      <w:r>
        <w:t>e</w:t>
      </w:r>
      <w:r>
        <w:t>rechos humanos fundamentales garantizados en ella y pueden impugnar ante los tr</w:t>
      </w:r>
      <w:r>
        <w:t>i</w:t>
      </w:r>
      <w:r>
        <w:t>bunales cualquier intento por parte de cualquier persona de obstaculizar el ejercicio de cua</w:t>
      </w:r>
      <w:r>
        <w:t>l</w:t>
      </w:r>
      <w:r>
        <w:t>quiera de dichos derechos.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Avances efectivos logrados para fomentar y garantizar la eliminación de la discriminación contra la mujer</w:t>
      </w:r>
    </w:p>
    <w:p w:rsidR="00000000" w:rsidRDefault="00000000">
      <w:pPr>
        <w:pStyle w:val="SingleTxt"/>
        <w:spacing w:after="0" w:line="120" w:lineRule="exact"/>
        <w:rPr>
          <w:sz w:val="10"/>
        </w:rPr>
      </w:pPr>
    </w:p>
    <w:p w:rsidR="00000000" w:rsidRDefault="00000000">
      <w:pPr>
        <w:pStyle w:val="SingleTxt"/>
      </w:pPr>
      <w:r>
        <w:tab/>
        <w:t>El Ministerio Federal de Asuntos de la Mujer y Desarrollo de la Juventud, creado por el Gobierno en los planos estatal y federal, como se notificó en el ant</w:t>
      </w:r>
      <w:r>
        <w:t>e</w:t>
      </w:r>
      <w:r>
        <w:t>rior informe del país, tiene el cometido de aplicar políticas y ejecutar programas e</w:t>
      </w:r>
      <w:r>
        <w:t>n</w:t>
      </w:r>
      <w:r>
        <w:t>caminados a conceder a las mujeres su derecho pleno a participar en los asuntos p</w:t>
      </w:r>
      <w:r>
        <w:t>o</w:t>
      </w:r>
      <w:r>
        <w:t>lít</w:t>
      </w:r>
      <w:r>
        <w:t>i</w:t>
      </w:r>
      <w:r>
        <w:t>cos, sociales y económicos de la nación.</w:t>
      </w:r>
    </w:p>
    <w:p w:rsidR="00000000" w:rsidRDefault="00000000">
      <w:pPr>
        <w:pStyle w:val="SingleTxt"/>
      </w:pPr>
      <w:r>
        <w:tab/>
        <w:t>Además de ese ministerio, otros órganos creados con miras al adelanto de la mujer son los siguientes:</w:t>
      </w:r>
    </w:p>
    <w:p w:rsidR="00000000" w:rsidRDefault="00000000">
      <w:pPr>
        <w:pStyle w:val="SingleTxt"/>
        <w:tabs>
          <w:tab w:val="right" w:pos="1685"/>
        </w:tabs>
        <w:ind w:left="1742" w:hanging="475"/>
      </w:pPr>
      <w:r>
        <w:tab/>
        <w:t>•</w:t>
      </w:r>
      <w:r>
        <w:tab/>
        <w:t>Comité Nacional de Acción para la Participación Política de la Mujer, enca</w:t>
      </w:r>
      <w:r>
        <w:t>r</w:t>
      </w:r>
      <w:r>
        <w:t>gado de fomentar la participación política de la mujer mediante actividades de prom</w:t>
      </w:r>
      <w:r>
        <w:t>o</w:t>
      </w:r>
      <w:r>
        <w:t>ción, movilización y obtención de fondos.</w:t>
      </w:r>
    </w:p>
    <w:p w:rsidR="00000000" w:rsidRDefault="00000000">
      <w:pPr>
        <w:pStyle w:val="SingleTxt"/>
        <w:tabs>
          <w:tab w:val="right" w:pos="1685"/>
        </w:tabs>
        <w:ind w:left="1742" w:hanging="475"/>
      </w:pPr>
      <w:r>
        <w:tab/>
        <w:t>•</w:t>
      </w:r>
      <w:r>
        <w:tab/>
        <w:t>Comité Nacional Consultivo de Coordinación, compuesto de expertos en mat</w:t>
      </w:r>
      <w:r>
        <w:t>e</w:t>
      </w:r>
      <w:r>
        <w:t>ria de género y ONG y creado en el plano nacional para que supervise la apl</w:t>
      </w:r>
      <w:r>
        <w:t>i</w:t>
      </w:r>
      <w:r>
        <w:t>cación de la Convención.</w:t>
      </w:r>
    </w:p>
    <w:p w:rsidR="00000000" w:rsidRDefault="00000000">
      <w:pPr>
        <w:pStyle w:val="SingleTxt"/>
        <w:tabs>
          <w:tab w:val="right" w:pos="1685"/>
        </w:tabs>
        <w:ind w:left="1742" w:hanging="475"/>
      </w:pPr>
      <w:r>
        <w:tab/>
        <w:t>•</w:t>
      </w:r>
      <w:r>
        <w:tab/>
        <w:t>Equipo Técnico Nacional de Expertos, compuesto de funcionarios de minist</w:t>
      </w:r>
      <w:r>
        <w:t>e</w:t>
      </w:r>
      <w:r>
        <w:t>rios y organismos sectoriales encargados de los asuntos relativos al género y creado para supervisar la aplicación de la Plataforma de Acción de Beijing y velar por la int</w:t>
      </w:r>
      <w:r>
        <w:t>e</w:t>
      </w:r>
      <w:r>
        <w:t xml:space="preserve">gración de la perspectiva de género en todos los sectores. </w:t>
      </w:r>
    </w:p>
    <w:p w:rsidR="00000000" w:rsidRDefault="00000000">
      <w:pPr>
        <w:pStyle w:val="SingleTxt"/>
        <w:tabs>
          <w:tab w:val="right" w:pos="1685"/>
        </w:tabs>
        <w:ind w:left="1742" w:hanging="475"/>
      </w:pPr>
      <w:r>
        <w:tab/>
        <w:t>•</w:t>
      </w:r>
      <w:r>
        <w:tab/>
        <w:t>Comisión Nacional de Derechos Humanos, con un Relator Especial sobre los asuntos relativos a las mujeres y los niños, lo que demuestra el fomento y la prote</w:t>
      </w:r>
      <w:r>
        <w:t>c</w:t>
      </w:r>
      <w:r>
        <w:t>ción de los derechos de la mujer.</w:t>
      </w:r>
    </w:p>
    <w:p w:rsidR="00000000" w:rsidRDefault="00000000">
      <w:pPr>
        <w:pStyle w:val="SingleTxt"/>
        <w:tabs>
          <w:tab w:val="right" w:pos="1685"/>
        </w:tabs>
        <w:ind w:left="1742" w:hanging="475"/>
      </w:pPr>
      <w:r>
        <w:tab/>
        <w:t>•</w:t>
      </w:r>
      <w:r>
        <w:tab/>
        <w:t>Consejo de la Asistencia Letrada, que presta asesoramiento jurídico gratuito a las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Otros grandes avances son las actividades de una coalición de organizaciones no gubernamentales (ONG) y organizaciones de base comunitaria en materia de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Creación de Centros de Derecho de Familia en algunos Estados para ayudar a las mujeres agraviadas a reclamar sus derechos en los tribunales judiciales;</w:t>
      </w:r>
    </w:p>
    <w:p w:rsidR="00000000" w:rsidRDefault="00000000">
      <w:pPr>
        <w:pStyle w:val="SingleTxt"/>
        <w:tabs>
          <w:tab w:val="right" w:pos="1685"/>
        </w:tabs>
        <w:ind w:left="1742" w:hanging="475"/>
      </w:pPr>
      <w:r>
        <w:tab/>
        <w:t>•</w:t>
      </w:r>
      <w:r>
        <w:tab/>
        <w:t>Lucha contra la trata de mujeres y niños;</w:t>
      </w:r>
    </w:p>
    <w:p w:rsidR="00000000" w:rsidRDefault="00000000">
      <w:pPr>
        <w:pStyle w:val="SingleTxt"/>
        <w:tabs>
          <w:tab w:val="right" w:pos="1685"/>
        </w:tabs>
        <w:ind w:left="1742" w:hanging="475"/>
      </w:pPr>
      <w:r>
        <w:tab/>
        <w:t>•</w:t>
      </w:r>
      <w:r>
        <w:tab/>
        <w:t>Educación, sensibilización y fomento de los asuntos relativos al desarrollo de la mujer;</w:t>
      </w:r>
    </w:p>
    <w:p w:rsidR="00000000" w:rsidRDefault="00000000">
      <w:pPr>
        <w:pStyle w:val="SingleTxt"/>
        <w:tabs>
          <w:tab w:val="right" w:pos="1685"/>
        </w:tabs>
        <w:ind w:left="1742" w:hanging="475"/>
      </w:pPr>
      <w:r>
        <w:tab/>
        <w:t>•</w:t>
      </w:r>
      <w:r>
        <w:tab/>
        <w:t>ejecución de programas para la protección de los derechos de la mujer.</w:t>
      </w:r>
    </w:p>
    <w:p w:rsidR="00000000" w:rsidRDefault="00000000">
      <w:pPr>
        <w:pStyle w:val="SingleTxt"/>
      </w:pPr>
      <w:r>
        <w:tab/>
        <w:t>Sus actividades han contribuido en no poca medida a la aplicación de la Co</w:t>
      </w:r>
      <w:r>
        <w:t>n</w:t>
      </w:r>
      <w:r>
        <w:t>ve</w:t>
      </w:r>
      <w:r>
        <w:t>n</w:t>
      </w:r>
      <w:r>
        <w:t>ción. (Véase la lista de ONG en el apéndice II).</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3.4 </w:t>
      </w:r>
      <w:r>
        <w:tab/>
        <w:t>Medidas destinadas a las niñas</w:t>
      </w:r>
    </w:p>
    <w:p w:rsidR="00000000" w:rsidRDefault="00000000">
      <w:pPr>
        <w:pStyle w:val="SingleTxt"/>
        <w:spacing w:after="0" w:line="120" w:lineRule="exact"/>
        <w:rPr>
          <w:sz w:val="10"/>
        </w:rPr>
      </w:pPr>
    </w:p>
    <w:p w:rsidR="00000000" w:rsidRDefault="00000000">
      <w:pPr>
        <w:pStyle w:val="SingleTxt"/>
      </w:pPr>
      <w:r>
        <w:tab/>
        <w:t>Cada vez hay más conciencia de las necesidades de las niñas, que con frecue</w:t>
      </w:r>
      <w:r>
        <w:t>n</w:t>
      </w:r>
      <w:r>
        <w:t>cia se ven atrapadas en una red sociocultural. Padecen las consecuencias de usos discriminatorios muy diversos y arraigados, pues su acceso a la educación resulta limitado por obstáculos socioculturales. El Gobierno de Nigeria, conforme a su compromiso con ese preocupante y decisivo sector, está realizando varias activid</w:t>
      </w:r>
      <w:r>
        <w:t>a</w:t>
      </w:r>
      <w:r>
        <w:t>des, a saber:</w:t>
      </w:r>
    </w:p>
    <w:p w:rsidR="00000000" w:rsidRDefault="00000000">
      <w:pPr>
        <w:pStyle w:val="SingleTxt"/>
        <w:tabs>
          <w:tab w:val="right" w:pos="1685"/>
        </w:tabs>
        <w:ind w:left="1742" w:hanging="475"/>
      </w:pPr>
      <w:r>
        <w:tab/>
        <w:t>•</w:t>
      </w:r>
      <w:r>
        <w:tab/>
        <w:t>El Ministerio Federal de Asuntos de la Mujer y Desarrollo de la Juventud ha presentado un proyecto de ley de derechos del niño en el plano nacional, mientras que los Estados están preparando proyectos de ley similares en el s</w:t>
      </w:r>
      <w:r>
        <w:t>u</w:t>
      </w:r>
      <w:r>
        <w:t>yo;</w:t>
      </w:r>
    </w:p>
    <w:p w:rsidR="00000000" w:rsidRDefault="00000000">
      <w:pPr>
        <w:pStyle w:val="SingleTxt"/>
        <w:tabs>
          <w:tab w:val="right" w:pos="1685"/>
        </w:tabs>
        <w:ind w:left="1742" w:hanging="475"/>
      </w:pPr>
      <w:r>
        <w:tab/>
        <w:t>•</w:t>
      </w:r>
      <w:r>
        <w:tab/>
        <w:t>La Cumbre Nacional sobre la Infancia, celebrada en noviembre de 2000, sirvió de foro para analizar y examinar programas formulados para el desarrollo de los niños nigerianos;</w:t>
      </w:r>
    </w:p>
    <w:p w:rsidR="00000000" w:rsidRDefault="00000000">
      <w:pPr>
        <w:pStyle w:val="SingleTxt"/>
        <w:tabs>
          <w:tab w:val="right" w:pos="1685"/>
        </w:tabs>
        <w:ind w:left="1742" w:hanging="475"/>
      </w:pPr>
      <w:r>
        <w:tab/>
        <w:t>•</w:t>
      </w:r>
      <w:r>
        <w:tab/>
        <w:t>La Política Nacional de Educación revisada (1998) alienta a las niñas a seguir estudios técnicos;</w:t>
      </w:r>
    </w:p>
    <w:p w:rsidR="00000000" w:rsidRDefault="00000000">
      <w:pPr>
        <w:pStyle w:val="SingleTxt"/>
        <w:tabs>
          <w:tab w:val="right" w:pos="1685"/>
        </w:tabs>
        <w:ind w:left="1742" w:hanging="475"/>
      </w:pPr>
      <w:r>
        <w:tab/>
        <w:t>•</w:t>
      </w:r>
      <w:r>
        <w:tab/>
        <w:t>El programa de educación básica universal, aunque no va destinado exclus</w:t>
      </w:r>
      <w:r>
        <w:t>i</w:t>
      </w:r>
      <w:r>
        <w:t>vamente a las niñas, establece la educación obligatoria para todos los niños desde la enseñanza primaria hasta la secundaria de primer ciclo. Hace hincapié particular en el desmantelamiento de los factores culturales y de otra índole que obstaculizan la educación de las niñas y en los incentivos para fomentarlo.</w:t>
      </w:r>
    </w:p>
    <w:p w:rsidR="00000000" w:rsidRDefault="00000000">
      <w:pPr>
        <w:pStyle w:val="SingleTxt"/>
        <w:tabs>
          <w:tab w:val="right" w:pos="1685"/>
        </w:tabs>
        <w:ind w:left="1742" w:hanging="475"/>
      </w:pPr>
      <w:r>
        <w:tab/>
        <w:t>•</w:t>
      </w:r>
      <w:r>
        <w:tab/>
        <w:t>Creación de centros de reunión en todo el país;</w:t>
      </w:r>
    </w:p>
    <w:p w:rsidR="00000000" w:rsidRDefault="00000000">
      <w:pPr>
        <w:pStyle w:val="SingleTxt"/>
        <w:tabs>
          <w:tab w:val="right" w:pos="1685"/>
        </w:tabs>
        <w:ind w:left="1742" w:hanging="475"/>
      </w:pPr>
      <w:r>
        <w:tab/>
        <w:t>•</w:t>
      </w:r>
      <w:r>
        <w:tab/>
        <w:t>Leyes y edictos de los Estados sobre el desarrollo de las niñas;</w:t>
      </w:r>
    </w:p>
    <w:p w:rsidR="00000000" w:rsidRDefault="00000000">
      <w:pPr>
        <w:pStyle w:val="SingleTxt"/>
        <w:tabs>
          <w:tab w:val="right" w:pos="1685"/>
        </w:tabs>
        <w:ind w:left="1742" w:hanging="475"/>
      </w:pPr>
      <w:r>
        <w:tab/>
        <w:t>•</w:t>
      </w:r>
      <w:r>
        <w:tab/>
        <w:t>Leyes de los Estados contra la deserción escolar de las niñas debida al matr</w:t>
      </w:r>
      <w:r>
        <w:t>i</w:t>
      </w:r>
      <w:r>
        <w:t>monio;</w:t>
      </w:r>
    </w:p>
    <w:p w:rsidR="00000000" w:rsidRDefault="00000000">
      <w:pPr>
        <w:pStyle w:val="SingleTxt"/>
        <w:tabs>
          <w:tab w:val="right" w:pos="1685"/>
        </w:tabs>
        <w:ind w:left="1742" w:hanging="475"/>
      </w:pPr>
      <w:r>
        <w:tab/>
        <w:t>•</w:t>
      </w:r>
      <w:r>
        <w:tab/>
        <w:t>Creación de grupos de trabajo en los Estados para el desarrollo y el fomento del bienestar de las niñas;</w:t>
      </w:r>
    </w:p>
    <w:p w:rsidR="00000000" w:rsidRDefault="00000000">
      <w:pPr>
        <w:pStyle w:val="SingleTxt"/>
        <w:tabs>
          <w:tab w:val="right" w:pos="1685"/>
        </w:tabs>
        <w:ind w:left="1742" w:hanging="475"/>
      </w:pPr>
      <w:r>
        <w:tab/>
        <w:t>•</w:t>
      </w:r>
      <w:r>
        <w:tab/>
        <w:t>Creación de institutos de enseñanza secundaria para niñas en todos los Estados de la Federación.</w:t>
      </w:r>
    </w:p>
    <w:p w:rsidR="00000000" w:rsidRDefault="00000000">
      <w:pPr>
        <w:pStyle w:val="SingleTxt"/>
      </w:pPr>
      <w:r>
        <w:tab/>
        <w:t>También han surgido ONG caracterizadas por su dinamismo para abordar las neces</w:t>
      </w:r>
      <w:r>
        <w:t>i</w:t>
      </w:r>
      <w:r>
        <w:t>dades de las niñas, en particular las discapacitadas y vulnerables.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3.5 </w:t>
      </w:r>
      <w:r>
        <w:tab/>
        <w:t>Obstáculos a la participación de las mujeres en pie de igualdad</w:t>
      </w:r>
    </w:p>
    <w:p w:rsidR="00000000" w:rsidRDefault="00000000">
      <w:pPr>
        <w:pStyle w:val="SingleTxt"/>
        <w:spacing w:after="0" w:line="120" w:lineRule="exact"/>
        <w:rPr>
          <w:sz w:val="10"/>
        </w:rPr>
      </w:pPr>
    </w:p>
    <w:p w:rsidR="00000000" w:rsidRDefault="00000000">
      <w:pPr>
        <w:pStyle w:val="SingleTxt"/>
      </w:pPr>
      <w:r>
        <w:tab/>
        <w:t>Las mujeres de Nigeria siguen teniendo que afrontar obstáculos que impiden su participación plena en diversos aspectos de la vida social. Se debe a creencias y actitudes culturales firmemente arraigadas y que colocan a las niñas en situación de desventaja en materia de educación y les impiden disfrutar de sus derechos al e</w:t>
      </w:r>
      <w:r>
        <w:t>m</w:t>
      </w:r>
      <w:r>
        <w:t>pleo y a la participación en la vida política y pública.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3.6 </w:t>
      </w:r>
      <w:r>
        <w:tab/>
        <w:t>Participación en la política</w:t>
      </w:r>
    </w:p>
    <w:p w:rsidR="00000000" w:rsidRDefault="00000000">
      <w:pPr>
        <w:pStyle w:val="SingleTxt"/>
        <w:spacing w:after="0" w:line="120" w:lineRule="exact"/>
        <w:rPr>
          <w:sz w:val="10"/>
        </w:rPr>
      </w:pPr>
    </w:p>
    <w:p w:rsidR="00000000" w:rsidRDefault="00000000">
      <w:pPr>
        <w:pStyle w:val="SingleTxt"/>
      </w:pPr>
      <w:r>
        <w:tab/>
        <w:t>En la esfera política, el nivel de representación de las mujeres sigue siendo e</w:t>
      </w:r>
      <w:r>
        <w:t>s</w:t>
      </w:r>
      <w:r>
        <w:t>caso. Por ejemplo, la representación femenina en la Asamblea Nacional constituía el 3,4 por ciento, aproximadamente, después de las elecciones de 1999. Aun así, ha habido aumentos marginales en el número de mujeres elegidas a la Cámara Federal de Representantes: de cuatro en 1979 a 12 en 1999. Nigeria sólo tiene tres senad</w:t>
      </w:r>
      <w:r>
        <w:t>o</w:t>
      </w:r>
      <w:r>
        <w:t>ras, frente a 106 senadores. De los 49 ministros que había en 1979 sólo tres eran mujeres, es decir, un seis por ciento del gabinete. La cifra aumentó a seis de 44 en el período 1999 – 2000, equivalente al 13,6 por ciento, es decir, un aumento del 7,6 por ciento de su representación en el gabinete federal. Algunos Estados tienen más del 35 por ciento de ministras, mientras que algunos tienen fiscales generales fem</w:t>
      </w:r>
      <w:r>
        <w:t>e</w:t>
      </w:r>
      <w:r>
        <w:t>ninos y secretarias de los gobiernos de los Estados. El bajo nivel de participación de las mujeres en los tres planos de la Federación (federal, estatal y local), como se ve en los cuadros 7.1 a 7.7, refleja la resistencia de las actitudes patriarcales.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4.0</w:t>
      </w:r>
      <w:r>
        <w:tab/>
        <w:t xml:space="preserve">Artículo 4: Medidas especiales para acelerar la igualdad entre </w:t>
      </w:r>
      <w:r>
        <w:br/>
        <w:t>el hombre y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Potenciación económica</w:t>
      </w:r>
    </w:p>
    <w:p w:rsidR="00000000" w:rsidRDefault="00000000">
      <w:pPr>
        <w:pStyle w:val="SingleTxt"/>
        <w:spacing w:after="0" w:line="120" w:lineRule="exact"/>
        <w:rPr>
          <w:sz w:val="10"/>
        </w:rPr>
      </w:pPr>
    </w:p>
    <w:p w:rsidR="00000000" w:rsidRDefault="00000000">
      <w:pPr>
        <w:pStyle w:val="SingleTxt"/>
      </w:pPr>
      <w:r>
        <w:tab/>
        <w:t>Aunque Nigeria no ha introducido aún la Convención en el derecho interno, el Gobierno ha adoptado medidas inequívocas para cumplir su obligación con arreglo a ella. Así, durante el período abarcado por el informe, se adoptaron varias medidas, en particular la inclusión de las actividades de las mujeres en la Política Económica Nacional, la ejecución del Programa Nacional para la Erradicación de la Pobreza y, más recientemente, el programa Estrategias para la Reducción de la Pobreza, enc</w:t>
      </w:r>
      <w:r>
        <w:t>a</w:t>
      </w:r>
      <w:r>
        <w:t>minado a erradicar la pobreza y que comprende medidas positivas en su ejecución y selección de beneficiarios, al asignar el 30 por ciento de las consignaciones a las mujeres. Sin embargo, se está procurando tener en cuenta las consideraciones de g</w:t>
      </w:r>
      <w:r>
        <w:t>é</w:t>
      </w:r>
      <w:r>
        <w:t>nero en el presupuesto nacional y elaborar y analizar datos sobre las actividades de las mujeres en el sector no estructurado de la economía, que actualmente no se rec</w:t>
      </w:r>
      <w:r>
        <w:t>o</w:t>
      </w:r>
      <w:r>
        <w:t>gen en el PIB.</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4.2 </w:t>
      </w:r>
      <w:r>
        <w:tab/>
        <w:t>Participación política de la mujer</w:t>
      </w:r>
    </w:p>
    <w:p w:rsidR="00000000" w:rsidRDefault="00000000">
      <w:pPr>
        <w:pStyle w:val="SingleTxt"/>
        <w:spacing w:after="0" w:line="120" w:lineRule="exact"/>
        <w:rPr>
          <w:sz w:val="10"/>
        </w:rPr>
      </w:pPr>
    </w:p>
    <w:p w:rsidR="00000000" w:rsidRDefault="00000000">
      <w:pPr>
        <w:pStyle w:val="SingleTxt"/>
      </w:pPr>
      <w:r>
        <w:tab/>
        <w:t>Desde el comienzo de la gestión democrática de los asuntos públicos en Nig</w:t>
      </w:r>
      <w:r>
        <w:t>e</w:t>
      </w:r>
      <w:r>
        <w:t>ria, se han hecho intentos ímprobos de aumentar la participación de la mujer en la vida política y pública. Así, una coalición de ONG de mujeres ha formulado una medida especial, denominada “Programa 2003” y encaminada a obtener fondos y movilizar a las mujeres para que se presenten como candidatas en las elecciones de 2003 en todos los niveles. Como fase inicial para lanzar esa iniciativa y velar por el éxito de esa estrategia, el 8 de abril de 2002 se celebró un “Congreso Nacional de Mujeres” para presentar el programa político de las mujeres nigerianas al gobierno y al público en general y sensibilizar y movilizar a las mujeres con miras a su partic</w:t>
      </w:r>
      <w:r>
        <w:t>i</w:t>
      </w:r>
      <w:r>
        <w:t>pación política.</w:t>
      </w:r>
    </w:p>
    <w:p w:rsidR="00000000" w:rsidRDefault="00000000">
      <w:pPr>
        <w:pStyle w:val="SingleTxt"/>
      </w:pPr>
      <w:r>
        <w:tab/>
        <w:t>Con el mismo fin, varios partidos políticos registrados han hecho también co</w:t>
      </w:r>
      <w:r>
        <w:t>n</w:t>
      </w:r>
      <w:r>
        <w:t>cesiones positivas para alentar la participación de la mujer en la política. El Partido Popular Democrático, el que gobierna actualmente, ha decidido dispensar del pago de los derechos obligatorios de registro y nombramiento a las mujeres que aspiren a cualquier puesto electivo en la plataforma del partido. El Partido de Todos los Pu</w:t>
      </w:r>
      <w:r>
        <w:t>e</w:t>
      </w:r>
      <w:r>
        <w:t>blos ha declarado también que en caso de empate entre un hombre y una mujer en sus elecciones primarias el candidato renunciaría a favor de la candidata. Se están celebrando negociaciones para la creación de circunscripciones femeninas en el si</w:t>
      </w:r>
      <w:r>
        <w:t>s</w:t>
      </w:r>
      <w:r>
        <w:t>tema político.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4.3 </w:t>
      </w:r>
      <w:r>
        <w:tab/>
        <w:t>La Política Nacional de  la Mujer</w:t>
      </w:r>
    </w:p>
    <w:p w:rsidR="00000000" w:rsidRDefault="00000000">
      <w:pPr>
        <w:pStyle w:val="SingleTxt"/>
        <w:spacing w:after="0" w:line="120" w:lineRule="exact"/>
        <w:rPr>
          <w:sz w:val="10"/>
        </w:rPr>
      </w:pPr>
    </w:p>
    <w:p w:rsidR="00000000" w:rsidRDefault="00000000">
      <w:pPr>
        <w:pStyle w:val="SingleTxt"/>
      </w:pPr>
      <w:r>
        <w:tab/>
        <w:t>Además, la Política Nacional de la Mujer, aprobada en julio de 2000, dispone la adopción de medidas positivas para aumentar al 30 por ciento la representación total de la mujer en los poderes legislativo y ejecutivo y en las jerarquías de los pa</w:t>
      </w:r>
      <w:r>
        <w:t>r</w:t>
      </w:r>
      <w:r>
        <w:t>tidos políticos. Se trata de una vía importante para reorientar las políticas públicas con miras a fomentar la igualdad sexual e intensificar la función complementaria que las mujeres y los hombres deben desempeñar en el desarrollo. Las metas y los objetivos generales de dicha política son, entre otros, los de velar por la eliminación de todas las formas de discriminación contra la mujer y por la aplicación efectiva de los principios y las disposiciones que figuran en la Constitución de Nigeria e inco</w:t>
      </w:r>
      <w:r>
        <w:t>r</w:t>
      </w:r>
      <w:r>
        <w:t>porar las perspectivas de género en todos los programas y políticas basados en un análisis sistemático de las disparidades entre los sexos en todos los planos del Est</w:t>
      </w:r>
      <w:r>
        <w:t>a</w:t>
      </w:r>
      <w:r>
        <w:t>do. El aumento del número de mujeres nombradas para puestos directivos, como se ve en los cuadros 7.1 y 7.2, atestigua la firme determinación del gobierno actual de alca</w:t>
      </w:r>
      <w:r>
        <w:t>n</w:t>
      </w:r>
      <w:r>
        <w:t>zar las metas fijadas.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w:t>
      </w:r>
      <w:r>
        <w:tab/>
        <w:t>Protección de la salud materna</w:t>
      </w:r>
    </w:p>
    <w:p w:rsidR="00000000" w:rsidRDefault="00000000">
      <w:pPr>
        <w:pStyle w:val="SingleTxt"/>
        <w:spacing w:after="0" w:line="120" w:lineRule="exact"/>
        <w:rPr>
          <w:sz w:val="10"/>
        </w:rPr>
      </w:pPr>
    </w:p>
    <w:p w:rsidR="00000000" w:rsidRDefault="00000000">
      <w:pPr>
        <w:pStyle w:val="SingleTxt"/>
      </w:pPr>
      <w:r>
        <w:tab/>
        <w:t>El Gobierno ha adoptado algunas medidas sobre la salud de los adolescentes al aprobar el Programa Nacional de Educación Sexual. Otras medidas forman parte de la políticas nacionales sobre salud reproductiva, nutrición y HIV/SIDA. También hay varias políticas en el sector sanitario pertinentes para la salud reproductiva. La principal de ellas es la Política y Estrategia Nacional de Salud (1988, 1998), que h</w:t>
      </w:r>
      <w:r>
        <w:t>a</w:t>
      </w:r>
      <w:r>
        <w:t>ce hincapié en la atención primaria de salud, decisiva para el desarrollo del sistema de dispensación de servicios médicos de Nigeria. La Política Nacional consta de d</w:t>
      </w:r>
      <w:r>
        <w:t>i</w:t>
      </w:r>
      <w:r>
        <w:t>versas disposiciones que, si se hubieran aplicado estrictamente, habrían podido pr</w:t>
      </w:r>
      <w:r>
        <w:t>o</w:t>
      </w:r>
      <w:r>
        <w:t>piciar una mejora del acceso a los servicios básicos de salud, incluidos los de salud reproductiva, para todos los grupos de la población. Sin embargo, el nivel actual de acceso no refleja una observancia estricta de dicha política.</w:t>
      </w:r>
    </w:p>
    <w:p w:rsidR="00000000" w:rsidRDefault="00000000">
      <w:pPr>
        <w:pStyle w:val="SingleTxt"/>
      </w:pPr>
      <w:r>
        <w:rPr>
          <w:sz w:val="10"/>
        </w:rPr>
        <w:tab/>
      </w:r>
      <w:r>
        <w:t>El Gobierno Federal formuló la Política Nacional de Alimentación y Nutrición de Nigeria para abordar los problemas nutricionales más importantes con miras a r</w:t>
      </w:r>
      <w:r>
        <w:t>e</w:t>
      </w:r>
      <w:r>
        <w:t>ducir la desnutrición en un 30 por ciento en el año 2010, sobre todo entre los niños, las mujeres y las personas de edad, y en particular la malnutrición moderada y grave entre los niños menores de cinco años de edad, y en un 50 por ciento de los niveles actuales las deficiencias en micronutrientes, en particular los trastornos por def</w:t>
      </w:r>
      <w:r>
        <w:t>i</w:t>
      </w:r>
      <w:r>
        <w:t>ciencia de yodo, la deficiencia de vitamina A y la anemia por deficiencia de hierro.</w:t>
      </w:r>
    </w:p>
    <w:p w:rsidR="00000000" w:rsidRDefault="00000000">
      <w:pPr>
        <w:pStyle w:val="SingleTxt"/>
      </w:pPr>
      <w:r>
        <w:tab/>
        <w:t>Transmisión del VIH/SIDA de la madre al niño: como todavía no se ha hecho un estudio nacional completo de la transmisión de la madre al niño en Nigeria, no se ha determinado aún el riesgo relativo de cada una de sus formas (en el útero, en el parto y mediante la lactancia materna), pero se está trabajando en la formulación de una estrategia para su prevención.</w:t>
      </w:r>
    </w:p>
    <w:p w:rsidR="00000000" w:rsidRDefault="00000000">
      <w:pPr>
        <w:pStyle w:val="SingleTxt"/>
      </w:pPr>
      <w:r>
        <w:tab/>
        <w:t>Otras medidas especiales que se han adoptado para fomentar la igualdad sexual son la creación, aunque en número limitado, de guarderías y casas-cuna en los loc</w:t>
      </w:r>
      <w:r>
        <w:t>a</w:t>
      </w:r>
      <w:r>
        <w:t>les de oficinas y en los hospitales en el 8,1 por ciento de los Estados de la Feder</w:t>
      </w:r>
      <w:r>
        <w:t>a</w:t>
      </w:r>
      <w:r>
        <w:t>ción y en el Territorio de la Capital Federal, para ayudar a las mujeres a afrontar sin obstáculos sus responsabilidades familiares y laborales. Más del 90 por ciento de los Estados de la Federación han ampliado sus servicios de atención primaria de salud en pro de las mujeres y las niñas. Se han creado centros de tratamiento de la fístula vesicovaginal en seis Estados en los que su prevalencia es elevada -Zamfara, Kano, Katsina, Kebbi, Sokoto y Akwa-Ibom- para ofrecer tratamiento gratuito a las p</w:t>
      </w:r>
      <w:r>
        <w:t>a</w:t>
      </w:r>
      <w:r>
        <w:t>cientes.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4.5</w:t>
      </w:r>
      <w:r>
        <w:tab/>
        <w:t>Limitaciones e imperativos</w:t>
      </w:r>
    </w:p>
    <w:p w:rsidR="00000000" w:rsidRDefault="00000000">
      <w:pPr>
        <w:pStyle w:val="SingleTxt"/>
        <w:spacing w:after="0" w:line="120" w:lineRule="exact"/>
        <w:rPr>
          <w:sz w:val="10"/>
        </w:rPr>
      </w:pPr>
    </w:p>
    <w:p w:rsidR="00000000" w:rsidRDefault="00000000">
      <w:pPr>
        <w:pStyle w:val="SingleTxt"/>
      </w:pPr>
      <w:r>
        <w:tab/>
        <w:t>Pese a los avances logrados, siguen existiendo actitudes culturales profund</w:t>
      </w:r>
      <w:r>
        <w:t>a</w:t>
      </w:r>
      <w:r>
        <w:t>mente arraigadas en relación con las funciones correspondientes a los sexos, que han constituido un factor limitador con miras a la consecución de las metas deseadas. El concepto de medida especial propugnado en el artículo 4 para velar por el adelanto de la mujer no es discriminatorio, pues se espera que ayude a remediar los desfases y d</w:t>
      </w:r>
      <w:r>
        <w:t>e</w:t>
      </w:r>
      <w:r>
        <w:t>sequilibrios entre los hombres y las mujeres.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t>4.6</w:t>
      </w:r>
      <w:r>
        <w:tab/>
      </w:r>
      <w:r>
        <w:rPr>
          <w:i w:val="0"/>
        </w:rPr>
        <w:t>Diversas leyes parlamentarias, consuetudinarias y religiosas vigentes en Nigeria abordan diferentes aspectos de la salud reproductiva. Sin embargo, muchas de dichas leyes no reflejan el concepto de salud reproductiva, por lo que son inadecuadas para satisfacer la necesidad de actualizar los derechos reproductivos, tal como se entienden en la época actual.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5.0</w:t>
      </w:r>
      <w:r>
        <w:tab/>
        <w:t>Artículo 5: Funciones de los sexos y estereotipos al respecto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w:t>
      </w:r>
      <w:r>
        <w:tab/>
        <w:t>Usos que fomentan el adelanto de la mujer</w:t>
      </w:r>
    </w:p>
    <w:p w:rsidR="00000000" w:rsidRDefault="00000000">
      <w:pPr>
        <w:pStyle w:val="SingleTxt"/>
        <w:spacing w:after="0" w:line="120" w:lineRule="exact"/>
        <w:rPr>
          <w:sz w:val="10"/>
        </w:rPr>
      </w:pPr>
    </w:p>
    <w:p w:rsidR="00000000" w:rsidRDefault="00000000">
      <w:pPr>
        <w:pStyle w:val="SingleTxt"/>
      </w:pPr>
      <w:r>
        <w:tab/>
        <w:t>El adelanto de la mujer ha resultado obstaculizado por ciertos usos culturales, tradicionales y religiosos basados en funciones estereotipadas correspondientes a los hombres y las mujeres y que situaban a éstas en una posición de desventaja.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t>5.2</w:t>
      </w:r>
      <w:r>
        <w:tab/>
      </w:r>
      <w:r>
        <w:rPr>
          <w:i w:val="0"/>
        </w:rPr>
        <w:t>La educación moderna y una mayor comprensión de las funciones productivas y reproductivas positivas que desempeñan las mujeres en el desarrollo han  propiciado una eliminación gradual de semejantes creencias. Ahora existen usos sociales, culturales y religiosos que fomentan el adelanto de la mujer. Por ejemplo, ahora las mujeres están empezando a recibir títulos de jefes en sus comunidades, algunas iglesias ordenan también a mujeres como predicadoras y profetas y han dejado de observarse los tabúes que prohibían a las mujeres comer determinados alimentos.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w:t>
      </w:r>
      <w:r>
        <w:tab/>
        <w:t xml:space="preserve">Medidas adoptadas para luchar contra los usos tradicionales perjudiciales </w:t>
      </w:r>
    </w:p>
    <w:p w:rsidR="00000000" w:rsidRDefault="00000000">
      <w:pPr>
        <w:pStyle w:val="SingleTxt"/>
        <w:keepNext/>
        <w:keepLines/>
        <w:spacing w:after="0" w:line="120" w:lineRule="exact"/>
        <w:rPr>
          <w:sz w:val="10"/>
        </w:rPr>
      </w:pPr>
    </w:p>
    <w:p w:rsidR="00000000" w:rsidRDefault="00000000">
      <w:pPr>
        <w:pStyle w:val="SingleTxt"/>
        <w:keepNext/>
        <w:keepLines/>
      </w:pPr>
      <w:r>
        <w:tab/>
        <w:t>En 1999, el Ministerio Federal de Asuntos de la Mujer y Desarrollo de la J</w:t>
      </w:r>
      <w:r>
        <w:t>u</w:t>
      </w:r>
      <w:r>
        <w:t>ventud realizó, junto con el sistema de las Naciones Unidas para el desarrollo, una encuesta nacional sobre los usos tradicionales nocivos. Los resultados de la encuesta han brindado datos que abonan la necesidad de promover medidas legislativas en los planos nacional y estatal. En consecuencia, el Gobierno ha adoptado, en los planos nacional y estatal, medidas, incluidas las de carácter legislativo, en el 33 por ciento de los Estados de la Federación, para luchar contra los usos perjudiciales para las mujeres, entre ellos la mutilación genital, el matrimonio a edad temprana, las fu</w:t>
      </w:r>
      <w:r>
        <w:t>n</w:t>
      </w:r>
      <w:r>
        <w:t>ciones compartidas de la maternidad y los usos relativos a la viudez. En el plano f</w:t>
      </w:r>
      <w:r>
        <w:t>e</w:t>
      </w:r>
      <w:r>
        <w:t>deral, la Cámara de Representantes ha aprobado el proyecto de ley sobre la mutil</w:t>
      </w:r>
      <w:r>
        <w:t>a</w:t>
      </w:r>
      <w:r>
        <w:t>ción genital de la mujer. Dichas medidas, junto con los programas de ilustración y promoción, han dado como resultado una relativa reducción de esos usos perjud</w:t>
      </w:r>
      <w:r>
        <w:t>i</w:t>
      </w:r>
      <w:r>
        <w:t>ciales para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5.4</w:t>
      </w:r>
      <w:r>
        <w:tab/>
        <w:t>Urbanización</w:t>
      </w:r>
    </w:p>
    <w:p w:rsidR="00000000" w:rsidRDefault="00000000">
      <w:pPr>
        <w:pStyle w:val="SingleTxt"/>
        <w:spacing w:after="0" w:line="120" w:lineRule="exact"/>
        <w:rPr>
          <w:sz w:val="10"/>
        </w:rPr>
      </w:pPr>
    </w:p>
    <w:p w:rsidR="00000000" w:rsidRDefault="00000000">
      <w:pPr>
        <w:pStyle w:val="SingleTxt"/>
      </w:pPr>
      <w:r>
        <w:tab/>
        <w:t>Las modernización y la urbanización han contribuido a reducir en cierta med</w:t>
      </w:r>
      <w:r>
        <w:t>i</w:t>
      </w:r>
      <w:r>
        <w:t>da los usos culturales y tradicionales discriminatorios para las mujeres, al sensibil</w:t>
      </w:r>
      <w:r>
        <w:t>i</w:t>
      </w:r>
      <w:r>
        <w:t>zarlas sobre sus derechos. La urbanización brinda también oportunidades de empleo a un porcentaje aceptable de mujeres, en particular en el sector no estructurado de la ec</w:t>
      </w:r>
      <w:r>
        <w:t>o</w:t>
      </w:r>
      <w:r>
        <w:t>nomía, con su consiguiente potenciación e independencia económicas.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5.5</w:t>
      </w:r>
      <w:r>
        <w:tab/>
        <w:t>Disponibilidad de casas seguras</w:t>
      </w:r>
    </w:p>
    <w:p w:rsidR="00000000" w:rsidRDefault="00000000">
      <w:pPr>
        <w:pStyle w:val="SingleTxt"/>
        <w:spacing w:after="0" w:line="120" w:lineRule="exact"/>
        <w:rPr>
          <w:sz w:val="10"/>
        </w:rPr>
      </w:pPr>
    </w:p>
    <w:p w:rsidR="00000000" w:rsidRDefault="00000000">
      <w:pPr>
        <w:pStyle w:val="SingleTxt"/>
      </w:pPr>
      <w:r>
        <w:tab/>
        <w:t>Para luchar contra la violencia doméstica que padecen las mujeres y los niños, varias ONG han estado en la vanguardia de la labor de concienciación, mientras que otras han preparado casas seguras para sus víctimas. Sin embargo, ese servicio y ese tipo de información están circunscritos a unos pocos centros urbanos situados en los Estados de Ekiti, Lagos y Ogun, además de Abuja. No obstante, algunas de esas c</w:t>
      </w:r>
      <w:r>
        <w:t>a</w:t>
      </w:r>
      <w:r>
        <w:t>sas seguras han permanecido en el anonimato por razones de seguridad y para evitar r</w:t>
      </w:r>
      <w:r>
        <w:t>e</w:t>
      </w:r>
      <w:r>
        <w:t>presalias.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5.6 </w:t>
      </w:r>
      <w:r>
        <w:tab/>
        <w:t>Limitaciones</w:t>
      </w:r>
    </w:p>
    <w:p w:rsidR="00000000" w:rsidRDefault="00000000">
      <w:pPr>
        <w:pStyle w:val="SingleTxt"/>
        <w:spacing w:after="0" w:line="120" w:lineRule="exact"/>
        <w:rPr>
          <w:sz w:val="10"/>
        </w:rPr>
      </w:pPr>
    </w:p>
    <w:p w:rsidR="00000000" w:rsidRDefault="00000000">
      <w:pPr>
        <w:pStyle w:val="SingleTxt"/>
      </w:pPr>
      <w:r>
        <w:tab/>
        <w:t>Sin embargo, los avances logrados en la aplicación de este artículo están ci</w:t>
      </w:r>
      <w:r>
        <w:t>r</w:t>
      </w:r>
      <w:r>
        <w:t>cunscritos a las zonas urbanas. En las zonas rurales siguen existiendo prejuicios y usos tradicionales que deniegan a las mujeres el disfrute pleno de sus derechos, en razón principalmente de una ignorancia muy arraigada y de la preferencia por la pr</w:t>
      </w:r>
      <w:r>
        <w:t>e</w:t>
      </w:r>
      <w:r>
        <w:t>servación de costumbres cotidianas tradicionales. La reciente introducción de la l</w:t>
      </w:r>
      <w:r>
        <w:t>e</w:t>
      </w:r>
      <w:r>
        <w:t>gislación penal de la Sharia en algunos Estados de la Federación aminora los ava</w:t>
      </w:r>
      <w:r>
        <w:t>n</w:t>
      </w:r>
      <w:r>
        <w:t>ces r</w:t>
      </w:r>
      <w:r>
        <w:t>e</w:t>
      </w:r>
      <w:r>
        <w:t>gistrados en épocas anteriores en dichos Estados.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6.0</w:t>
      </w:r>
      <w:r>
        <w:tab/>
        <w:t>Artículo 6: Trata de mujeres y explotación para la prostitución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Situación en materia de trata y explotación sexual</w:t>
      </w:r>
    </w:p>
    <w:p w:rsidR="00000000" w:rsidRDefault="00000000">
      <w:pPr>
        <w:pStyle w:val="SingleTxt"/>
        <w:spacing w:after="0" w:line="120" w:lineRule="exact"/>
        <w:rPr>
          <w:sz w:val="10"/>
        </w:rPr>
      </w:pPr>
    </w:p>
    <w:p w:rsidR="00000000" w:rsidRDefault="00000000">
      <w:pPr>
        <w:pStyle w:val="SingleTxt"/>
      </w:pPr>
      <w:r>
        <w:tab/>
        <w:t>La explotación sexual y la trata de mujeres constituyen una grave violación de derechos, razón por la cual se los deplora en el artículo 6 de la Convención. Como se declara en dicho artículo, se espera que los países que han ratificado la Conve</w:t>
      </w:r>
      <w:r>
        <w:t>n</w:t>
      </w:r>
      <w:r>
        <w:t>ción adopten medidas para poner fin a todas las formas de trata y explotación sexual de la mujer.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r>
      <w:r>
        <w:rPr>
          <w:i/>
        </w:rPr>
        <w:t>6.2</w:t>
      </w:r>
      <w:r>
        <w:t xml:space="preserve"> </w:t>
      </w:r>
      <w:r>
        <w:tab/>
        <w:t>La explotación sexual con carácter comercial ha llegado a ser un grave problema en Nigeria, dadas sus vinculaciones con la trata internacional de mujeres y niñas, además de su función en la transmisión de las ETS y de la epidemia del VIH/SIDA en el país, con una tasa de prevalencia que en 1999 oscilaba entre el 4,9 y el 8.1 por ciento (SAA 2001) entre los diferentes grupos de edad y zonas geopolíticas de Nigeria. Además, la misma fuente indica que 20.000 muchachas nigerianas ejercen la prostitución en Italia.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6.3 </w:t>
      </w:r>
      <w:r>
        <w:tab/>
        <w:t>Medidas legislativas y otras medidas administrativas</w:t>
      </w:r>
    </w:p>
    <w:p w:rsidR="00000000" w:rsidRDefault="00000000">
      <w:pPr>
        <w:pStyle w:val="SingleTxt"/>
        <w:spacing w:after="0" w:line="120" w:lineRule="exact"/>
        <w:rPr>
          <w:sz w:val="10"/>
        </w:rPr>
      </w:pPr>
    </w:p>
    <w:p w:rsidR="00000000" w:rsidRDefault="00000000">
      <w:pPr>
        <w:pStyle w:val="SingleTxt"/>
      </w:pPr>
      <w:r>
        <w:tab/>
        <w:t>Para poner coto a esa tendencia, se han adoptado varias medidas encaminadas a reprimir todas las formas de trata de mujeres y su explotación para la prostitución. Entre ellas figuran las siguientes:</w:t>
      </w:r>
    </w:p>
    <w:p w:rsidR="00000000" w:rsidRDefault="00000000">
      <w:pPr>
        <w:pStyle w:val="SingleTxt"/>
        <w:tabs>
          <w:tab w:val="right" w:pos="1685"/>
        </w:tabs>
        <w:ind w:left="1742" w:hanging="475"/>
      </w:pPr>
      <w:r>
        <w:tab/>
        <w:t>•</w:t>
      </w:r>
      <w:r>
        <w:tab/>
        <w:t>La aprobación por la Cámara baja de la Asamblea Nacional de un proyecto de ley contra la trata de mujeres y niños</w:t>
      </w:r>
    </w:p>
    <w:p w:rsidR="00000000" w:rsidRDefault="00000000">
      <w:pPr>
        <w:pStyle w:val="SingleTxt"/>
        <w:tabs>
          <w:tab w:val="right" w:pos="1685"/>
        </w:tabs>
        <w:ind w:left="1742" w:hanging="475"/>
      </w:pPr>
      <w:r>
        <w:tab/>
        <w:t>•</w:t>
      </w:r>
      <w:r>
        <w:tab/>
        <w:t>También hay leyes y políticas que prohíben la trata, el abuso sexual y la pro</w:t>
      </w:r>
      <w:r>
        <w:t>s</w:t>
      </w:r>
      <w:r>
        <w:t>tit</w:t>
      </w:r>
      <w:r>
        <w:t>u</w:t>
      </w:r>
      <w:r>
        <w:t>ción. Son las leyes siguientes:</w:t>
      </w:r>
    </w:p>
    <w:p w:rsidR="00000000" w:rsidRDefault="00000000">
      <w:pPr>
        <w:pStyle w:val="SingleTxt"/>
        <w:ind w:left="2218" w:hanging="951"/>
      </w:pPr>
      <w:r>
        <w:tab/>
        <w:t>a.</w:t>
      </w:r>
      <w:r>
        <w:tab/>
        <w:t>Diversas leyes del Código Penal de la Sharia de diversos Estados (dif</w:t>
      </w:r>
      <w:r>
        <w:t>e</w:t>
      </w:r>
      <w:r>
        <w:t>rentes años). Por ejemplo, la Ley del Código Penal, de 2000, del Estado de Zamf</w:t>
      </w:r>
      <w:r>
        <w:t>a</w:t>
      </w:r>
      <w:r>
        <w:t xml:space="preserve">ra </w:t>
      </w:r>
    </w:p>
    <w:p w:rsidR="00000000" w:rsidRDefault="00000000">
      <w:pPr>
        <w:pStyle w:val="SingleTxt"/>
        <w:ind w:left="2218" w:hanging="951"/>
      </w:pPr>
      <w:r>
        <w:tab/>
        <w:t>b.</w:t>
      </w:r>
      <w:r>
        <w:tab/>
        <w:t>Leyes sobre los niños y los jóvenes de diversos Estados</w:t>
      </w:r>
    </w:p>
    <w:p w:rsidR="00000000" w:rsidRDefault="00000000">
      <w:pPr>
        <w:pStyle w:val="SingleTxt"/>
        <w:ind w:left="2218" w:hanging="951"/>
      </w:pPr>
      <w:r>
        <w:tab/>
        <w:t>c.</w:t>
      </w:r>
      <w:r>
        <w:tab/>
        <w:t>Los artículos 223 a 225 del Código Penal de la Nigeria meridional (cap</w:t>
      </w:r>
      <w:r>
        <w:t>í</w:t>
      </w:r>
      <w:r>
        <w:t>tulo 77 de las Leyes de la Federación, de 1990)</w:t>
      </w:r>
    </w:p>
    <w:p w:rsidR="00000000" w:rsidRDefault="00000000">
      <w:pPr>
        <w:pStyle w:val="SingleTxt"/>
        <w:ind w:left="2218" w:hanging="951"/>
      </w:pPr>
      <w:r>
        <w:tab/>
        <w:t>d.</w:t>
      </w:r>
      <w:r>
        <w:tab/>
        <w:t>Artículos 276 a 280 de la Ley del Código Penal, de 1959, de la Nigeria septe</w:t>
      </w:r>
      <w:r>
        <w:t>n</w:t>
      </w:r>
      <w:r>
        <w:t>trional</w:t>
      </w:r>
    </w:p>
    <w:p w:rsidR="00000000" w:rsidRDefault="00000000">
      <w:pPr>
        <w:pStyle w:val="SingleTxt"/>
        <w:ind w:left="2218" w:hanging="951"/>
      </w:pPr>
      <w:r>
        <w:tab/>
        <w:t>e.</w:t>
      </w:r>
      <w:r>
        <w:tab/>
        <w:t>Leyes sobre la trata y el abuso de niños de diversos Estados</w:t>
      </w:r>
    </w:p>
    <w:p w:rsidR="00000000" w:rsidRDefault="00000000">
      <w:pPr>
        <w:pStyle w:val="SingleTxt"/>
        <w:ind w:left="2218" w:hanging="951"/>
      </w:pPr>
      <w:r>
        <w:tab/>
        <w:t>f.</w:t>
      </w:r>
      <w:r>
        <w:tab/>
        <w:t>Los artículos 33, 34 y 35 de la Constitución de 1999</w:t>
      </w:r>
    </w:p>
    <w:p w:rsidR="00000000" w:rsidRDefault="00000000">
      <w:pPr>
        <w:pStyle w:val="SingleTxt"/>
        <w:ind w:left="2218" w:hanging="951"/>
      </w:pPr>
      <w:r>
        <w:tab/>
        <w:t>g.</w:t>
      </w:r>
      <w:r>
        <w:tab/>
        <w:t>Artículos 214 a 233 (delitos contra la moralidad) de la Ley del Código Penal (c</w:t>
      </w:r>
      <w:r>
        <w:t>a</w:t>
      </w:r>
      <w:r>
        <w:t xml:space="preserve">pítulo 77 de las Leyes de la Federación de Nigeria, de 1990), </w:t>
      </w:r>
    </w:p>
    <w:p w:rsidR="00000000" w:rsidRDefault="00000000">
      <w:pPr>
        <w:pStyle w:val="SingleTxt"/>
        <w:tabs>
          <w:tab w:val="right" w:pos="1685"/>
        </w:tabs>
        <w:ind w:left="1742" w:hanging="475"/>
      </w:pPr>
      <w:r>
        <w:tab/>
        <w:t>•</w:t>
      </w:r>
      <w:r>
        <w:tab/>
        <w:t>Existencia de casas seguras para las víctimas de la violencia doméstica y s</w:t>
      </w:r>
      <w:r>
        <w:t>e</w:t>
      </w:r>
      <w:r>
        <w:t>xual en tres Estados, además de en el Territorio de la Capital Federal, lo que repr</w:t>
      </w:r>
      <w:r>
        <w:t>e</w:t>
      </w:r>
      <w:r>
        <w:t>senta el 16,2 por ciento de los Estados de la Federación.</w:t>
      </w:r>
    </w:p>
    <w:p w:rsidR="00000000" w:rsidRDefault="00000000">
      <w:pPr>
        <w:pStyle w:val="SingleTxt"/>
        <w:tabs>
          <w:tab w:val="right" w:pos="1685"/>
        </w:tabs>
        <w:ind w:left="1742" w:hanging="475"/>
      </w:pPr>
      <w:r>
        <w:tab/>
        <w:t>•</w:t>
      </w:r>
      <w:r>
        <w:tab/>
        <w:t>Censura de las películas pornográficas y violentas por la Junta de Censores y la Comisión de Comunicación de Nigeria. Sin embargo, existen dificultades para comprobar los vídeos de los hogares. Algunos Estados de la Federación, en particular los de Katsina y Zamfara, han promulgado leyes que permiten la detención de los vendedores de películas pornográficas y violentas. El capítulo 23 de la Ley de Censura Cinematográfica de Sokoto y el artículo 233 de la Ley del Código Penal (capítulo 77 de las Leyes de la Federación de Nigeria) sobre las publicaciones obscenas ejercen también un efecto disuasorio para quienes compran esa clase de películas.</w:t>
      </w:r>
    </w:p>
    <w:p w:rsidR="00000000" w:rsidRDefault="00000000">
      <w:pPr>
        <w:pStyle w:val="SingleTxt"/>
        <w:tabs>
          <w:tab w:val="right" w:pos="1685"/>
        </w:tabs>
        <w:ind w:left="1742" w:hanging="475"/>
      </w:pPr>
      <w:r>
        <w:tab/>
        <w:t>•</w:t>
      </w:r>
      <w:r>
        <w:tab/>
        <w:t>Creación de lazos de colaboración entre la policía y el Departamento de Inm</w:t>
      </w:r>
      <w:r>
        <w:t>i</w:t>
      </w:r>
      <w:r>
        <w:t>gr</w:t>
      </w:r>
      <w:r>
        <w:t>a</w:t>
      </w:r>
      <w:r>
        <w:t>ción de Nigeria y la Interpol para la vigilancia de las fronteras.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jc w:val="both"/>
      </w:pPr>
      <w:r>
        <w:tab/>
        <w:t xml:space="preserve">6.4 </w:t>
      </w:r>
      <w:r>
        <w:tab/>
      </w:r>
      <w:r>
        <w:rPr>
          <w:i w:val="0"/>
        </w:rPr>
        <w:t>Pese a la existencia de todas las leyes antes enumeradas, en la práctica raras veces se detiene y se procesa con éxito a quienes se dedican a la trata de mujeres. Los beneficios de ese negocio brindan un poderoso incentivo a los traficantes, que, además de aprovecharse de las porosas fronteras de Nigeria, sobornan a los agentes del Departamento de Inmigración y subvierten la escasa imposición del cumplimiento de la ley. También es digno de mención que algunos Estados de la zona noroccidental (Bauchi, Zamfara y Kebbi) hayan promulgado leyes por las que se prohíbe la venta ambulante a las muchachas menores de 18 años de edad. Se trata de una importante medida legal, que deben emular otros Estados, pues la venta ambulante expone a las muchachas a todas las formas de abuso y explotación sexuales.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6.5 </w:t>
      </w:r>
      <w:r>
        <w:tab/>
        <w:t>Otras actividades en marcha</w:t>
      </w:r>
    </w:p>
    <w:p w:rsidR="00000000" w:rsidRDefault="00000000">
      <w:pPr>
        <w:pStyle w:val="SingleTxt"/>
        <w:spacing w:after="0" w:line="120" w:lineRule="exact"/>
        <w:rPr>
          <w:sz w:val="10"/>
        </w:rPr>
      </w:pPr>
    </w:p>
    <w:p w:rsidR="00000000" w:rsidRDefault="00000000">
      <w:pPr>
        <w:pStyle w:val="SingleTxt"/>
      </w:pPr>
      <w:r>
        <w:tab/>
        <w:t>Aparte de esas intervenciones en el plano gubernamental, las presiones de otras instituciones, grupos de mujeres y ONG sirven para sensibilizar a la población respecto de los efectos negativos de esas películas.</w:t>
      </w:r>
    </w:p>
    <w:p w:rsidR="00000000" w:rsidRDefault="00000000">
      <w:pPr>
        <w:pStyle w:val="SingleTxt"/>
      </w:pPr>
      <w:r>
        <w:rPr>
          <w:sz w:val="10"/>
        </w:rPr>
        <w:tab/>
      </w:r>
      <w:r>
        <w:t>En los dos últimos años, para poner coto al escandaloso comercio de mujeres y la explotación sexual que había causado grandes perjuicios a la buena fama de Nig</w:t>
      </w:r>
      <w:r>
        <w:t>e</w:t>
      </w:r>
      <w:r>
        <w:t>ria en el extranjero, se ha trabajado denodadamente con miras a revelar la iniquidad de la trata de mujeres. Las organizaciones de la sociedad civil de las zonas sud</w:t>
      </w:r>
      <w:r>
        <w:t>o</w:t>
      </w:r>
      <w:r>
        <w:t>riental y meridional, la Fundación para la Erradicación de la Trata de Mujeres y del Trabajo Infantil, presidida por la esposa del Vicepresidente, y otras ONG han d</w:t>
      </w:r>
      <w:r>
        <w:t>e</w:t>
      </w:r>
      <w:r>
        <w:t>sempeñado funciones fundamentales en la campaña contra la trata de mujeres y n</w:t>
      </w:r>
      <w:r>
        <w:t>i</w:t>
      </w:r>
      <w:r>
        <w:t>ñas. Se han hecho esfuerzos substanciales para sensibilizar a los padres y otros i</w:t>
      </w:r>
      <w:r>
        <w:t>m</w:t>
      </w:r>
      <w:r>
        <w:t>portantes interesados directos de la sociedad sobre los peligros que entraña sucumbir a la persuasión por parte de los traficantes. (SAA 2001). El resultado es la reciente aprobación por la Asamblea Nacional del proyecto de ley sobre la trata. El Pres</w:t>
      </w:r>
      <w:r>
        <w:t>i</w:t>
      </w:r>
      <w:r>
        <w:t>dente nombró recientemente a un Asistente Especial en materia de trata de personas y trabajo infantil. Además, Nigeria ha firmado acuerdos con la Organización Inte</w:t>
      </w:r>
      <w:r>
        <w:t>r</w:t>
      </w:r>
      <w:r>
        <w:t>nacional para las Migraciones (OIM) a fin de luchar contra la trata de personas y el trabajo infa</w:t>
      </w:r>
      <w:r>
        <w:t>n</w:t>
      </w:r>
      <w:r>
        <w:t>til.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6.6 </w:t>
      </w:r>
      <w:r>
        <w:tab/>
        <w:t>Planes para el futuro</w:t>
      </w:r>
    </w:p>
    <w:p w:rsidR="00000000" w:rsidRDefault="00000000">
      <w:pPr>
        <w:pStyle w:val="SingleTxt"/>
        <w:spacing w:after="0" w:line="120" w:lineRule="exact"/>
        <w:rPr>
          <w:sz w:val="10"/>
        </w:rPr>
      </w:pPr>
    </w:p>
    <w:p w:rsidR="00000000" w:rsidRDefault="00000000">
      <w:pPr>
        <w:pStyle w:val="SingleTxt"/>
      </w:pPr>
      <w:r>
        <w:tab/>
        <w:t>Actualmente, Nigeria es miembro del comité de redacción de la Convención contra la Delincuencia Organizada Transnacional, que complementará un protocolo para prevenir, reprimir y sancionar la trata de personas, en particular mujeres y n</w:t>
      </w:r>
      <w:r>
        <w:t>i</w:t>
      </w:r>
      <w:r>
        <w:t>ños. Además, se han adoptado medidas para desarrollar la cooperación bilateral con Italia con miras a poner coto a la trata de mujeres nigerianas con destino a ese país. También está en marcha la labor conjunta con  la OIT para formular un programa regional contra la trata de niños en las subregiones del África central y occidental. Como consecuencia de esas medidas concertadas, el Gobierno de Nigeria inició r</w:t>
      </w:r>
      <w:r>
        <w:t>e</w:t>
      </w:r>
      <w:r>
        <w:t>cientemente la organización de una cumbre internacional sobre la trata de personas, el maltrato de niños, el trabajo infantil y la esclavitud.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7.0</w:t>
      </w:r>
      <w:r>
        <w:tab/>
        <w:t>Artículo 7: La mujer en la vida política y pública</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 xml:space="preserve">Medidas adoptadas, legislativas y de otra índole </w:t>
      </w:r>
    </w:p>
    <w:p w:rsidR="00000000" w:rsidRDefault="00000000">
      <w:pPr>
        <w:pStyle w:val="SingleTxt"/>
        <w:spacing w:after="0" w:line="120" w:lineRule="exact"/>
        <w:rPr>
          <w:sz w:val="10"/>
        </w:rPr>
      </w:pPr>
    </w:p>
    <w:p w:rsidR="00000000" w:rsidRDefault="00000000">
      <w:pPr>
        <w:pStyle w:val="SingleTxt"/>
      </w:pPr>
      <w:r>
        <w:tab/>
        <w:t>Con la ratificación de la Convención en 1985, Nigeria se comprometió ante la comunidad internacional a laborar en pro de la eliminación de la discriminación contra las mujeres y las niñas en todas las esferas: política, económica, social y cu</w:t>
      </w:r>
      <w:r>
        <w:t>l</w:t>
      </w:r>
      <w:r>
        <w:t>tural. Sin embargo, ha habido muy pocos avances en el nivel de participación de las mujeres en los puestos directivos de la vida política y pública, pese al mayor nivel de concienciación logrado por el Gobierno y otros asociados en materia de desarr</w:t>
      </w:r>
      <w:r>
        <w:t>o</w:t>
      </w:r>
      <w:r>
        <w:t>llo. Según el informe SAA 2001, “las mujeres y las niñas distan mucho de poder participar en pie de igualdad con los hombres y los niños”, pese a que en la esfera política existe una representación simbólica que indica una mejora gradual respecto de la situación existente hace dos decenios. Un ejemplo típico es el aumento marg</w:t>
      </w:r>
      <w:r>
        <w:t>i</w:t>
      </w:r>
      <w:r>
        <w:t>nal en el número de senadoras: de una de entre 95 en 1983 a tres de entre 109 en 1999 (SAA 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7.2 </w:t>
      </w:r>
      <w:r>
        <w:tab/>
        <w:t>Avances reales logrados para proteger a las mujeres y velar por la eliminación de la discriminación contra ellas.</w:t>
      </w:r>
    </w:p>
    <w:p w:rsidR="00000000" w:rsidRDefault="00000000">
      <w:pPr>
        <w:pStyle w:val="SingleTxt"/>
        <w:spacing w:after="0" w:line="120" w:lineRule="exact"/>
        <w:rPr>
          <w:sz w:val="10"/>
        </w:rPr>
      </w:pPr>
    </w:p>
    <w:p w:rsidR="00000000" w:rsidRDefault="00000000">
      <w:pPr>
        <w:pStyle w:val="SingleTxt"/>
      </w:pPr>
      <w:r>
        <w:tab/>
        <w:t>Los datos sobre las mujeres que ocupan cargos públicos o políticos (cuadros 7.5 y 7.6) muestran que el porcentaje de mujeres en cargos directivos en la vida p</w:t>
      </w:r>
      <w:r>
        <w:t>o</w:t>
      </w:r>
      <w:r>
        <w:t>lítica y pública osciló entre el 1,2 por ciento en 1992 y el 13,4 por ciento en 1999. De los 44 ministros del gabinete sólo seis (es decir, el 13,4 por ciento) son mujeres. De los 36 presidentes de las Asambleas de los Estados, sólo uno era mujer y acabó dimitiendo a causa de las presiones políticas de sus colegas masculinos. No hay g</w:t>
      </w:r>
      <w:r>
        <w:t>o</w:t>
      </w:r>
      <w:r>
        <w:t>bernadoras y sólo una vicegobernadora en el Estado de Lagos. Nueve (es decir, el 1,2 por ciento) de los 774 presidentes de municipios son mujeres. De 8.810 conc</w:t>
      </w:r>
      <w:r>
        <w:t>e</w:t>
      </w:r>
      <w:r>
        <w:t>jales, 143 (es decir, el 1,6 por ciento) son mujeres y tres (es decir, el 2,8 por ciento) de entre 109 senadores; en el caso de la Cámara de Representantes, 12 (es decir, el 3,3 por ciento) de los 360 diputados son mujeres. Los cuadros 7.1 y 7.2 muestran la proporción de mujeres que ocupan puestos políticos en los planos federal y estatal, mientras que los cuadros 7.3 y 7.4 muestran el número de funcionarios, por pobl</w:t>
      </w:r>
      <w:r>
        <w:t>a</w:t>
      </w:r>
      <w:r>
        <w:t>ción y sexo, en el Estado de Nassarawa, que se encuentra en la zona geopolítica centro-septentrional.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tab/>
      </w:r>
      <w:r>
        <w:rPr>
          <w:b w:val="0"/>
        </w:rPr>
        <w:tab/>
        <w:t>Cuadro 7.1</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Algunos nombramientos hechos por el gobierno civil en el plano federal </w:t>
      </w:r>
      <w:r>
        <w:br/>
        <w:t>en noviembre de 1999</w:t>
      </w:r>
    </w:p>
    <w:p w:rsidR="00000000" w:rsidRDefault="00000000">
      <w:pPr>
        <w:pStyle w:val="BodyText"/>
        <w:spacing w:line="120" w:lineRule="exact"/>
        <w:jc w:val="both"/>
        <w:rPr>
          <w:b/>
          <w:sz w:val="10"/>
        </w:rPr>
      </w:pPr>
      <w:r>
        <w:rPr>
          <w:b/>
          <w:sz w:val="10"/>
        </w:rPr>
        <w:t xml:space="preserve">   </w:t>
      </w:r>
    </w:p>
    <w:p w:rsidR="00000000" w:rsidRDefault="00000000">
      <w:pPr>
        <w:pStyle w:val="BodyText"/>
        <w:spacing w:line="120" w:lineRule="exact"/>
        <w:jc w:val="both"/>
        <w:rPr>
          <w:b/>
          <w:sz w:val="10"/>
        </w:rPr>
      </w:pPr>
    </w:p>
    <w:tbl>
      <w:tblPr>
        <w:tblW w:w="0" w:type="auto"/>
        <w:tblInd w:w="1269" w:type="dxa"/>
        <w:tblLayout w:type="fixed"/>
        <w:tblCellMar>
          <w:left w:w="0" w:type="dxa"/>
          <w:right w:w="0" w:type="dxa"/>
        </w:tblCellMar>
        <w:tblLook w:val="0000" w:firstRow="0" w:lastRow="0" w:firstColumn="0" w:lastColumn="0" w:noHBand="0" w:noVBand="0"/>
      </w:tblPr>
      <w:tblGrid>
        <w:gridCol w:w="695"/>
        <w:gridCol w:w="3665"/>
        <w:gridCol w:w="605"/>
        <w:gridCol w:w="785"/>
        <w:gridCol w:w="695"/>
        <w:gridCol w:w="875"/>
      </w:tblGrid>
      <w:tr w:rsidR="00000000">
        <w:tblPrEx>
          <w:tblCellMar>
            <w:top w:w="0" w:type="dxa"/>
            <w:left w:w="0" w:type="dxa"/>
            <w:bottom w:w="0" w:type="dxa"/>
            <w:right w:w="0" w:type="dxa"/>
          </w:tblCellMar>
        </w:tblPrEx>
        <w:trPr>
          <w:tblHeader/>
        </w:trPr>
        <w:tc>
          <w:tcPr>
            <w:tcW w:w="695" w:type="dxa"/>
            <w:tcBorders>
              <w:top w:val="single" w:sz="4" w:space="0" w:color="auto"/>
            </w:tcBorders>
            <w:vAlign w:val="bottom"/>
          </w:tcPr>
          <w:p w:rsidR="00000000" w:rsidRDefault="00000000">
            <w:pPr>
              <w:pStyle w:val="BodyText"/>
              <w:spacing w:before="80" w:after="80" w:line="160" w:lineRule="exact"/>
              <w:ind w:right="40"/>
              <w:jc w:val="both"/>
              <w:rPr>
                <w:i/>
                <w:sz w:val="14"/>
              </w:rPr>
            </w:pPr>
            <w:r>
              <w:rPr>
                <w:i/>
                <w:sz w:val="14"/>
              </w:rPr>
              <w:t>S/NO</w:t>
            </w:r>
          </w:p>
        </w:tc>
        <w:tc>
          <w:tcPr>
            <w:tcW w:w="3665" w:type="dxa"/>
            <w:tcBorders>
              <w:top w:val="single" w:sz="4" w:space="0" w:color="auto"/>
            </w:tcBorders>
            <w:vAlign w:val="bottom"/>
          </w:tcPr>
          <w:p w:rsidR="00000000" w:rsidRDefault="00000000">
            <w:pPr>
              <w:pStyle w:val="BodyText"/>
              <w:suppressAutoHyphens/>
              <w:spacing w:before="80" w:after="80" w:line="160" w:lineRule="exact"/>
              <w:ind w:right="40"/>
              <w:jc w:val="left"/>
              <w:rPr>
                <w:i/>
                <w:sz w:val="14"/>
              </w:rPr>
            </w:pPr>
            <w:r>
              <w:rPr>
                <w:i/>
                <w:sz w:val="14"/>
              </w:rPr>
              <w:t>Nombramiento</w:t>
            </w:r>
          </w:p>
        </w:tc>
        <w:tc>
          <w:tcPr>
            <w:tcW w:w="605"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Total</w:t>
            </w:r>
          </w:p>
        </w:tc>
        <w:tc>
          <w:tcPr>
            <w:tcW w:w="785"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Ho</w:t>
            </w:r>
            <w:r>
              <w:rPr>
                <w:i/>
                <w:sz w:val="14"/>
              </w:rPr>
              <w:t>m</w:t>
            </w:r>
            <w:r>
              <w:rPr>
                <w:i/>
                <w:sz w:val="14"/>
              </w:rPr>
              <w:t>bres</w:t>
            </w:r>
          </w:p>
        </w:tc>
        <w:tc>
          <w:tcPr>
            <w:tcW w:w="695"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Muj</w:t>
            </w:r>
            <w:r>
              <w:rPr>
                <w:i/>
                <w:sz w:val="14"/>
              </w:rPr>
              <w:t>e</w:t>
            </w:r>
            <w:r>
              <w:rPr>
                <w:i/>
                <w:sz w:val="14"/>
              </w:rPr>
              <w:t>res</w:t>
            </w:r>
          </w:p>
        </w:tc>
        <w:tc>
          <w:tcPr>
            <w:tcW w:w="875"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Porce</w:t>
            </w:r>
            <w:r>
              <w:rPr>
                <w:i/>
                <w:sz w:val="14"/>
              </w:rPr>
              <w:t>n</w:t>
            </w:r>
            <w:r>
              <w:rPr>
                <w:i/>
                <w:sz w:val="14"/>
              </w:rPr>
              <w:t>taje</w:t>
            </w:r>
          </w:p>
        </w:tc>
      </w:tr>
      <w:tr w:rsidR="00000000">
        <w:tblPrEx>
          <w:tblCellMar>
            <w:top w:w="0" w:type="dxa"/>
            <w:left w:w="0" w:type="dxa"/>
            <w:bottom w:w="0" w:type="dxa"/>
            <w:right w:w="0" w:type="dxa"/>
          </w:tblCellMar>
        </w:tblPrEx>
        <w:trPr>
          <w:trHeight w:hRule="exact" w:val="115"/>
          <w:tblHeader/>
        </w:trPr>
        <w:tc>
          <w:tcPr>
            <w:tcW w:w="695" w:type="dxa"/>
            <w:tcBorders>
              <w:top w:val="single" w:sz="12" w:space="0" w:color="auto"/>
            </w:tcBorders>
            <w:vAlign w:val="bottom"/>
          </w:tcPr>
          <w:p w:rsidR="00000000" w:rsidRDefault="00000000">
            <w:pPr>
              <w:pStyle w:val="BodyText"/>
              <w:spacing w:before="40" w:after="40" w:line="210" w:lineRule="exact"/>
              <w:ind w:right="40"/>
              <w:jc w:val="both"/>
              <w:rPr>
                <w:sz w:val="17"/>
              </w:rPr>
            </w:pPr>
          </w:p>
        </w:tc>
        <w:tc>
          <w:tcPr>
            <w:tcW w:w="3665" w:type="dxa"/>
            <w:tcBorders>
              <w:top w:val="single" w:sz="12" w:space="0" w:color="auto"/>
            </w:tcBorders>
            <w:vAlign w:val="bottom"/>
          </w:tcPr>
          <w:p w:rsidR="00000000" w:rsidRDefault="00000000">
            <w:pPr>
              <w:pStyle w:val="BodyText"/>
              <w:suppressAutoHyphens/>
              <w:spacing w:before="40" w:after="40" w:line="210" w:lineRule="exact"/>
              <w:ind w:right="40"/>
              <w:jc w:val="left"/>
              <w:rPr>
                <w:sz w:val="17"/>
              </w:rPr>
            </w:pPr>
          </w:p>
        </w:tc>
        <w:tc>
          <w:tcPr>
            <w:tcW w:w="605"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785"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695"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875" w:type="dxa"/>
            <w:tcBorders>
              <w:top w:val="single" w:sz="12" w:space="0" w:color="auto"/>
            </w:tcBorders>
            <w:vAlign w:val="bottom"/>
          </w:tcPr>
          <w:p w:rsidR="00000000" w:rsidRDefault="00000000">
            <w:pPr>
              <w:pStyle w:val="BodyText"/>
              <w:spacing w:before="40" w:after="40" w:line="210" w:lineRule="exact"/>
              <w:ind w:right="40"/>
              <w:jc w:val="right"/>
              <w:rPr>
                <w:sz w:val="17"/>
              </w:rPr>
            </w:pPr>
          </w:p>
        </w:tc>
      </w:tr>
      <w:tr w:rsidR="00000000">
        <w:tblPrEx>
          <w:tblCellMar>
            <w:top w:w="0" w:type="dxa"/>
            <w:left w:w="0" w:type="dxa"/>
            <w:bottom w:w="0" w:type="dxa"/>
            <w:right w:w="0" w:type="dxa"/>
          </w:tblCellMar>
        </w:tblPrEx>
        <w:tc>
          <w:tcPr>
            <w:tcW w:w="69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1</w:t>
            </w:r>
          </w:p>
        </w:tc>
        <w:tc>
          <w:tcPr>
            <w:tcW w:w="36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Grupo federal de expertos sobre violaciones de los derechos humanos y muertes misteriosas</w:t>
            </w:r>
          </w:p>
        </w:tc>
        <w:tc>
          <w:tcPr>
            <w:tcW w:w="60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7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69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87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69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2</w:t>
            </w:r>
          </w:p>
        </w:tc>
        <w:tc>
          <w:tcPr>
            <w:tcW w:w="36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Grupo de expertos en el examen de contratos</w:t>
            </w:r>
          </w:p>
        </w:tc>
        <w:tc>
          <w:tcPr>
            <w:tcW w:w="60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7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69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87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69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3</w:t>
            </w:r>
          </w:p>
        </w:tc>
        <w:tc>
          <w:tcPr>
            <w:tcW w:w="36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Funcionarios principales en la Oficina de los Vicepresidentes</w:t>
            </w:r>
          </w:p>
        </w:tc>
        <w:tc>
          <w:tcPr>
            <w:tcW w:w="60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7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69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87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69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4</w:t>
            </w:r>
          </w:p>
        </w:tc>
        <w:tc>
          <w:tcPr>
            <w:tcW w:w="36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Secretarios permanentes del Gobierno Federal</w:t>
            </w:r>
          </w:p>
        </w:tc>
        <w:tc>
          <w:tcPr>
            <w:tcW w:w="60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35</w:t>
            </w:r>
          </w:p>
        </w:tc>
        <w:tc>
          <w:tcPr>
            <w:tcW w:w="7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32</w:t>
            </w:r>
          </w:p>
        </w:tc>
        <w:tc>
          <w:tcPr>
            <w:tcW w:w="69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87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69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5</w:t>
            </w:r>
          </w:p>
        </w:tc>
        <w:tc>
          <w:tcPr>
            <w:tcW w:w="36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Grupo de expertos en investigación del incumplimiento de contratos en la Administración de Buhari</w:t>
            </w:r>
          </w:p>
        </w:tc>
        <w:tc>
          <w:tcPr>
            <w:tcW w:w="60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w:t>
            </w:r>
          </w:p>
        </w:tc>
        <w:tc>
          <w:tcPr>
            <w:tcW w:w="7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69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87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69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6</w:t>
            </w:r>
          </w:p>
        </w:tc>
        <w:tc>
          <w:tcPr>
            <w:tcW w:w="36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Consejo Ejecutivo Federal</w:t>
            </w:r>
          </w:p>
        </w:tc>
        <w:tc>
          <w:tcPr>
            <w:tcW w:w="60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49</w:t>
            </w:r>
          </w:p>
        </w:tc>
        <w:tc>
          <w:tcPr>
            <w:tcW w:w="7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43</w:t>
            </w:r>
          </w:p>
        </w:tc>
        <w:tc>
          <w:tcPr>
            <w:tcW w:w="69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87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69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7</w:t>
            </w:r>
          </w:p>
        </w:tc>
        <w:tc>
          <w:tcPr>
            <w:tcW w:w="36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Grupo de expertos en investigación de la propiedad de la tierra(Transacciones de propiedad de tierras entre enero de 1984 y mayo de 1999)</w:t>
            </w:r>
          </w:p>
        </w:tc>
        <w:tc>
          <w:tcPr>
            <w:tcW w:w="60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7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69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87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69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8</w:t>
            </w:r>
          </w:p>
        </w:tc>
        <w:tc>
          <w:tcPr>
            <w:tcW w:w="36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Asesores especiales principales del Presidente</w:t>
            </w:r>
          </w:p>
        </w:tc>
        <w:tc>
          <w:tcPr>
            <w:tcW w:w="60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w:t>
            </w:r>
          </w:p>
        </w:tc>
        <w:tc>
          <w:tcPr>
            <w:tcW w:w="7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w:t>
            </w:r>
          </w:p>
        </w:tc>
        <w:tc>
          <w:tcPr>
            <w:tcW w:w="69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87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69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9</w:t>
            </w:r>
          </w:p>
        </w:tc>
        <w:tc>
          <w:tcPr>
            <w:tcW w:w="36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Ayudantes principales del Presidente</w:t>
            </w:r>
          </w:p>
        </w:tc>
        <w:tc>
          <w:tcPr>
            <w:tcW w:w="60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7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69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87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69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10</w:t>
            </w:r>
          </w:p>
        </w:tc>
        <w:tc>
          <w:tcPr>
            <w:tcW w:w="36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 xml:space="preserve">Otros nombramientos federales (jefes de servicio, Gobernador del Banco Central de Nigeria, Director General de la Corporación Nacional del Petróleo de Nigeria) </w:t>
            </w:r>
          </w:p>
        </w:tc>
        <w:tc>
          <w:tcPr>
            <w:tcW w:w="60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c>
          <w:tcPr>
            <w:tcW w:w="7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c>
          <w:tcPr>
            <w:tcW w:w="69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87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69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11</w:t>
            </w:r>
          </w:p>
        </w:tc>
        <w:tc>
          <w:tcPr>
            <w:tcW w:w="36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Presidentes de las cinco comisiones especiales creadas por la Cámara de Represe</w:t>
            </w:r>
            <w:r>
              <w:rPr>
                <w:sz w:val="17"/>
              </w:rPr>
              <w:t>n</w:t>
            </w:r>
            <w:r>
              <w:rPr>
                <w:sz w:val="17"/>
              </w:rPr>
              <w:t>tantes</w:t>
            </w:r>
          </w:p>
        </w:tc>
        <w:tc>
          <w:tcPr>
            <w:tcW w:w="60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7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69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87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69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12</w:t>
            </w:r>
          </w:p>
        </w:tc>
        <w:tc>
          <w:tcPr>
            <w:tcW w:w="36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Presidentes y adjuntos de las comisiones del Senado</w:t>
            </w:r>
          </w:p>
        </w:tc>
        <w:tc>
          <w:tcPr>
            <w:tcW w:w="60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90</w:t>
            </w:r>
          </w:p>
        </w:tc>
        <w:tc>
          <w:tcPr>
            <w:tcW w:w="7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89</w:t>
            </w:r>
          </w:p>
        </w:tc>
        <w:tc>
          <w:tcPr>
            <w:tcW w:w="69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87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69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13</w:t>
            </w:r>
          </w:p>
        </w:tc>
        <w:tc>
          <w:tcPr>
            <w:tcW w:w="36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Miembros de la Comisión Fiscal y de Movilización y Asignación de Ingresos</w:t>
            </w:r>
          </w:p>
        </w:tc>
        <w:tc>
          <w:tcPr>
            <w:tcW w:w="60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38</w:t>
            </w:r>
          </w:p>
        </w:tc>
        <w:tc>
          <w:tcPr>
            <w:tcW w:w="7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37</w:t>
            </w:r>
          </w:p>
        </w:tc>
        <w:tc>
          <w:tcPr>
            <w:tcW w:w="69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87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69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14</w:t>
            </w:r>
          </w:p>
        </w:tc>
        <w:tc>
          <w:tcPr>
            <w:tcW w:w="36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Nombramientos de embajadores</w:t>
            </w:r>
          </w:p>
        </w:tc>
        <w:tc>
          <w:tcPr>
            <w:tcW w:w="60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106</w:t>
            </w:r>
          </w:p>
        </w:tc>
        <w:tc>
          <w:tcPr>
            <w:tcW w:w="7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96</w:t>
            </w:r>
          </w:p>
        </w:tc>
        <w:tc>
          <w:tcPr>
            <w:tcW w:w="69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87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695" w:type="dxa"/>
            <w:tcBorders>
              <w:bottom w:val="single" w:sz="12" w:space="0" w:color="auto"/>
            </w:tcBorders>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15</w:t>
            </w:r>
          </w:p>
        </w:tc>
        <w:tc>
          <w:tcPr>
            <w:tcW w:w="3665"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Miembros de la Comisión Nacional Electoral Independiente</w:t>
            </w:r>
          </w:p>
        </w:tc>
        <w:tc>
          <w:tcPr>
            <w:tcW w:w="605"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785"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695"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875"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33</w:t>
            </w:r>
          </w:p>
        </w:tc>
      </w:tr>
    </w:tbl>
    <w:p w:rsidR="00000000" w:rsidRDefault="00000000">
      <w:pPr>
        <w:pStyle w:val="BodyText"/>
        <w:spacing w:line="120" w:lineRule="exact"/>
        <w:jc w:val="both"/>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GADA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ab/>
      </w:r>
      <w:r>
        <w:rPr>
          <w:b w:val="0"/>
        </w:rPr>
        <w:tab/>
        <w:t>Cuadro 7.2</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Algunos nombramientos hechos por los gobiernos civiles a nivel </w:t>
      </w:r>
      <w:r>
        <w:br/>
        <w:t>estatal en noviembre de 1999</w:t>
      </w:r>
    </w:p>
    <w:p w:rsidR="00000000" w:rsidRDefault="00000000">
      <w:pPr>
        <w:pStyle w:val="BodyText"/>
        <w:spacing w:line="120" w:lineRule="exact"/>
        <w:ind w:left="120"/>
        <w:jc w:val="both"/>
        <w:rPr>
          <w:b/>
          <w:sz w:val="10"/>
        </w:rPr>
      </w:pPr>
    </w:p>
    <w:p w:rsidR="00000000" w:rsidRDefault="00000000">
      <w:pPr>
        <w:pStyle w:val="BodyText"/>
        <w:spacing w:line="120" w:lineRule="exact"/>
        <w:ind w:left="120"/>
        <w:jc w:val="both"/>
        <w:rPr>
          <w:b/>
          <w:sz w:val="10"/>
        </w:rPr>
      </w:pPr>
    </w:p>
    <w:tbl>
      <w:tblPr>
        <w:tblW w:w="0" w:type="auto"/>
        <w:tblInd w:w="1161" w:type="dxa"/>
        <w:tblLayout w:type="fixed"/>
        <w:tblLook w:val="0000" w:firstRow="0" w:lastRow="0" w:firstColumn="0" w:lastColumn="0" w:noHBand="0" w:noVBand="0"/>
      </w:tblPr>
      <w:tblGrid>
        <w:gridCol w:w="685"/>
        <w:gridCol w:w="3556"/>
        <w:gridCol w:w="630"/>
        <w:gridCol w:w="810"/>
        <w:gridCol w:w="720"/>
        <w:gridCol w:w="900"/>
      </w:tblGrid>
      <w:tr w:rsidR="00000000">
        <w:tblPrEx>
          <w:tblCellMar>
            <w:top w:w="0" w:type="dxa"/>
            <w:bottom w:w="0" w:type="dxa"/>
          </w:tblCellMar>
        </w:tblPrEx>
        <w:trPr>
          <w:tblHeader/>
        </w:trPr>
        <w:tc>
          <w:tcPr>
            <w:tcW w:w="685" w:type="dxa"/>
            <w:tcBorders>
              <w:top w:val="single" w:sz="4" w:space="0" w:color="auto"/>
            </w:tcBorders>
            <w:vAlign w:val="bottom"/>
          </w:tcPr>
          <w:p w:rsidR="00000000" w:rsidRDefault="00000000">
            <w:pPr>
              <w:pStyle w:val="BodyText"/>
              <w:spacing w:before="80" w:after="80" w:line="160" w:lineRule="exact"/>
              <w:ind w:right="40"/>
              <w:jc w:val="both"/>
              <w:rPr>
                <w:i/>
                <w:sz w:val="14"/>
              </w:rPr>
            </w:pPr>
            <w:r>
              <w:rPr>
                <w:i/>
                <w:sz w:val="14"/>
              </w:rPr>
              <w:t>S/NO</w:t>
            </w:r>
          </w:p>
        </w:tc>
        <w:tc>
          <w:tcPr>
            <w:tcW w:w="3556" w:type="dxa"/>
            <w:tcBorders>
              <w:top w:val="single" w:sz="4" w:space="0" w:color="auto"/>
            </w:tcBorders>
            <w:vAlign w:val="bottom"/>
          </w:tcPr>
          <w:p w:rsidR="00000000" w:rsidRDefault="00000000">
            <w:pPr>
              <w:pStyle w:val="BodyText"/>
              <w:spacing w:before="80" w:after="80" w:line="160" w:lineRule="exact"/>
              <w:ind w:right="40"/>
              <w:jc w:val="left"/>
              <w:rPr>
                <w:i/>
                <w:sz w:val="14"/>
              </w:rPr>
            </w:pPr>
            <w:r>
              <w:rPr>
                <w:i/>
                <w:sz w:val="14"/>
              </w:rPr>
              <w:t>Nombramiento</w:t>
            </w:r>
          </w:p>
        </w:tc>
        <w:tc>
          <w:tcPr>
            <w:tcW w:w="630"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T</w:t>
            </w:r>
            <w:r>
              <w:rPr>
                <w:i/>
                <w:sz w:val="14"/>
              </w:rPr>
              <w:t>o</w:t>
            </w:r>
            <w:r>
              <w:rPr>
                <w:i/>
                <w:sz w:val="14"/>
              </w:rPr>
              <w:t>tal</w:t>
            </w:r>
          </w:p>
        </w:tc>
        <w:tc>
          <w:tcPr>
            <w:tcW w:w="810"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Ho</w:t>
            </w:r>
            <w:r>
              <w:rPr>
                <w:i/>
                <w:sz w:val="14"/>
              </w:rPr>
              <w:t>m</w:t>
            </w:r>
            <w:r>
              <w:rPr>
                <w:i/>
                <w:sz w:val="14"/>
              </w:rPr>
              <w:t>bres</w:t>
            </w:r>
          </w:p>
        </w:tc>
        <w:tc>
          <w:tcPr>
            <w:tcW w:w="720"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Muj</w:t>
            </w:r>
            <w:r>
              <w:rPr>
                <w:i/>
                <w:sz w:val="14"/>
              </w:rPr>
              <w:t>e</w:t>
            </w:r>
            <w:r>
              <w:rPr>
                <w:i/>
                <w:sz w:val="14"/>
              </w:rPr>
              <w:t>res</w:t>
            </w:r>
          </w:p>
        </w:tc>
        <w:tc>
          <w:tcPr>
            <w:tcW w:w="900"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Po</w:t>
            </w:r>
            <w:r>
              <w:rPr>
                <w:i/>
                <w:sz w:val="14"/>
              </w:rPr>
              <w:t>r</w:t>
            </w:r>
            <w:r>
              <w:rPr>
                <w:i/>
                <w:sz w:val="14"/>
              </w:rPr>
              <w:t>centaje</w:t>
            </w:r>
          </w:p>
        </w:tc>
      </w:tr>
      <w:tr w:rsidR="00000000">
        <w:tblPrEx>
          <w:tblCellMar>
            <w:top w:w="0" w:type="dxa"/>
            <w:bottom w:w="0" w:type="dxa"/>
          </w:tblCellMar>
        </w:tblPrEx>
        <w:trPr>
          <w:trHeight w:hRule="exact" w:val="115"/>
          <w:tblHeader/>
        </w:trPr>
        <w:tc>
          <w:tcPr>
            <w:tcW w:w="685" w:type="dxa"/>
            <w:tcBorders>
              <w:top w:val="single" w:sz="12" w:space="0" w:color="auto"/>
            </w:tcBorders>
            <w:vAlign w:val="bottom"/>
          </w:tcPr>
          <w:p w:rsidR="00000000" w:rsidRDefault="00000000">
            <w:pPr>
              <w:pStyle w:val="BodyText"/>
              <w:spacing w:before="40" w:after="40" w:line="210" w:lineRule="exact"/>
              <w:ind w:right="40"/>
              <w:jc w:val="both"/>
              <w:rPr>
                <w:sz w:val="17"/>
              </w:rPr>
            </w:pPr>
          </w:p>
        </w:tc>
        <w:tc>
          <w:tcPr>
            <w:tcW w:w="3556" w:type="dxa"/>
            <w:tcBorders>
              <w:top w:val="single" w:sz="12" w:space="0" w:color="auto"/>
            </w:tcBorders>
            <w:vAlign w:val="bottom"/>
          </w:tcPr>
          <w:p w:rsidR="00000000" w:rsidRDefault="00000000">
            <w:pPr>
              <w:pStyle w:val="BodyText"/>
              <w:spacing w:before="40" w:after="40" w:line="210" w:lineRule="exact"/>
              <w:ind w:right="40"/>
              <w:jc w:val="left"/>
              <w:rPr>
                <w:sz w:val="17"/>
              </w:rPr>
            </w:pPr>
          </w:p>
        </w:tc>
        <w:tc>
          <w:tcPr>
            <w:tcW w:w="630"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810"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720"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900" w:type="dxa"/>
            <w:tcBorders>
              <w:top w:val="single" w:sz="12" w:space="0" w:color="auto"/>
            </w:tcBorders>
            <w:vAlign w:val="bottom"/>
          </w:tcPr>
          <w:p w:rsidR="00000000" w:rsidRDefault="00000000">
            <w:pPr>
              <w:pStyle w:val="BodyText"/>
              <w:spacing w:before="40" w:after="40" w:line="210" w:lineRule="exact"/>
              <w:ind w:right="40"/>
              <w:jc w:val="right"/>
              <w:rPr>
                <w:sz w:val="17"/>
              </w:rPr>
            </w:pP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1</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Oyo</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2</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Asesores especiales del Gobernador del Estado de Abia</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3</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Akwa Ibom</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4</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Ebonyi</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5</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Osun</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6</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 xml:space="preserve">Comisionados del Estado de Imo </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7</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Abia</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8</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Edo</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9</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Lagos</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10</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Zamfara</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11</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Asesores especiales del Gobernador del Estado de Zamf</w:t>
            </w:r>
            <w:r>
              <w:rPr>
                <w:sz w:val="17"/>
              </w:rPr>
              <w:t>a</w:t>
            </w:r>
            <w:r>
              <w:rPr>
                <w:sz w:val="17"/>
              </w:rPr>
              <w:t>ra</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12</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Enugu</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13</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Plateau</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14</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Otros nombramientos en el Estado de Lagos (asesores especiales, Contador General y Jefe de Se</w:t>
            </w:r>
            <w:r>
              <w:rPr>
                <w:sz w:val="17"/>
              </w:rPr>
              <w:t>r</w:t>
            </w:r>
            <w:r>
              <w:rPr>
                <w:sz w:val="17"/>
              </w:rPr>
              <w:t>vicio)</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15</w:t>
            </w:r>
          </w:p>
        </w:tc>
        <w:tc>
          <w:tcPr>
            <w:tcW w:w="355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Seis miembros de la comisión creada por el Gobernador del Estado de Rivers para investigar las administraciones ant</w:t>
            </w:r>
            <w:r>
              <w:rPr>
                <w:sz w:val="17"/>
              </w:rPr>
              <w:t>e</w:t>
            </w:r>
            <w:r>
              <w:rPr>
                <w:sz w:val="17"/>
              </w:rPr>
              <w:t>riores</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16</w:t>
            </w:r>
          </w:p>
        </w:tc>
        <w:tc>
          <w:tcPr>
            <w:tcW w:w="355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Secretarios permanentes nombrados por el Gobernador del Estado de Edo</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19</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17</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Asesores especiales del Gobernador de Bayelsa</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18</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Kano</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19</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Sokoto</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20</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Cross River</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21</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Secretarios permanentes recién nombrados en el Estado de Cross River</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22</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del Delta</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23</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Kwara</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24</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Benue</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25</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Ogun</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26</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Rivers</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27</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Taraba</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28</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Comisionados del Estado de Kaduna</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85"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29</w:t>
            </w:r>
          </w:p>
        </w:tc>
        <w:tc>
          <w:tcPr>
            <w:tcW w:w="3556"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Secretarios permanentes del Estado de Kaduna</w:t>
            </w:r>
          </w:p>
        </w:tc>
        <w:tc>
          <w:tcPr>
            <w:tcW w:w="63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22</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17</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bottom w:w="0" w:type="dxa"/>
          </w:tblCellMar>
        </w:tblPrEx>
        <w:tc>
          <w:tcPr>
            <w:tcW w:w="685" w:type="dxa"/>
            <w:tcBorders>
              <w:bottom w:val="single" w:sz="12" w:space="0" w:color="auto"/>
            </w:tcBorders>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30</w:t>
            </w:r>
          </w:p>
        </w:tc>
        <w:tc>
          <w:tcPr>
            <w:tcW w:w="3556"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Jefe de Servicio de Cross River</w:t>
            </w:r>
          </w:p>
        </w:tc>
        <w:tc>
          <w:tcPr>
            <w:tcW w:w="63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81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c>
          <w:tcPr>
            <w:tcW w:w="72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0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100</w:t>
            </w:r>
          </w:p>
        </w:tc>
      </w:tr>
    </w:tbl>
    <w:p w:rsidR="00000000" w:rsidRDefault="00000000">
      <w:pPr>
        <w:pStyle w:val="BodyText"/>
        <w:spacing w:line="120" w:lineRule="exact"/>
        <w:ind w:left="1413"/>
        <w:jc w:val="both"/>
        <w:rPr>
          <w:b/>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GADA 1999.</w:t>
      </w:r>
    </w:p>
    <w:p w:rsidR="00000000" w:rsidRDefault="00000000">
      <w:pPr>
        <w:pStyle w:val="BodyText"/>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tab/>
      </w:r>
      <w:r>
        <w:tab/>
      </w:r>
      <w:r>
        <w:rPr>
          <w:b w:val="0"/>
        </w:rPr>
        <w:t>Cuadro 7.3</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Número de funcionarios del Estado de Nassarawa, con los porcentajes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correspondientes a la población y al sexo</w:t>
      </w:r>
    </w:p>
    <w:p w:rsidR="00000000" w:rsidRDefault="00000000">
      <w:pPr>
        <w:pStyle w:val="BodyText"/>
        <w:spacing w:line="120" w:lineRule="exact"/>
        <w:jc w:val="both"/>
        <w:rPr>
          <w:b/>
          <w:sz w:val="10"/>
        </w:rPr>
      </w:pPr>
    </w:p>
    <w:tbl>
      <w:tblPr>
        <w:tblW w:w="0" w:type="auto"/>
        <w:tblInd w:w="1161" w:type="dxa"/>
        <w:tblLayout w:type="fixed"/>
        <w:tblLook w:val="0000" w:firstRow="0" w:lastRow="0" w:firstColumn="0" w:lastColumn="0" w:noHBand="0" w:noVBand="0"/>
      </w:tblPr>
      <w:tblGrid>
        <w:gridCol w:w="11"/>
        <w:gridCol w:w="675"/>
        <w:gridCol w:w="3465"/>
        <w:gridCol w:w="900"/>
        <w:gridCol w:w="810"/>
        <w:gridCol w:w="720"/>
        <w:gridCol w:w="900"/>
      </w:tblGrid>
      <w:tr w:rsidR="00000000">
        <w:tblPrEx>
          <w:tblCellMar>
            <w:top w:w="0" w:type="dxa"/>
            <w:bottom w:w="0" w:type="dxa"/>
          </w:tblCellMar>
        </w:tblPrEx>
        <w:trPr>
          <w:tblHeader/>
        </w:trPr>
        <w:tc>
          <w:tcPr>
            <w:tcW w:w="686" w:type="dxa"/>
            <w:gridSpan w:val="2"/>
            <w:tcBorders>
              <w:top w:val="single" w:sz="4" w:space="0" w:color="auto"/>
              <w:bottom w:val="single" w:sz="12" w:space="0" w:color="auto"/>
            </w:tcBorders>
            <w:vAlign w:val="bottom"/>
          </w:tcPr>
          <w:p w:rsidR="00000000" w:rsidRDefault="00000000">
            <w:pPr>
              <w:pStyle w:val="BodyText"/>
              <w:spacing w:before="80" w:after="80" w:line="160" w:lineRule="exact"/>
              <w:ind w:right="40"/>
              <w:rPr>
                <w:i/>
                <w:sz w:val="14"/>
              </w:rPr>
            </w:pPr>
            <w:r>
              <w:rPr>
                <w:i/>
                <w:sz w:val="14"/>
              </w:rPr>
              <w:t>S/NO</w:t>
            </w:r>
          </w:p>
        </w:tc>
        <w:tc>
          <w:tcPr>
            <w:tcW w:w="3465" w:type="dxa"/>
            <w:tcBorders>
              <w:top w:val="single" w:sz="4" w:space="0" w:color="auto"/>
              <w:bottom w:val="single" w:sz="12" w:space="0" w:color="auto"/>
            </w:tcBorders>
            <w:vAlign w:val="bottom"/>
          </w:tcPr>
          <w:p w:rsidR="00000000" w:rsidRDefault="00000000">
            <w:pPr>
              <w:pStyle w:val="BodyText"/>
              <w:spacing w:before="80" w:after="80" w:line="160" w:lineRule="exact"/>
              <w:ind w:right="40"/>
              <w:jc w:val="left"/>
              <w:rPr>
                <w:i/>
                <w:sz w:val="14"/>
              </w:rPr>
            </w:pPr>
            <w:r>
              <w:rPr>
                <w:i/>
                <w:sz w:val="14"/>
              </w:rPr>
              <w:t>Cargo</w:t>
            </w:r>
          </w:p>
        </w:tc>
        <w:tc>
          <w:tcPr>
            <w:tcW w:w="900" w:type="dxa"/>
            <w:tcBorders>
              <w:top w:val="single" w:sz="4" w:space="0" w:color="auto"/>
              <w:bottom w:val="single" w:sz="12" w:space="0" w:color="auto"/>
            </w:tcBorders>
            <w:vAlign w:val="bottom"/>
          </w:tcPr>
          <w:p w:rsidR="00000000" w:rsidRDefault="00000000">
            <w:pPr>
              <w:pStyle w:val="BodyText"/>
              <w:spacing w:before="80" w:after="80" w:line="160" w:lineRule="exact"/>
              <w:ind w:right="40"/>
              <w:jc w:val="right"/>
              <w:rPr>
                <w:i/>
                <w:sz w:val="14"/>
              </w:rPr>
            </w:pPr>
            <w:r>
              <w:rPr>
                <w:i/>
                <w:sz w:val="14"/>
              </w:rPr>
              <w:t>N</w:t>
            </w:r>
            <w:r>
              <w:rPr>
                <w:i/>
                <w:sz w:val="14"/>
                <w:lang w:val="es-ES_tradnl"/>
              </w:rPr>
              <w:t>ú</w:t>
            </w:r>
            <w:r>
              <w:rPr>
                <w:i/>
                <w:sz w:val="14"/>
              </w:rPr>
              <w:t>mero de fuci</w:t>
            </w:r>
            <w:r>
              <w:rPr>
                <w:i/>
                <w:sz w:val="14"/>
              </w:rPr>
              <w:t>o</w:t>
            </w:r>
            <w:r>
              <w:rPr>
                <w:i/>
                <w:sz w:val="14"/>
              </w:rPr>
              <w:t>narios</w:t>
            </w:r>
          </w:p>
        </w:tc>
        <w:tc>
          <w:tcPr>
            <w:tcW w:w="810" w:type="dxa"/>
            <w:tcBorders>
              <w:top w:val="single" w:sz="4" w:space="0" w:color="auto"/>
              <w:bottom w:val="single" w:sz="12" w:space="0" w:color="auto"/>
            </w:tcBorders>
            <w:vAlign w:val="bottom"/>
          </w:tcPr>
          <w:p w:rsidR="00000000" w:rsidRDefault="00000000">
            <w:pPr>
              <w:pStyle w:val="BodyText"/>
              <w:spacing w:before="80" w:after="80" w:line="160" w:lineRule="exact"/>
              <w:ind w:right="40"/>
              <w:jc w:val="right"/>
              <w:rPr>
                <w:i/>
                <w:sz w:val="14"/>
              </w:rPr>
            </w:pPr>
            <w:r>
              <w:rPr>
                <w:i/>
                <w:sz w:val="14"/>
              </w:rPr>
              <w:t>Ho</w:t>
            </w:r>
            <w:r>
              <w:rPr>
                <w:i/>
                <w:sz w:val="14"/>
              </w:rPr>
              <w:t>m</w:t>
            </w:r>
            <w:r>
              <w:rPr>
                <w:i/>
                <w:sz w:val="14"/>
              </w:rPr>
              <w:t>bres</w:t>
            </w:r>
          </w:p>
        </w:tc>
        <w:tc>
          <w:tcPr>
            <w:tcW w:w="720" w:type="dxa"/>
            <w:tcBorders>
              <w:top w:val="single" w:sz="4" w:space="0" w:color="auto"/>
              <w:bottom w:val="single" w:sz="12" w:space="0" w:color="auto"/>
            </w:tcBorders>
            <w:vAlign w:val="bottom"/>
          </w:tcPr>
          <w:p w:rsidR="00000000" w:rsidRDefault="00000000">
            <w:pPr>
              <w:pStyle w:val="BodyText"/>
              <w:spacing w:before="80" w:after="80" w:line="160" w:lineRule="exact"/>
              <w:ind w:right="40"/>
              <w:jc w:val="right"/>
              <w:rPr>
                <w:i/>
                <w:sz w:val="14"/>
              </w:rPr>
            </w:pPr>
            <w:r>
              <w:rPr>
                <w:i/>
                <w:sz w:val="14"/>
              </w:rPr>
              <w:t>Mujeres</w:t>
            </w:r>
          </w:p>
        </w:tc>
        <w:tc>
          <w:tcPr>
            <w:tcW w:w="900" w:type="dxa"/>
            <w:tcBorders>
              <w:top w:val="single" w:sz="4" w:space="0" w:color="auto"/>
              <w:bottom w:val="single" w:sz="12" w:space="0" w:color="auto"/>
            </w:tcBorders>
            <w:vAlign w:val="bottom"/>
          </w:tcPr>
          <w:p w:rsidR="00000000" w:rsidRDefault="00000000">
            <w:pPr>
              <w:pStyle w:val="BodyText"/>
              <w:spacing w:before="80" w:after="80" w:line="160" w:lineRule="exact"/>
              <w:ind w:right="40"/>
              <w:jc w:val="right"/>
              <w:rPr>
                <w:i/>
                <w:sz w:val="14"/>
              </w:rPr>
            </w:pPr>
            <w:r>
              <w:rPr>
                <w:i/>
                <w:sz w:val="14"/>
              </w:rPr>
              <w:t>Porcentaje de mujeres</w:t>
            </w:r>
          </w:p>
        </w:tc>
      </w:tr>
      <w:tr w:rsidR="00000000">
        <w:tblPrEx>
          <w:tblCellMar>
            <w:top w:w="0" w:type="dxa"/>
            <w:bottom w:w="0" w:type="dxa"/>
          </w:tblCellMar>
        </w:tblPrEx>
        <w:trPr>
          <w:trHeight w:hRule="exact" w:val="115"/>
          <w:tblHeader/>
        </w:trPr>
        <w:tc>
          <w:tcPr>
            <w:tcW w:w="686" w:type="dxa"/>
            <w:gridSpan w:val="2"/>
            <w:vAlign w:val="bottom"/>
          </w:tcPr>
          <w:p w:rsidR="00000000" w:rsidRDefault="00000000">
            <w:pPr>
              <w:pStyle w:val="BodyText"/>
              <w:spacing w:before="40" w:after="40" w:line="210" w:lineRule="exact"/>
              <w:ind w:right="40"/>
              <w:jc w:val="both"/>
              <w:rPr>
                <w:sz w:val="17"/>
              </w:rPr>
            </w:pPr>
          </w:p>
        </w:tc>
        <w:tc>
          <w:tcPr>
            <w:tcW w:w="3465" w:type="dxa"/>
            <w:vAlign w:val="bottom"/>
          </w:tcPr>
          <w:p w:rsidR="00000000" w:rsidRDefault="00000000">
            <w:pPr>
              <w:pStyle w:val="BodyText"/>
              <w:spacing w:before="40" w:after="40" w:line="210" w:lineRule="exact"/>
              <w:ind w:right="40"/>
              <w:jc w:val="left"/>
              <w:rPr>
                <w:sz w:val="17"/>
              </w:rPr>
            </w:pPr>
          </w:p>
        </w:tc>
        <w:tc>
          <w:tcPr>
            <w:tcW w:w="900" w:type="dxa"/>
            <w:vAlign w:val="bottom"/>
          </w:tcPr>
          <w:p w:rsidR="00000000" w:rsidRDefault="00000000">
            <w:pPr>
              <w:pStyle w:val="BodyText"/>
              <w:spacing w:before="40" w:after="40" w:line="210" w:lineRule="exact"/>
              <w:ind w:right="40"/>
              <w:jc w:val="right"/>
              <w:rPr>
                <w:sz w:val="17"/>
              </w:rPr>
            </w:pPr>
          </w:p>
        </w:tc>
        <w:tc>
          <w:tcPr>
            <w:tcW w:w="810" w:type="dxa"/>
            <w:vAlign w:val="bottom"/>
          </w:tcPr>
          <w:p w:rsidR="00000000" w:rsidRDefault="00000000">
            <w:pPr>
              <w:pStyle w:val="BodyText"/>
              <w:spacing w:before="40" w:after="40" w:line="210" w:lineRule="exact"/>
              <w:ind w:right="40"/>
              <w:jc w:val="right"/>
              <w:rPr>
                <w:sz w:val="17"/>
              </w:rPr>
            </w:pPr>
          </w:p>
        </w:tc>
        <w:tc>
          <w:tcPr>
            <w:tcW w:w="720" w:type="dxa"/>
            <w:vAlign w:val="bottom"/>
          </w:tcPr>
          <w:p w:rsidR="00000000" w:rsidRDefault="00000000">
            <w:pPr>
              <w:pStyle w:val="BodyText"/>
              <w:spacing w:before="40" w:after="40" w:line="210" w:lineRule="exact"/>
              <w:ind w:right="40"/>
              <w:jc w:val="right"/>
              <w:rPr>
                <w:sz w:val="17"/>
              </w:rPr>
            </w:pPr>
          </w:p>
        </w:tc>
        <w:tc>
          <w:tcPr>
            <w:tcW w:w="900" w:type="dxa"/>
            <w:vAlign w:val="bottom"/>
          </w:tcPr>
          <w:p w:rsidR="00000000" w:rsidRDefault="00000000">
            <w:pPr>
              <w:pStyle w:val="BodyText"/>
              <w:spacing w:before="40" w:after="40" w:line="210" w:lineRule="exact"/>
              <w:ind w:right="40"/>
              <w:jc w:val="right"/>
              <w:rPr>
                <w:sz w:val="17"/>
              </w:rPr>
            </w:pP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1</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Oficina del Secretario del Gobierno del E</w:t>
            </w:r>
            <w:r>
              <w:rPr>
                <w:sz w:val="17"/>
              </w:rPr>
              <w:t>s</w:t>
            </w:r>
            <w:r>
              <w:rPr>
                <w:sz w:val="17"/>
              </w:rPr>
              <w:t>tado</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98</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76</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22</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22,5</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2</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Oficina del Jefe de Servicio</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232</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168</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64</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3</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Junta Directiva de la Biblioteca</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22</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18</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4</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la Función Pública</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41</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33</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5</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Oficina del Gobernador Adjunto</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34</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26</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6</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Ministerio de Vivienda y Desarrollo Urbano</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60</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51</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7</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Oficina Catastral y de Encuestas</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63</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56</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8</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Ministerio de Obras Públicas y Transporte</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326</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304</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22</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9</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Oficina del Interventor General de Cuentas del Est</w:t>
            </w:r>
            <w:r>
              <w:rPr>
                <w:sz w:val="17"/>
              </w:rPr>
              <w:t>a</w:t>
            </w:r>
            <w:r>
              <w:rPr>
                <w:sz w:val="17"/>
              </w:rPr>
              <w:t>do</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42</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32</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10</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Escuela Normal (Akwanga)</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479</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331</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148</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11</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Junta de Enseñanza Primaria</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117</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92</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25</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12</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 xml:space="preserve">Asamblea </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44</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26</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18</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13</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Ministerio de Justicia</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43</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33</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14</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Consejo de Deportes</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100</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84</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16</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15</w:t>
            </w:r>
          </w:p>
        </w:tc>
        <w:tc>
          <w:tcPr>
            <w:tcW w:w="34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Tribunal de Apelación de Derecho Consuetudin</w:t>
            </w:r>
            <w:r>
              <w:rPr>
                <w:sz w:val="17"/>
              </w:rPr>
              <w:t>a</w:t>
            </w:r>
            <w:r>
              <w:rPr>
                <w:sz w:val="17"/>
              </w:rPr>
              <w:t>rio</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68</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47</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16</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Junta de Turismo</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44</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33</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17</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Comercio e Industria y Cooperación</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61</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52</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bottom w:w="0" w:type="dxa"/>
          </w:tblCellMar>
        </w:tblPrEx>
        <w:tc>
          <w:tcPr>
            <w:tcW w:w="686" w:type="dxa"/>
            <w:gridSpan w:val="2"/>
          </w:tcPr>
          <w:p w:rsidR="00000000" w:rsidRDefault="00000000">
            <w:pPr>
              <w:pStyle w:val="BodyText"/>
              <w:keepNext/>
              <w:tabs>
                <w:tab w:val="left" w:pos="288"/>
                <w:tab w:val="left" w:pos="576"/>
                <w:tab w:val="left" w:pos="864"/>
                <w:tab w:val="left" w:pos="1152"/>
              </w:tabs>
              <w:spacing w:before="40" w:after="40" w:line="210" w:lineRule="exact"/>
              <w:ind w:right="43"/>
              <w:jc w:val="both"/>
              <w:rPr>
                <w:sz w:val="17"/>
              </w:rPr>
            </w:pPr>
            <w:r>
              <w:rPr>
                <w:sz w:val="17"/>
              </w:rPr>
              <w:t>18</w:t>
            </w:r>
          </w:p>
        </w:tc>
        <w:tc>
          <w:tcPr>
            <w:tcW w:w="3465" w:type="dxa"/>
            <w:vAlign w:val="bottom"/>
          </w:tcPr>
          <w:p w:rsidR="00000000" w:rsidRDefault="00000000">
            <w:pPr>
              <w:pStyle w:val="BodyText"/>
              <w:keepNext/>
              <w:tabs>
                <w:tab w:val="left" w:pos="288"/>
                <w:tab w:val="left" w:pos="576"/>
                <w:tab w:val="left" w:pos="864"/>
                <w:tab w:val="left" w:pos="1152"/>
              </w:tabs>
              <w:spacing w:before="40" w:after="40" w:line="210" w:lineRule="exact"/>
              <w:ind w:right="43"/>
              <w:jc w:val="left"/>
              <w:rPr>
                <w:sz w:val="17"/>
              </w:rPr>
            </w:pPr>
            <w:r>
              <w:rPr>
                <w:sz w:val="17"/>
              </w:rPr>
              <w:t>Junta de Desarrollo Urbano del Estado de Nassarawa</w:t>
            </w:r>
          </w:p>
        </w:tc>
        <w:tc>
          <w:tcPr>
            <w:tcW w:w="900" w:type="dxa"/>
            <w:vAlign w:val="bottom"/>
          </w:tcPr>
          <w:p w:rsidR="00000000" w:rsidRDefault="00000000">
            <w:pPr>
              <w:pStyle w:val="BodyText"/>
              <w:keepNext/>
              <w:tabs>
                <w:tab w:val="left" w:pos="288"/>
                <w:tab w:val="left" w:pos="576"/>
                <w:tab w:val="left" w:pos="864"/>
                <w:tab w:val="left" w:pos="1152"/>
              </w:tabs>
              <w:spacing w:before="40" w:after="40" w:line="210" w:lineRule="exact"/>
              <w:ind w:right="43"/>
              <w:jc w:val="right"/>
              <w:rPr>
                <w:sz w:val="17"/>
              </w:rPr>
            </w:pPr>
            <w:r>
              <w:rPr>
                <w:sz w:val="17"/>
              </w:rPr>
              <w:t>71</w:t>
            </w:r>
          </w:p>
        </w:tc>
        <w:tc>
          <w:tcPr>
            <w:tcW w:w="810" w:type="dxa"/>
            <w:vAlign w:val="bottom"/>
          </w:tcPr>
          <w:p w:rsidR="00000000" w:rsidRDefault="00000000">
            <w:pPr>
              <w:pStyle w:val="BodyText"/>
              <w:keepNext/>
              <w:tabs>
                <w:tab w:val="left" w:pos="288"/>
                <w:tab w:val="left" w:pos="576"/>
                <w:tab w:val="left" w:pos="864"/>
                <w:tab w:val="left" w:pos="1152"/>
              </w:tabs>
              <w:spacing w:before="40" w:after="40" w:line="210" w:lineRule="exact"/>
              <w:ind w:right="43"/>
              <w:jc w:val="right"/>
              <w:rPr>
                <w:sz w:val="17"/>
              </w:rPr>
            </w:pPr>
            <w:r>
              <w:rPr>
                <w:sz w:val="17"/>
              </w:rPr>
              <w:t>47</w:t>
            </w:r>
          </w:p>
        </w:tc>
        <w:tc>
          <w:tcPr>
            <w:tcW w:w="720" w:type="dxa"/>
            <w:vAlign w:val="bottom"/>
          </w:tcPr>
          <w:p w:rsidR="00000000" w:rsidRDefault="00000000">
            <w:pPr>
              <w:pStyle w:val="BodyText"/>
              <w:keepNext/>
              <w:tabs>
                <w:tab w:val="left" w:pos="288"/>
                <w:tab w:val="left" w:pos="576"/>
                <w:tab w:val="left" w:pos="864"/>
                <w:tab w:val="left" w:pos="1152"/>
              </w:tabs>
              <w:spacing w:before="40" w:after="40" w:line="210" w:lineRule="exact"/>
              <w:ind w:right="43"/>
              <w:jc w:val="right"/>
              <w:rPr>
                <w:sz w:val="17"/>
              </w:rPr>
            </w:pPr>
            <w:r>
              <w:rPr>
                <w:sz w:val="17"/>
              </w:rPr>
              <w:t>24</w:t>
            </w:r>
          </w:p>
        </w:tc>
        <w:tc>
          <w:tcPr>
            <w:tcW w:w="900" w:type="dxa"/>
            <w:vAlign w:val="bottom"/>
          </w:tcPr>
          <w:p w:rsidR="00000000" w:rsidRDefault="00000000">
            <w:pPr>
              <w:pStyle w:val="BodyText"/>
              <w:keepNext/>
              <w:tabs>
                <w:tab w:val="left" w:pos="288"/>
                <w:tab w:val="left" w:pos="576"/>
                <w:tab w:val="left" w:pos="864"/>
                <w:tab w:val="left" w:pos="1152"/>
              </w:tabs>
              <w:spacing w:before="40" w:after="40" w:line="210" w:lineRule="exact"/>
              <w:ind w:right="43"/>
              <w:jc w:val="right"/>
              <w:rPr>
                <w:sz w:val="17"/>
              </w:rPr>
            </w:pPr>
            <w:r>
              <w:rPr>
                <w:sz w:val="17"/>
              </w:rPr>
              <w:t>34</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19</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Fronteras</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20</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Servicios del Magisterio</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21</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Junta de Pensiones</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22</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Ministerio de Desarrollo Rural</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35</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31</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23</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 xml:space="preserve">Facultad de Artes, Ciencia y Tecnología </w:t>
            </w:r>
          </w:p>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(K</w:t>
            </w:r>
            <w:r>
              <w:rPr>
                <w:sz w:val="17"/>
              </w:rPr>
              <w:t>e</w:t>
            </w:r>
            <w:r>
              <w:rPr>
                <w:sz w:val="17"/>
              </w:rPr>
              <w:t>ffi)</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257</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209</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48</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24</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Junta de Asistencia Social de los Peregrinos Cristi</w:t>
            </w:r>
            <w:r>
              <w:rPr>
                <w:sz w:val="17"/>
              </w:rPr>
              <w:t>a</w:t>
            </w:r>
            <w:r>
              <w:rPr>
                <w:sz w:val="17"/>
              </w:rPr>
              <w:t>nos</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25</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Junta de Pensiones del personal del gobierno local</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26</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Junta de Impuestos Internos</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75</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55</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20</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27</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la Función Pública del Estado de Nass</w:t>
            </w:r>
            <w:r>
              <w:rPr>
                <w:sz w:val="17"/>
              </w:rPr>
              <w:t>a</w:t>
            </w:r>
            <w:r>
              <w:rPr>
                <w:sz w:val="17"/>
              </w:rPr>
              <w:t>rawa</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53</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47</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28</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Ministerio de Información</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89</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71</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18</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29</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Oficina del Contador General (Gobierno l</w:t>
            </w:r>
            <w:r>
              <w:rPr>
                <w:sz w:val="17"/>
              </w:rPr>
              <w:t>o</w:t>
            </w:r>
            <w:r>
              <w:rPr>
                <w:sz w:val="17"/>
              </w:rPr>
              <w:t>cal)</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34</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28</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30</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Ministerio de Hacienda</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255</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211</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44</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31</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Organismo de Protección Medioa</w:t>
            </w:r>
            <w:r>
              <w:rPr>
                <w:sz w:val="17"/>
              </w:rPr>
              <w:t>m</w:t>
            </w:r>
            <w:r>
              <w:rPr>
                <w:sz w:val="17"/>
              </w:rPr>
              <w:t>biental</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32</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Ministerio de Educación</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3977</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3204</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773</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33</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 xml:space="preserve">Programa de Desarrollo Agrícola de </w:t>
            </w:r>
            <w:r>
              <w:rPr>
                <w:sz w:val="17"/>
              </w:rPr>
              <w:br/>
              <w:t>Nassar</w:t>
            </w:r>
            <w:r>
              <w:rPr>
                <w:sz w:val="17"/>
              </w:rPr>
              <w:t>a</w:t>
            </w:r>
            <w:r>
              <w:rPr>
                <w:sz w:val="17"/>
              </w:rPr>
              <w:t>wa</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550</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456</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94</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34</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Ministerio de Salud</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148</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99</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49</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35</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Ministerio de Asuntos de la Mujer</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78</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55</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23</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29,5</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36</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Servicios Judiciales</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43</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37</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de Desarrollo y Comercialización de Pr</w:t>
            </w:r>
            <w:r>
              <w:rPr>
                <w:sz w:val="17"/>
              </w:rPr>
              <w:t>o</w:t>
            </w:r>
            <w:r>
              <w:rPr>
                <w:sz w:val="17"/>
              </w:rPr>
              <w:t>ductos Agrícolas de Nassarawa</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38</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Organismo de Educación no Estruct</w:t>
            </w:r>
            <w:r>
              <w:rPr>
                <w:sz w:val="17"/>
              </w:rPr>
              <w:t>u</w:t>
            </w:r>
            <w:r>
              <w:rPr>
                <w:sz w:val="17"/>
              </w:rPr>
              <w:t>rada</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43</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39</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Facultad de Agronomía (Lafia)</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339</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298</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40</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Ministerio de Agricultura</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247</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147</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40,5</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41</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Servicios del Gobierno local</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26</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23</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42</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Junta de Asistencia Social de los Peregrinos Musu</w:t>
            </w:r>
            <w:r>
              <w:rPr>
                <w:sz w:val="17"/>
              </w:rPr>
              <w:t>l</w:t>
            </w:r>
            <w:r>
              <w:rPr>
                <w:sz w:val="17"/>
              </w:rPr>
              <w:t>manes</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bottom w:w="0" w:type="dxa"/>
          </w:tblCellMar>
        </w:tblPrEx>
        <w:tc>
          <w:tcPr>
            <w:tcW w:w="686" w:type="dxa"/>
            <w:gridSpan w:val="2"/>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43</w:t>
            </w:r>
          </w:p>
        </w:tc>
        <w:tc>
          <w:tcPr>
            <w:tcW w:w="346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Junta de Tecnología Asequible</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25</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23</w:t>
            </w:r>
          </w:p>
        </w:tc>
        <w:tc>
          <w:tcPr>
            <w:tcW w:w="72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bottom w:w="0" w:type="dxa"/>
          </w:tblCellMar>
        </w:tblPrEx>
        <w:trPr>
          <w:gridBefore w:val="1"/>
          <w:wBefore w:w="11" w:type="dxa"/>
        </w:trPr>
        <w:tc>
          <w:tcPr>
            <w:tcW w:w="675" w:type="dxa"/>
            <w:tcBorders>
              <w:bottom w:val="single" w:sz="12" w:space="0" w:color="auto"/>
            </w:tcBorders>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44</w:t>
            </w:r>
          </w:p>
        </w:tc>
        <w:tc>
          <w:tcPr>
            <w:tcW w:w="3465"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Ministerio de Turismo y Cultura</w:t>
            </w:r>
          </w:p>
        </w:tc>
        <w:tc>
          <w:tcPr>
            <w:tcW w:w="90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31</w:t>
            </w:r>
          </w:p>
        </w:tc>
        <w:tc>
          <w:tcPr>
            <w:tcW w:w="81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26</w:t>
            </w:r>
          </w:p>
        </w:tc>
        <w:tc>
          <w:tcPr>
            <w:tcW w:w="72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0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16</w:t>
            </w:r>
          </w:p>
        </w:tc>
      </w:tr>
    </w:tbl>
    <w:p w:rsidR="00000000" w:rsidRDefault="00000000">
      <w:pPr>
        <w:pStyle w:val="BodyText"/>
        <w:spacing w:line="120" w:lineRule="exact"/>
        <w:jc w:val="both"/>
        <w:rPr>
          <w:b/>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Comisión de la Función Pública de Nassarawa, 2002.</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br w:type="page"/>
      </w:r>
      <w:r>
        <w:tab/>
      </w:r>
      <w:r>
        <w:tab/>
      </w:r>
      <w:r>
        <w:rPr>
          <w:b w:val="0"/>
        </w:rPr>
        <w:t>Cuadro 7.4</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Personal del gobierno local de Nassarawa (unificado con los porcentajes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correspondientes a la población y al sexo)</w:t>
      </w:r>
    </w:p>
    <w:p w:rsidR="00000000" w:rsidRDefault="00000000">
      <w:pPr>
        <w:pStyle w:val="BodyText"/>
        <w:spacing w:line="120" w:lineRule="exact"/>
        <w:jc w:val="both"/>
        <w:rPr>
          <w:b/>
          <w:sz w:val="10"/>
        </w:rPr>
      </w:pPr>
    </w:p>
    <w:p w:rsidR="00000000" w:rsidRDefault="00000000">
      <w:pPr>
        <w:pStyle w:val="BodyText"/>
        <w:spacing w:line="120" w:lineRule="exact"/>
        <w:jc w:val="both"/>
        <w:rPr>
          <w:b/>
          <w:sz w:val="10"/>
        </w:rPr>
      </w:pPr>
    </w:p>
    <w:tbl>
      <w:tblPr>
        <w:tblW w:w="0" w:type="auto"/>
        <w:tblInd w:w="1082" w:type="dxa"/>
        <w:tblLayout w:type="fixed"/>
        <w:tblLook w:val="0000" w:firstRow="0" w:lastRow="0" w:firstColumn="0" w:lastColumn="0" w:noHBand="0" w:noVBand="0"/>
      </w:tblPr>
      <w:tblGrid>
        <w:gridCol w:w="630"/>
        <w:gridCol w:w="3690"/>
        <w:gridCol w:w="787"/>
        <w:gridCol w:w="788"/>
        <w:gridCol w:w="787"/>
        <w:gridCol w:w="788"/>
      </w:tblGrid>
      <w:tr w:rsidR="00000000">
        <w:tblPrEx>
          <w:tblCellMar>
            <w:top w:w="0" w:type="dxa"/>
            <w:bottom w:w="0" w:type="dxa"/>
          </w:tblCellMar>
        </w:tblPrEx>
        <w:trPr>
          <w:tblHeader/>
        </w:trPr>
        <w:tc>
          <w:tcPr>
            <w:tcW w:w="630" w:type="dxa"/>
            <w:tcBorders>
              <w:top w:val="single" w:sz="4" w:space="0" w:color="auto"/>
            </w:tcBorders>
            <w:vAlign w:val="bottom"/>
          </w:tcPr>
          <w:p w:rsidR="00000000" w:rsidRDefault="00000000">
            <w:pPr>
              <w:pStyle w:val="BodyText"/>
              <w:spacing w:before="80" w:after="80" w:line="160" w:lineRule="exact"/>
              <w:ind w:right="40"/>
              <w:rPr>
                <w:i/>
                <w:sz w:val="14"/>
              </w:rPr>
            </w:pPr>
            <w:r>
              <w:rPr>
                <w:i/>
                <w:sz w:val="14"/>
              </w:rPr>
              <w:t>S/NO</w:t>
            </w:r>
          </w:p>
        </w:tc>
        <w:tc>
          <w:tcPr>
            <w:tcW w:w="3690" w:type="dxa"/>
            <w:tcBorders>
              <w:top w:val="single" w:sz="4" w:space="0" w:color="auto"/>
            </w:tcBorders>
            <w:vAlign w:val="bottom"/>
          </w:tcPr>
          <w:p w:rsidR="00000000" w:rsidRDefault="00000000">
            <w:pPr>
              <w:pStyle w:val="BodyText"/>
              <w:spacing w:before="80" w:after="80" w:line="160" w:lineRule="exact"/>
              <w:ind w:right="40"/>
              <w:jc w:val="left"/>
              <w:rPr>
                <w:i/>
                <w:sz w:val="14"/>
              </w:rPr>
            </w:pPr>
            <w:r>
              <w:rPr>
                <w:i/>
                <w:sz w:val="14"/>
              </w:rPr>
              <w:t>Municipios</w:t>
            </w:r>
          </w:p>
        </w:tc>
        <w:tc>
          <w:tcPr>
            <w:tcW w:w="787"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N</w:t>
            </w:r>
            <w:r>
              <w:rPr>
                <w:i/>
                <w:sz w:val="14"/>
                <w:lang w:val="es-ES_tradnl"/>
              </w:rPr>
              <w:t>ú</w:t>
            </w:r>
            <w:r>
              <w:rPr>
                <w:i/>
                <w:sz w:val="14"/>
              </w:rPr>
              <w:t>mero de fu</w:t>
            </w:r>
            <w:r>
              <w:rPr>
                <w:i/>
                <w:sz w:val="14"/>
              </w:rPr>
              <w:t>n</w:t>
            </w:r>
            <w:r>
              <w:rPr>
                <w:i/>
                <w:sz w:val="14"/>
              </w:rPr>
              <w:t>cion</w:t>
            </w:r>
            <w:r>
              <w:rPr>
                <w:i/>
                <w:sz w:val="14"/>
              </w:rPr>
              <w:t>a</w:t>
            </w:r>
            <w:r>
              <w:rPr>
                <w:i/>
                <w:sz w:val="14"/>
              </w:rPr>
              <w:t>rios</w:t>
            </w:r>
          </w:p>
        </w:tc>
        <w:tc>
          <w:tcPr>
            <w:tcW w:w="788"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Ho</w:t>
            </w:r>
            <w:r>
              <w:rPr>
                <w:i/>
                <w:sz w:val="14"/>
              </w:rPr>
              <w:t>m</w:t>
            </w:r>
            <w:r>
              <w:rPr>
                <w:i/>
                <w:sz w:val="14"/>
              </w:rPr>
              <w:t>bres</w:t>
            </w:r>
          </w:p>
        </w:tc>
        <w:tc>
          <w:tcPr>
            <w:tcW w:w="787"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Muj</w:t>
            </w:r>
            <w:r>
              <w:rPr>
                <w:i/>
                <w:sz w:val="14"/>
              </w:rPr>
              <w:t>e</w:t>
            </w:r>
            <w:r>
              <w:rPr>
                <w:i/>
                <w:sz w:val="14"/>
              </w:rPr>
              <w:t>res</w:t>
            </w:r>
          </w:p>
        </w:tc>
        <w:tc>
          <w:tcPr>
            <w:tcW w:w="788"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Porce</w:t>
            </w:r>
            <w:r>
              <w:rPr>
                <w:i/>
                <w:sz w:val="14"/>
              </w:rPr>
              <w:t>n</w:t>
            </w:r>
            <w:r>
              <w:rPr>
                <w:i/>
                <w:sz w:val="14"/>
              </w:rPr>
              <w:t>taje de mujeres</w:t>
            </w:r>
          </w:p>
        </w:tc>
      </w:tr>
      <w:tr w:rsidR="00000000">
        <w:tblPrEx>
          <w:tblCellMar>
            <w:top w:w="0" w:type="dxa"/>
            <w:bottom w:w="0" w:type="dxa"/>
          </w:tblCellMar>
        </w:tblPrEx>
        <w:trPr>
          <w:trHeight w:hRule="exact" w:val="115"/>
          <w:tblHeader/>
        </w:trPr>
        <w:tc>
          <w:tcPr>
            <w:tcW w:w="630" w:type="dxa"/>
            <w:tcBorders>
              <w:top w:val="single" w:sz="12" w:space="0" w:color="auto"/>
            </w:tcBorders>
            <w:vAlign w:val="bottom"/>
          </w:tcPr>
          <w:p w:rsidR="00000000" w:rsidRDefault="00000000">
            <w:pPr>
              <w:pStyle w:val="BodyText"/>
              <w:spacing w:before="40" w:after="40" w:line="210" w:lineRule="exact"/>
              <w:ind w:right="40"/>
              <w:jc w:val="both"/>
              <w:rPr>
                <w:sz w:val="17"/>
              </w:rPr>
            </w:pPr>
          </w:p>
        </w:tc>
        <w:tc>
          <w:tcPr>
            <w:tcW w:w="3690" w:type="dxa"/>
            <w:tcBorders>
              <w:top w:val="single" w:sz="12" w:space="0" w:color="auto"/>
            </w:tcBorders>
            <w:vAlign w:val="bottom"/>
          </w:tcPr>
          <w:p w:rsidR="00000000" w:rsidRDefault="00000000">
            <w:pPr>
              <w:pStyle w:val="BodyText"/>
              <w:spacing w:before="40" w:after="40" w:line="210" w:lineRule="exact"/>
              <w:ind w:right="40"/>
              <w:jc w:val="left"/>
              <w:rPr>
                <w:sz w:val="17"/>
              </w:rPr>
            </w:pPr>
          </w:p>
        </w:tc>
        <w:tc>
          <w:tcPr>
            <w:tcW w:w="787"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788"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787"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788" w:type="dxa"/>
            <w:tcBorders>
              <w:top w:val="single" w:sz="12" w:space="0" w:color="auto"/>
            </w:tcBorders>
            <w:vAlign w:val="bottom"/>
          </w:tcPr>
          <w:p w:rsidR="00000000" w:rsidRDefault="00000000">
            <w:pPr>
              <w:pStyle w:val="BodyText"/>
              <w:spacing w:before="40" w:after="40" w:line="210" w:lineRule="exact"/>
              <w:ind w:right="40"/>
              <w:jc w:val="right"/>
              <w:rPr>
                <w:sz w:val="17"/>
              </w:rPr>
            </w:pPr>
          </w:p>
        </w:tc>
      </w:tr>
      <w:tr w:rsidR="00000000">
        <w:tblPrEx>
          <w:tblCellMar>
            <w:top w:w="0" w:type="dxa"/>
            <w:bottom w:w="0" w:type="dxa"/>
          </w:tblCellMar>
        </w:tblPrEx>
        <w:tc>
          <w:tcPr>
            <w:tcW w:w="630"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1</w:t>
            </w:r>
          </w:p>
        </w:tc>
        <w:tc>
          <w:tcPr>
            <w:tcW w:w="369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Personal del gobierno local (Awe)</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167</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150</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17</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bottom w:w="0" w:type="dxa"/>
          </w:tblCellMar>
        </w:tblPrEx>
        <w:tc>
          <w:tcPr>
            <w:tcW w:w="630"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2</w:t>
            </w:r>
          </w:p>
        </w:tc>
        <w:tc>
          <w:tcPr>
            <w:tcW w:w="369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Personal del gobierno local (Akwanga)</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249</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167</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82</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bottom w:w="0" w:type="dxa"/>
          </w:tblCellMar>
        </w:tblPrEx>
        <w:tc>
          <w:tcPr>
            <w:tcW w:w="630"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3</w:t>
            </w:r>
          </w:p>
        </w:tc>
        <w:tc>
          <w:tcPr>
            <w:tcW w:w="369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Personal del gobierno local (D</w:t>
            </w:r>
            <w:r>
              <w:rPr>
                <w:sz w:val="17"/>
              </w:rPr>
              <w:t>o</w:t>
            </w:r>
            <w:r>
              <w:rPr>
                <w:sz w:val="17"/>
              </w:rPr>
              <w:t>ma)</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167</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143</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24</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bottom w:w="0" w:type="dxa"/>
          </w:tblCellMar>
        </w:tblPrEx>
        <w:tc>
          <w:tcPr>
            <w:tcW w:w="630"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4</w:t>
            </w:r>
          </w:p>
        </w:tc>
        <w:tc>
          <w:tcPr>
            <w:tcW w:w="369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Personal del gobierno local (Ke</w:t>
            </w:r>
            <w:r>
              <w:rPr>
                <w:sz w:val="17"/>
              </w:rPr>
              <w:t>a</w:t>
            </w:r>
            <w:r>
              <w:rPr>
                <w:sz w:val="17"/>
              </w:rPr>
              <w:t>na)</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104</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79</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25</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bottom w:w="0" w:type="dxa"/>
          </w:tblCellMar>
        </w:tblPrEx>
        <w:tc>
          <w:tcPr>
            <w:tcW w:w="630"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5</w:t>
            </w:r>
          </w:p>
        </w:tc>
        <w:tc>
          <w:tcPr>
            <w:tcW w:w="369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 xml:space="preserve">Comisión de Personal del gobierno local </w:t>
            </w:r>
            <w:r>
              <w:rPr>
                <w:sz w:val="17"/>
              </w:rPr>
              <w:br/>
              <w:t>(Kok</w:t>
            </w:r>
            <w:r>
              <w:rPr>
                <w:sz w:val="17"/>
              </w:rPr>
              <w:t>o</w:t>
            </w:r>
            <w:r>
              <w:rPr>
                <w:sz w:val="17"/>
              </w:rPr>
              <w:t>na)</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102</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73</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29</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bottom w:w="0" w:type="dxa"/>
          </w:tblCellMar>
        </w:tblPrEx>
        <w:tc>
          <w:tcPr>
            <w:tcW w:w="630"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6</w:t>
            </w:r>
          </w:p>
        </w:tc>
        <w:tc>
          <w:tcPr>
            <w:tcW w:w="369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Personal del gobierno local (L</w:t>
            </w:r>
            <w:r>
              <w:rPr>
                <w:sz w:val="17"/>
              </w:rPr>
              <w:t>a</w:t>
            </w:r>
            <w:r>
              <w:rPr>
                <w:sz w:val="17"/>
              </w:rPr>
              <w:t>fia)</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284</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200</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84</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bottom w:w="0" w:type="dxa"/>
          </w:tblCellMar>
        </w:tblPrEx>
        <w:tc>
          <w:tcPr>
            <w:tcW w:w="630"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7</w:t>
            </w:r>
          </w:p>
        </w:tc>
        <w:tc>
          <w:tcPr>
            <w:tcW w:w="369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Personal del gobierno local (Toto)</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158</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123</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35</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bottom w:w="0" w:type="dxa"/>
          </w:tblCellMar>
        </w:tblPrEx>
        <w:tc>
          <w:tcPr>
            <w:tcW w:w="630"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8</w:t>
            </w:r>
          </w:p>
        </w:tc>
        <w:tc>
          <w:tcPr>
            <w:tcW w:w="369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Personal del gobierno local (K</w:t>
            </w:r>
            <w:r>
              <w:rPr>
                <w:sz w:val="17"/>
              </w:rPr>
              <w:t>e</w:t>
            </w:r>
            <w:r>
              <w:rPr>
                <w:sz w:val="17"/>
              </w:rPr>
              <w:t>ffi)</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126</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106</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20</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bottom w:w="0" w:type="dxa"/>
          </w:tblCellMar>
        </w:tblPrEx>
        <w:tc>
          <w:tcPr>
            <w:tcW w:w="630"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9</w:t>
            </w:r>
          </w:p>
        </w:tc>
        <w:tc>
          <w:tcPr>
            <w:tcW w:w="369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Personal del gobierno local (K</w:t>
            </w:r>
            <w:r>
              <w:rPr>
                <w:sz w:val="17"/>
              </w:rPr>
              <w:t>a</w:t>
            </w:r>
            <w:r>
              <w:rPr>
                <w:sz w:val="17"/>
              </w:rPr>
              <w:t>ru)</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187</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131</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56</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bottom w:w="0" w:type="dxa"/>
          </w:tblCellMar>
        </w:tblPrEx>
        <w:tc>
          <w:tcPr>
            <w:tcW w:w="630"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10</w:t>
            </w:r>
          </w:p>
        </w:tc>
        <w:tc>
          <w:tcPr>
            <w:tcW w:w="369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Personal del gobierno local (Obi)</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219</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158</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61</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bottom w:w="0" w:type="dxa"/>
          </w:tblCellMar>
        </w:tblPrEx>
        <w:tc>
          <w:tcPr>
            <w:tcW w:w="630"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11</w:t>
            </w:r>
          </w:p>
        </w:tc>
        <w:tc>
          <w:tcPr>
            <w:tcW w:w="369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 xml:space="preserve">Comisión de Personal del gobierno local </w:t>
            </w:r>
            <w:r>
              <w:rPr>
                <w:sz w:val="17"/>
              </w:rPr>
              <w:br/>
              <w:t>(Wa</w:t>
            </w:r>
            <w:r>
              <w:rPr>
                <w:sz w:val="17"/>
              </w:rPr>
              <w:t>m</w:t>
            </w:r>
            <w:r>
              <w:rPr>
                <w:sz w:val="17"/>
              </w:rPr>
              <w:t>ba)</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158</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106</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52</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bottom w:w="0" w:type="dxa"/>
          </w:tblCellMar>
        </w:tblPrEx>
        <w:tc>
          <w:tcPr>
            <w:tcW w:w="630"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12</w:t>
            </w:r>
          </w:p>
        </w:tc>
        <w:tc>
          <w:tcPr>
            <w:tcW w:w="369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 xml:space="preserve">Comisión de Personal del gobierno local </w:t>
            </w:r>
            <w:r>
              <w:rPr>
                <w:sz w:val="17"/>
              </w:rPr>
              <w:br/>
              <w:t>(Nass</w:t>
            </w:r>
            <w:r>
              <w:rPr>
                <w:sz w:val="17"/>
              </w:rPr>
              <w:t>a</w:t>
            </w:r>
            <w:r>
              <w:rPr>
                <w:sz w:val="17"/>
              </w:rPr>
              <w:t>rawa Eggon)</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311</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226</w:t>
            </w:r>
          </w:p>
        </w:tc>
        <w:tc>
          <w:tcPr>
            <w:tcW w:w="7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85</w:t>
            </w:r>
          </w:p>
        </w:tc>
        <w:tc>
          <w:tcPr>
            <w:tcW w:w="78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bottom w:w="0" w:type="dxa"/>
          </w:tblCellMar>
        </w:tblPrEx>
        <w:tc>
          <w:tcPr>
            <w:tcW w:w="630" w:type="dxa"/>
            <w:tcBorders>
              <w:bottom w:val="single" w:sz="12" w:space="0" w:color="auto"/>
            </w:tcBorders>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13</w:t>
            </w:r>
          </w:p>
        </w:tc>
        <w:tc>
          <w:tcPr>
            <w:tcW w:w="369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 xml:space="preserve">Comisión de Personal del gobierno local </w:t>
            </w:r>
            <w:r>
              <w:rPr>
                <w:sz w:val="17"/>
              </w:rPr>
              <w:br/>
              <w:t>(Nass</w:t>
            </w:r>
            <w:r>
              <w:rPr>
                <w:sz w:val="17"/>
              </w:rPr>
              <w:t>a</w:t>
            </w:r>
            <w:r>
              <w:rPr>
                <w:sz w:val="17"/>
              </w:rPr>
              <w:t>rawa)</w:t>
            </w:r>
          </w:p>
        </w:tc>
        <w:tc>
          <w:tcPr>
            <w:tcW w:w="787"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240</w:t>
            </w:r>
          </w:p>
        </w:tc>
        <w:tc>
          <w:tcPr>
            <w:tcW w:w="788"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190</w:t>
            </w:r>
          </w:p>
        </w:tc>
        <w:tc>
          <w:tcPr>
            <w:tcW w:w="787"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50</w:t>
            </w:r>
          </w:p>
        </w:tc>
        <w:tc>
          <w:tcPr>
            <w:tcW w:w="788"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21</w:t>
            </w:r>
          </w:p>
        </w:tc>
      </w:tr>
    </w:tbl>
    <w:p w:rsidR="00000000" w:rsidRDefault="00000000">
      <w:pPr>
        <w:pStyle w:val="BodyText"/>
        <w:spacing w:line="120" w:lineRule="exact"/>
        <w:jc w:val="both"/>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Comisión de la Función Pública de Nassarawa, 2002.</w:t>
      </w:r>
    </w:p>
    <w:p w:rsidR="00000000" w:rsidRDefault="00000000">
      <w:pPr>
        <w:pStyle w:val="BodyText"/>
        <w:spacing w:line="120" w:lineRule="exact"/>
        <w:jc w:val="both"/>
        <w:rPr>
          <w:b/>
          <w:sz w:val="10"/>
        </w:rPr>
      </w:pPr>
    </w:p>
    <w:p w:rsidR="00000000" w:rsidRDefault="00000000">
      <w:pPr>
        <w:pStyle w:val="BodyText"/>
        <w:spacing w:line="120" w:lineRule="exact"/>
        <w:jc w:val="both"/>
        <w:rPr>
          <w:b/>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jc w:val="both"/>
        <w:rPr>
          <w:i w:val="0"/>
        </w:rPr>
      </w:pPr>
      <w:r>
        <w:tab/>
      </w:r>
      <w:r>
        <w:rPr>
          <w:i w:val="0"/>
        </w:rPr>
        <w:t>7.3</w:t>
      </w:r>
      <w:r>
        <w:rPr>
          <w:i w:val="0"/>
        </w:rPr>
        <w:tab/>
        <w:t>Los datos de la Comisión Nacional Electoral Independiente, que muestran la distribución de los candidatos y los vencedores por partido y sexo en las elecciones a la Asamblea Nacional y las de los Estados, indican la escasa participación de candidatas en las elecciones de 1999 (véase el cuadro 7.5). Las mujeres no han obtenido resultados mejores en la composición de los Consejos Federales y los organismos autónomos. Los registros disponibles indican que las mujeres constituyen el 5,6 por ciento de los presidentes de Consejos Federales y el 10,3 por ciento de sus miembros, como se ve en el cuadro 7.6.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rPr>
      </w:pPr>
      <w:r>
        <w:tab/>
      </w:r>
      <w:r>
        <w:rPr>
          <w:b w:val="0"/>
        </w:rPr>
        <w:t>7.4</w:t>
      </w:r>
      <w:r>
        <w:rPr>
          <w:b w:val="0"/>
        </w:rPr>
        <w:tab/>
        <w:t>Con miras a invertir la tendencia de escasa representación de las mujeres en la política y la vida pública, reflejada en los párrafos anteriores, el Gobierno, los partidos políticos y otros copartícipes en el desarrollo han adoptado varias medidas a ese respecto:</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Visitas al Presidente de la Comisión Nacional Electoral Independiente y a los presidentes y a las ejecutivas de los partidos políticos entonces existentes para cel</w:t>
      </w:r>
      <w:r>
        <w:t>e</w:t>
      </w:r>
      <w:r>
        <w:t>brar negociaciones.</w:t>
      </w:r>
    </w:p>
    <w:p w:rsidR="00000000" w:rsidRDefault="00000000">
      <w:pPr>
        <w:pStyle w:val="SingleTxt"/>
        <w:tabs>
          <w:tab w:val="right" w:pos="1685"/>
        </w:tabs>
        <w:ind w:left="1742" w:hanging="475"/>
      </w:pPr>
      <w:r>
        <w:tab/>
        <w:t>•</w:t>
      </w:r>
      <w:r>
        <w:tab/>
        <w:t>Movilización e ilustración pública por parte de organismos como el Organismo Nacional de Orientación, las ONG y las organizaciones femeninas nacionales y estatales.</w:t>
      </w:r>
    </w:p>
    <w:p w:rsidR="00000000" w:rsidRDefault="00000000">
      <w:pPr>
        <w:pStyle w:val="SingleTxt"/>
        <w:tabs>
          <w:tab w:val="right" w:pos="1685"/>
        </w:tabs>
        <w:ind w:left="1742" w:hanging="475"/>
      </w:pPr>
      <w:r>
        <w:tab/>
        <w:t>•</w:t>
      </w:r>
      <w:r>
        <w:tab/>
        <w:t>Exención del pago de los derechos de registro obligatorio para las mujeres a</w:t>
      </w:r>
      <w:r>
        <w:t>s</w:t>
      </w:r>
      <w:r>
        <w:t>pirantes y entrega gratuita de los formularios a las mujeres por parte del Part</w:t>
      </w:r>
      <w:r>
        <w:t>i</w:t>
      </w:r>
      <w:r>
        <w:t>do Popular Democrático, el que gobierna actualmente. (En el momento de pr</w:t>
      </w:r>
      <w:r>
        <w:t>e</w:t>
      </w:r>
      <w:r>
        <w:t>par</w:t>
      </w:r>
      <w:r>
        <w:t>a</w:t>
      </w:r>
      <w:r>
        <w:t>ción de este informe.)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rPr>
      </w:pPr>
      <w:r>
        <w:tab/>
      </w:r>
      <w:r>
        <w:rPr>
          <w:b w:val="0"/>
        </w:rPr>
        <w:t>7.5</w:t>
      </w:r>
      <w:r>
        <w:rPr>
          <w:b w:val="0"/>
        </w:rPr>
        <w:tab/>
        <w:t>Sin embargo, en comparación con la situación de hace un decenio, aproximadamente, se ha nombrado a más mujeres para que formen parte de comités y juntas, así como de la judicatura y del ejecutivo. Ha sido consecuencia de una actividad intensa en materia de cabildeo, promoción y sensibilización por parte de las organizaciones femeninas, que han tenido una actuación decisiva para influir en los encargados de la adopción de decisiones en la vida política y pública de los planos nacional y comunitario. Ejemplos representativos son las gestiones hechas por el Ministerio Federal de Asuntos de la Mujer y Desarrollo de la Juventud, el Consejo Nacional de Sociedades Femeninas, que influye en el nombramiento de mujeres para cargos políticos, y la Asociación de Mujeres Campesinas de Nigeria, que influye en la adopción de decisiones en el plano comunitario aumentando el acceso de las mujeres al microcrédito en el nivel de la base. Dichas medidas propiciarán a largo plazo un disfrute más satisfactorio de sus derechos por parte de las mujeres.</w:t>
      </w:r>
    </w:p>
    <w:p w:rsidR="00000000" w:rsidRDefault="00000000">
      <w:pPr>
        <w:pStyle w:val="SingleTxt"/>
        <w:spacing w:after="0"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pPr>
      <w:r>
        <w:tab/>
        <w:t>7.6</w:t>
      </w:r>
      <w:r>
        <w:tab/>
        <w:t>Aparte de los derechos de participación, que son fundamentales, las organizaciones femeninas apoyan las medidas del Gobierno encaminadas a la ejecución de los proyectos en materia de desarrollo en el nivel de la base, tales como capacitación de las parteras tradicionales, clases para la alfabetización de adultos y movilización de la comunidad para la ejecución de proyectos de autoayuda. Recientemente, las ONG de mujeres han pasado a ser una fuerza poderosa en la esfera del desarrollo, lo que ha tenido repercusiones inmensas en las vidas de las mujeres y los niños de Nigeria mediante la formación de coaliciones, redes y grupos poderosos de defensa de sus intereses.</w:t>
      </w:r>
    </w:p>
    <w:p w:rsidR="00000000" w:rsidRDefault="00000000">
      <w:pPr>
        <w:pStyle w:val="BodyText"/>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tab/>
      </w:r>
      <w:r>
        <w:tab/>
      </w:r>
      <w:r>
        <w:rPr>
          <w:b w:val="0"/>
        </w:rPr>
        <w:t>Cuadro 7.5</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Análisis de la distribución por sexos de los cargos electivos de 1999</w:t>
      </w:r>
    </w:p>
    <w:p w:rsidR="00000000" w:rsidRDefault="00000000">
      <w:pPr>
        <w:spacing w:line="120" w:lineRule="exact"/>
        <w:rPr>
          <w:sz w:val="10"/>
        </w:rPr>
      </w:pPr>
    </w:p>
    <w:p w:rsidR="00000000" w:rsidRDefault="00000000">
      <w:pPr>
        <w:pStyle w:val="BodyText"/>
        <w:keepNext/>
        <w:keepLines/>
        <w:spacing w:line="120" w:lineRule="exact"/>
        <w:jc w:val="both"/>
        <w:rPr>
          <w:b/>
          <w:sz w:val="10"/>
        </w:rPr>
      </w:pPr>
    </w:p>
    <w:tbl>
      <w:tblPr>
        <w:tblW w:w="0" w:type="auto"/>
        <w:tblInd w:w="1269" w:type="dxa"/>
        <w:tblLayout w:type="fixed"/>
        <w:tblCellMar>
          <w:left w:w="0" w:type="dxa"/>
          <w:right w:w="0" w:type="dxa"/>
        </w:tblCellMar>
        <w:tblLook w:val="0000" w:firstRow="0" w:lastRow="0" w:firstColumn="0" w:lastColumn="0" w:noHBand="0" w:noVBand="0"/>
      </w:tblPr>
      <w:tblGrid>
        <w:gridCol w:w="3935"/>
        <w:gridCol w:w="882"/>
        <w:gridCol w:w="755"/>
        <w:gridCol w:w="701"/>
        <w:gridCol w:w="604"/>
        <w:gridCol w:w="604"/>
      </w:tblGrid>
      <w:tr w:rsidR="00000000">
        <w:tblPrEx>
          <w:tblCellMar>
            <w:top w:w="0" w:type="dxa"/>
            <w:left w:w="0" w:type="dxa"/>
            <w:bottom w:w="0" w:type="dxa"/>
            <w:right w:w="0" w:type="dxa"/>
          </w:tblCellMar>
        </w:tblPrEx>
        <w:trPr>
          <w:tblHeader/>
        </w:trPr>
        <w:tc>
          <w:tcPr>
            <w:tcW w:w="3935" w:type="dxa"/>
            <w:tcBorders>
              <w:top w:val="single" w:sz="4" w:space="0" w:color="auto"/>
            </w:tcBorders>
            <w:vAlign w:val="bottom"/>
          </w:tcPr>
          <w:p w:rsidR="00000000" w:rsidRDefault="00000000">
            <w:pPr>
              <w:pStyle w:val="BodyText"/>
              <w:keepNext/>
              <w:keepLines/>
              <w:spacing w:before="80" w:after="80" w:line="160" w:lineRule="exact"/>
              <w:ind w:right="40"/>
              <w:jc w:val="left"/>
              <w:rPr>
                <w:i/>
                <w:sz w:val="14"/>
              </w:rPr>
            </w:pPr>
            <w:r>
              <w:rPr>
                <w:i/>
                <w:sz w:val="14"/>
              </w:rPr>
              <w:t>Cargo</w:t>
            </w:r>
          </w:p>
        </w:tc>
        <w:tc>
          <w:tcPr>
            <w:tcW w:w="882" w:type="dxa"/>
            <w:tcBorders>
              <w:top w:val="single" w:sz="4" w:space="0" w:color="auto"/>
            </w:tcBorders>
            <w:vAlign w:val="bottom"/>
          </w:tcPr>
          <w:p w:rsidR="00000000" w:rsidRDefault="00000000">
            <w:pPr>
              <w:pStyle w:val="BodyText"/>
              <w:keepNext/>
              <w:keepLines/>
              <w:spacing w:before="80" w:after="80" w:line="160" w:lineRule="exact"/>
              <w:ind w:right="43"/>
              <w:jc w:val="right"/>
              <w:rPr>
                <w:i/>
                <w:sz w:val="14"/>
              </w:rPr>
            </w:pPr>
            <w:r>
              <w:rPr>
                <w:i/>
                <w:sz w:val="14"/>
              </w:rPr>
              <w:t xml:space="preserve">Número de escaños </w:t>
            </w:r>
            <w:r>
              <w:rPr>
                <w:i/>
                <w:sz w:val="14"/>
              </w:rPr>
              <w:br/>
              <w:t>di</w:t>
            </w:r>
            <w:r>
              <w:rPr>
                <w:i/>
                <w:sz w:val="14"/>
              </w:rPr>
              <w:t>s</w:t>
            </w:r>
            <w:r>
              <w:rPr>
                <w:i/>
                <w:sz w:val="14"/>
              </w:rPr>
              <w:t>ponibles</w:t>
            </w:r>
          </w:p>
        </w:tc>
        <w:tc>
          <w:tcPr>
            <w:tcW w:w="1456" w:type="dxa"/>
            <w:gridSpan w:val="2"/>
            <w:tcBorders>
              <w:top w:val="single" w:sz="4" w:space="0" w:color="auto"/>
            </w:tcBorders>
            <w:vAlign w:val="bottom"/>
          </w:tcPr>
          <w:p w:rsidR="00000000" w:rsidRDefault="00000000">
            <w:pPr>
              <w:pStyle w:val="BodyText"/>
              <w:keepNext/>
              <w:keepLines/>
              <w:spacing w:before="80" w:after="80" w:line="160" w:lineRule="exact"/>
              <w:rPr>
                <w:i/>
                <w:sz w:val="14"/>
              </w:rPr>
            </w:pPr>
            <w:r>
              <w:rPr>
                <w:i/>
                <w:sz w:val="14"/>
              </w:rPr>
              <w:t>Número de candidatas y porcentaje del total</w:t>
            </w:r>
          </w:p>
        </w:tc>
        <w:tc>
          <w:tcPr>
            <w:tcW w:w="1208" w:type="dxa"/>
            <w:gridSpan w:val="2"/>
            <w:tcBorders>
              <w:top w:val="single" w:sz="4" w:space="0" w:color="auto"/>
            </w:tcBorders>
            <w:vAlign w:val="bottom"/>
          </w:tcPr>
          <w:p w:rsidR="00000000" w:rsidRDefault="00000000">
            <w:pPr>
              <w:pStyle w:val="BodyText"/>
              <w:keepNext/>
              <w:keepLines/>
              <w:spacing w:before="80" w:after="80" w:line="160" w:lineRule="exact"/>
              <w:ind w:right="43"/>
              <w:rPr>
                <w:i/>
                <w:sz w:val="14"/>
              </w:rPr>
            </w:pPr>
            <w:r>
              <w:rPr>
                <w:i/>
                <w:sz w:val="14"/>
              </w:rPr>
              <w:t>Número de mujeres venced</w:t>
            </w:r>
            <w:r>
              <w:rPr>
                <w:i/>
                <w:sz w:val="14"/>
              </w:rPr>
              <w:t>o</w:t>
            </w:r>
            <w:r>
              <w:rPr>
                <w:i/>
                <w:sz w:val="14"/>
              </w:rPr>
              <w:t>ras</w:t>
            </w:r>
            <w:r>
              <w:rPr>
                <w:i/>
                <w:sz w:val="14"/>
              </w:rPr>
              <w:br/>
              <w:t>(porcentaje)</w:t>
            </w:r>
          </w:p>
        </w:tc>
      </w:tr>
      <w:tr w:rsidR="00000000">
        <w:tblPrEx>
          <w:tblCellMar>
            <w:top w:w="0" w:type="dxa"/>
            <w:left w:w="0" w:type="dxa"/>
            <w:bottom w:w="0" w:type="dxa"/>
            <w:right w:w="0" w:type="dxa"/>
          </w:tblCellMar>
        </w:tblPrEx>
        <w:trPr>
          <w:trHeight w:hRule="exact" w:val="115"/>
          <w:tblHeader/>
        </w:trPr>
        <w:tc>
          <w:tcPr>
            <w:tcW w:w="3935" w:type="dxa"/>
            <w:tcBorders>
              <w:top w:val="single" w:sz="12" w:space="0" w:color="auto"/>
            </w:tcBorders>
            <w:vAlign w:val="bottom"/>
          </w:tcPr>
          <w:p w:rsidR="00000000" w:rsidRDefault="00000000">
            <w:pPr>
              <w:pStyle w:val="BodyText"/>
              <w:keepNext/>
              <w:keepLines/>
              <w:spacing w:before="40" w:after="40" w:line="210" w:lineRule="exact"/>
              <w:ind w:right="40"/>
              <w:jc w:val="left"/>
              <w:rPr>
                <w:sz w:val="17"/>
              </w:rPr>
            </w:pPr>
          </w:p>
        </w:tc>
        <w:tc>
          <w:tcPr>
            <w:tcW w:w="882" w:type="dxa"/>
            <w:tcBorders>
              <w:top w:val="single" w:sz="12" w:space="0" w:color="auto"/>
            </w:tcBorders>
            <w:vAlign w:val="bottom"/>
          </w:tcPr>
          <w:p w:rsidR="00000000" w:rsidRDefault="00000000">
            <w:pPr>
              <w:pStyle w:val="BodyText"/>
              <w:keepNext/>
              <w:keepLines/>
              <w:spacing w:before="40" w:after="40" w:line="210" w:lineRule="exact"/>
              <w:ind w:right="43"/>
              <w:jc w:val="right"/>
              <w:rPr>
                <w:sz w:val="17"/>
              </w:rPr>
            </w:pPr>
          </w:p>
        </w:tc>
        <w:tc>
          <w:tcPr>
            <w:tcW w:w="1456" w:type="dxa"/>
            <w:gridSpan w:val="2"/>
            <w:tcBorders>
              <w:top w:val="single" w:sz="12" w:space="0" w:color="auto"/>
            </w:tcBorders>
            <w:vAlign w:val="bottom"/>
          </w:tcPr>
          <w:p w:rsidR="00000000" w:rsidRDefault="00000000">
            <w:pPr>
              <w:pStyle w:val="BodyText"/>
              <w:keepNext/>
              <w:keepLines/>
              <w:spacing w:before="40" w:after="40" w:line="210" w:lineRule="exact"/>
              <w:ind w:right="43"/>
              <w:jc w:val="right"/>
              <w:rPr>
                <w:sz w:val="17"/>
              </w:rPr>
            </w:pPr>
          </w:p>
        </w:tc>
        <w:tc>
          <w:tcPr>
            <w:tcW w:w="1208" w:type="dxa"/>
            <w:gridSpan w:val="2"/>
            <w:tcBorders>
              <w:top w:val="single" w:sz="12" w:space="0" w:color="auto"/>
            </w:tcBorders>
            <w:vAlign w:val="bottom"/>
          </w:tcPr>
          <w:p w:rsidR="00000000" w:rsidRDefault="00000000">
            <w:pPr>
              <w:pStyle w:val="BodyText"/>
              <w:keepNext/>
              <w:keepLines/>
              <w:spacing w:before="40" w:after="40" w:line="210" w:lineRule="exact"/>
              <w:ind w:right="43"/>
              <w:jc w:val="right"/>
              <w:rPr>
                <w:sz w:val="17"/>
              </w:rPr>
            </w:pPr>
          </w:p>
        </w:tc>
      </w:tr>
      <w:tr w:rsidR="00000000">
        <w:tblPrEx>
          <w:tblCellMar>
            <w:top w:w="0" w:type="dxa"/>
            <w:left w:w="0" w:type="dxa"/>
            <w:bottom w:w="0" w:type="dxa"/>
            <w:right w:w="0" w:type="dxa"/>
          </w:tblCellMar>
        </w:tblPrEx>
        <w:trPr>
          <w:cantSplit/>
        </w:trPr>
        <w:tc>
          <w:tcPr>
            <w:tcW w:w="3935"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left"/>
              <w:rPr>
                <w:sz w:val="17"/>
              </w:rPr>
            </w:pPr>
            <w:r>
              <w:rPr>
                <w:sz w:val="17"/>
              </w:rPr>
              <w:t>Presidencia</w:t>
            </w:r>
          </w:p>
        </w:tc>
        <w:tc>
          <w:tcPr>
            <w:tcW w:w="882"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3"/>
              <w:jc w:val="right"/>
              <w:rPr>
                <w:sz w:val="17"/>
              </w:rPr>
            </w:pPr>
            <w:r>
              <w:rPr>
                <w:sz w:val="17"/>
              </w:rPr>
              <w:t>2</w:t>
            </w:r>
          </w:p>
        </w:tc>
        <w:tc>
          <w:tcPr>
            <w:tcW w:w="755"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3"/>
              <w:jc w:val="right"/>
              <w:rPr>
                <w:sz w:val="17"/>
              </w:rPr>
            </w:pPr>
            <w:r>
              <w:rPr>
                <w:sz w:val="17"/>
              </w:rPr>
              <w:t>-</w:t>
            </w:r>
          </w:p>
        </w:tc>
        <w:tc>
          <w:tcPr>
            <w:tcW w:w="701" w:type="dxa"/>
            <w:vAlign w:val="bottom"/>
          </w:tcPr>
          <w:p w:rsidR="00000000" w:rsidRDefault="00000000">
            <w:pPr>
              <w:pStyle w:val="BodyText"/>
              <w:keepNext/>
              <w:keepLines/>
              <w:tabs>
                <w:tab w:val="decimal" w:pos="341"/>
              </w:tabs>
              <w:spacing w:before="40" w:after="40" w:line="210" w:lineRule="exact"/>
              <w:ind w:right="43"/>
              <w:jc w:val="left"/>
              <w:rPr>
                <w:sz w:val="17"/>
              </w:rPr>
            </w:pPr>
            <w:r>
              <w:rPr>
                <w:sz w:val="17"/>
              </w:rPr>
              <w:t>4,5</w:t>
            </w:r>
          </w:p>
        </w:tc>
        <w:tc>
          <w:tcPr>
            <w:tcW w:w="604"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3"/>
              <w:jc w:val="right"/>
              <w:rPr>
                <w:sz w:val="17"/>
              </w:rPr>
            </w:pPr>
            <w:r>
              <w:rPr>
                <w:sz w:val="17"/>
              </w:rPr>
              <w:t>-</w:t>
            </w:r>
          </w:p>
        </w:tc>
        <w:tc>
          <w:tcPr>
            <w:tcW w:w="604" w:type="dxa"/>
            <w:vAlign w:val="bottom"/>
          </w:tcPr>
          <w:p w:rsidR="00000000" w:rsidRDefault="00000000">
            <w:pPr>
              <w:pStyle w:val="BodyText"/>
              <w:keepNext/>
              <w:keepLines/>
              <w:tabs>
                <w:tab w:val="decimal" w:pos="364"/>
              </w:tabs>
              <w:spacing w:before="40" w:after="40" w:line="210" w:lineRule="exact"/>
              <w:ind w:right="43"/>
              <w:jc w:val="left"/>
              <w:rPr>
                <w:sz w:val="17"/>
              </w:rPr>
            </w:pPr>
            <w:r>
              <w:rPr>
                <w:sz w:val="17"/>
              </w:rPr>
              <w:t>0</w:t>
            </w:r>
          </w:p>
        </w:tc>
      </w:tr>
      <w:tr w:rsidR="00000000">
        <w:tblPrEx>
          <w:tblCellMar>
            <w:top w:w="0" w:type="dxa"/>
            <w:left w:w="0" w:type="dxa"/>
            <w:bottom w:w="0" w:type="dxa"/>
            <w:right w:w="0" w:type="dxa"/>
          </w:tblCellMar>
        </w:tblPrEx>
        <w:trPr>
          <w:cantSplit/>
        </w:trPr>
        <w:tc>
          <w:tcPr>
            <w:tcW w:w="393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Senado</w:t>
            </w:r>
          </w:p>
        </w:tc>
        <w:tc>
          <w:tcPr>
            <w:tcW w:w="882"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109</w:t>
            </w:r>
          </w:p>
        </w:tc>
        <w:tc>
          <w:tcPr>
            <w:tcW w:w="755"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5</w:t>
            </w:r>
          </w:p>
        </w:tc>
        <w:tc>
          <w:tcPr>
            <w:tcW w:w="701" w:type="dxa"/>
            <w:vAlign w:val="bottom"/>
          </w:tcPr>
          <w:p w:rsidR="00000000" w:rsidRDefault="00000000">
            <w:pPr>
              <w:pStyle w:val="BodyText"/>
              <w:tabs>
                <w:tab w:val="decimal" w:pos="341"/>
              </w:tabs>
              <w:spacing w:before="40" w:after="40" w:line="210" w:lineRule="exact"/>
              <w:ind w:right="43"/>
              <w:jc w:val="left"/>
              <w:rPr>
                <w:sz w:val="17"/>
              </w:rPr>
            </w:pPr>
            <w:r>
              <w:rPr>
                <w:sz w:val="17"/>
              </w:rPr>
              <w:t>4,58</w:t>
            </w:r>
          </w:p>
        </w:tc>
        <w:tc>
          <w:tcPr>
            <w:tcW w:w="604"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3</w:t>
            </w:r>
          </w:p>
        </w:tc>
        <w:tc>
          <w:tcPr>
            <w:tcW w:w="604" w:type="dxa"/>
            <w:vAlign w:val="bottom"/>
          </w:tcPr>
          <w:p w:rsidR="00000000" w:rsidRDefault="00000000">
            <w:pPr>
              <w:pStyle w:val="BodyText"/>
              <w:tabs>
                <w:tab w:val="decimal" w:pos="364"/>
              </w:tabs>
              <w:spacing w:before="40" w:after="40" w:line="210" w:lineRule="exact"/>
              <w:ind w:right="43"/>
              <w:jc w:val="left"/>
              <w:rPr>
                <w:sz w:val="17"/>
              </w:rPr>
            </w:pPr>
            <w:r>
              <w:rPr>
                <w:sz w:val="17"/>
              </w:rPr>
              <w:t>2,75</w:t>
            </w:r>
          </w:p>
        </w:tc>
      </w:tr>
      <w:tr w:rsidR="00000000">
        <w:tblPrEx>
          <w:tblCellMar>
            <w:top w:w="0" w:type="dxa"/>
            <w:left w:w="0" w:type="dxa"/>
            <w:bottom w:w="0" w:type="dxa"/>
            <w:right w:w="0" w:type="dxa"/>
          </w:tblCellMar>
        </w:tblPrEx>
        <w:trPr>
          <w:cantSplit/>
        </w:trPr>
        <w:tc>
          <w:tcPr>
            <w:tcW w:w="393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Cámara de Representantes</w:t>
            </w:r>
            <w:r>
              <w:rPr>
                <w:sz w:val="17"/>
              </w:rPr>
              <w:tab/>
            </w:r>
          </w:p>
        </w:tc>
        <w:tc>
          <w:tcPr>
            <w:tcW w:w="882"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360</w:t>
            </w:r>
          </w:p>
        </w:tc>
        <w:tc>
          <w:tcPr>
            <w:tcW w:w="755"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29</w:t>
            </w:r>
          </w:p>
        </w:tc>
        <w:tc>
          <w:tcPr>
            <w:tcW w:w="701" w:type="dxa"/>
            <w:vAlign w:val="bottom"/>
          </w:tcPr>
          <w:p w:rsidR="00000000" w:rsidRDefault="00000000">
            <w:pPr>
              <w:pStyle w:val="BodyText"/>
              <w:tabs>
                <w:tab w:val="decimal" w:pos="341"/>
              </w:tabs>
              <w:spacing w:before="40" w:after="40" w:line="210" w:lineRule="exact"/>
              <w:ind w:right="43"/>
              <w:jc w:val="left"/>
              <w:rPr>
                <w:sz w:val="17"/>
              </w:rPr>
            </w:pPr>
            <w:r>
              <w:rPr>
                <w:sz w:val="17"/>
              </w:rPr>
              <w:t>8,05</w:t>
            </w:r>
          </w:p>
        </w:tc>
        <w:tc>
          <w:tcPr>
            <w:tcW w:w="604"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12</w:t>
            </w:r>
          </w:p>
        </w:tc>
        <w:tc>
          <w:tcPr>
            <w:tcW w:w="604" w:type="dxa"/>
            <w:vAlign w:val="bottom"/>
          </w:tcPr>
          <w:p w:rsidR="00000000" w:rsidRDefault="00000000">
            <w:pPr>
              <w:pStyle w:val="BodyText"/>
              <w:tabs>
                <w:tab w:val="decimal" w:pos="364"/>
              </w:tabs>
              <w:spacing w:before="40" w:after="40" w:line="210" w:lineRule="exact"/>
              <w:ind w:right="43"/>
              <w:jc w:val="left"/>
              <w:rPr>
                <w:sz w:val="17"/>
              </w:rPr>
            </w:pPr>
            <w:r>
              <w:rPr>
                <w:sz w:val="17"/>
              </w:rPr>
              <w:t>3,3</w:t>
            </w:r>
          </w:p>
        </w:tc>
      </w:tr>
      <w:tr w:rsidR="00000000">
        <w:tblPrEx>
          <w:tblCellMar>
            <w:top w:w="0" w:type="dxa"/>
            <w:left w:w="0" w:type="dxa"/>
            <w:bottom w:w="0" w:type="dxa"/>
            <w:right w:w="0" w:type="dxa"/>
          </w:tblCellMar>
        </w:tblPrEx>
        <w:trPr>
          <w:cantSplit/>
        </w:trPr>
        <w:tc>
          <w:tcPr>
            <w:tcW w:w="393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sz w:val="17"/>
              </w:rPr>
            </w:pPr>
            <w:r>
              <w:rPr>
                <w:sz w:val="17"/>
              </w:rPr>
              <w:t>Cargo de gobernador (Si bien hay una gobernadora adjunta en el Estado de Lagos)</w:t>
            </w:r>
          </w:p>
        </w:tc>
        <w:tc>
          <w:tcPr>
            <w:tcW w:w="882"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72</w:t>
            </w:r>
          </w:p>
        </w:tc>
        <w:tc>
          <w:tcPr>
            <w:tcW w:w="755"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2</w:t>
            </w:r>
          </w:p>
        </w:tc>
        <w:tc>
          <w:tcPr>
            <w:tcW w:w="701" w:type="dxa"/>
            <w:vAlign w:val="bottom"/>
          </w:tcPr>
          <w:p w:rsidR="00000000" w:rsidRDefault="00000000">
            <w:pPr>
              <w:pStyle w:val="BodyText"/>
              <w:tabs>
                <w:tab w:val="decimal" w:pos="341"/>
              </w:tabs>
              <w:spacing w:before="40" w:after="40" w:line="210" w:lineRule="exact"/>
              <w:ind w:right="43"/>
              <w:jc w:val="left"/>
              <w:rPr>
                <w:sz w:val="17"/>
              </w:rPr>
            </w:pPr>
            <w:r>
              <w:rPr>
                <w:sz w:val="17"/>
              </w:rPr>
              <w:t>2,78</w:t>
            </w:r>
          </w:p>
        </w:tc>
        <w:tc>
          <w:tcPr>
            <w:tcW w:w="604"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604" w:type="dxa"/>
            <w:vAlign w:val="bottom"/>
          </w:tcPr>
          <w:p w:rsidR="00000000" w:rsidRDefault="00000000">
            <w:pPr>
              <w:pStyle w:val="BodyText"/>
              <w:tabs>
                <w:tab w:val="decimal" w:pos="364"/>
              </w:tabs>
              <w:spacing w:before="40" w:after="40" w:line="210" w:lineRule="exact"/>
              <w:ind w:right="43"/>
              <w:jc w:val="left"/>
              <w:rPr>
                <w:sz w:val="17"/>
              </w:rPr>
            </w:pPr>
          </w:p>
        </w:tc>
      </w:tr>
      <w:tr w:rsidR="00000000">
        <w:tblPrEx>
          <w:tblCellMar>
            <w:top w:w="0" w:type="dxa"/>
            <w:left w:w="0" w:type="dxa"/>
            <w:bottom w:w="0" w:type="dxa"/>
            <w:right w:w="0" w:type="dxa"/>
          </w:tblCellMar>
        </w:tblPrEx>
        <w:trPr>
          <w:cantSplit/>
        </w:trPr>
        <w:tc>
          <w:tcPr>
            <w:tcW w:w="393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Asambleas de los Estados</w:t>
            </w:r>
          </w:p>
        </w:tc>
        <w:tc>
          <w:tcPr>
            <w:tcW w:w="882"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990</w:t>
            </w:r>
          </w:p>
        </w:tc>
        <w:tc>
          <w:tcPr>
            <w:tcW w:w="755"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39</w:t>
            </w:r>
          </w:p>
        </w:tc>
        <w:tc>
          <w:tcPr>
            <w:tcW w:w="701" w:type="dxa"/>
            <w:vAlign w:val="bottom"/>
          </w:tcPr>
          <w:p w:rsidR="00000000" w:rsidRDefault="00000000">
            <w:pPr>
              <w:pStyle w:val="BodyText"/>
              <w:tabs>
                <w:tab w:val="decimal" w:pos="341"/>
              </w:tabs>
              <w:spacing w:before="40" w:after="40" w:line="210" w:lineRule="exact"/>
              <w:ind w:right="43"/>
              <w:jc w:val="left"/>
              <w:rPr>
                <w:sz w:val="17"/>
              </w:rPr>
            </w:pPr>
            <w:r>
              <w:rPr>
                <w:sz w:val="17"/>
              </w:rPr>
              <w:t>3,93</w:t>
            </w:r>
          </w:p>
        </w:tc>
        <w:tc>
          <w:tcPr>
            <w:tcW w:w="604"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12</w:t>
            </w:r>
          </w:p>
        </w:tc>
        <w:tc>
          <w:tcPr>
            <w:tcW w:w="604" w:type="dxa"/>
            <w:vAlign w:val="bottom"/>
          </w:tcPr>
          <w:p w:rsidR="00000000" w:rsidRDefault="00000000">
            <w:pPr>
              <w:pStyle w:val="BodyText"/>
              <w:tabs>
                <w:tab w:val="decimal" w:pos="364"/>
              </w:tabs>
              <w:spacing w:before="40" w:after="40" w:line="210" w:lineRule="exact"/>
              <w:ind w:right="43"/>
              <w:jc w:val="left"/>
              <w:rPr>
                <w:sz w:val="17"/>
              </w:rPr>
            </w:pPr>
            <w:r>
              <w:rPr>
                <w:sz w:val="17"/>
              </w:rPr>
              <w:t>2,21</w:t>
            </w:r>
          </w:p>
        </w:tc>
      </w:tr>
      <w:tr w:rsidR="00000000">
        <w:tblPrEx>
          <w:tblCellMar>
            <w:top w:w="0" w:type="dxa"/>
            <w:left w:w="0" w:type="dxa"/>
            <w:bottom w:w="0" w:type="dxa"/>
            <w:right w:w="0" w:type="dxa"/>
          </w:tblCellMar>
        </w:tblPrEx>
        <w:trPr>
          <w:cantSplit/>
        </w:trPr>
        <w:tc>
          <w:tcPr>
            <w:tcW w:w="393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Presidencia de gobiernos locales</w:t>
            </w:r>
          </w:p>
        </w:tc>
        <w:tc>
          <w:tcPr>
            <w:tcW w:w="882"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774</w:t>
            </w:r>
          </w:p>
        </w:tc>
        <w:tc>
          <w:tcPr>
            <w:tcW w:w="755"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46</w:t>
            </w:r>
          </w:p>
        </w:tc>
        <w:tc>
          <w:tcPr>
            <w:tcW w:w="701" w:type="dxa"/>
            <w:vAlign w:val="bottom"/>
          </w:tcPr>
          <w:p w:rsidR="00000000" w:rsidRDefault="00000000">
            <w:pPr>
              <w:pStyle w:val="BodyText"/>
              <w:tabs>
                <w:tab w:val="decimal" w:pos="341"/>
              </w:tabs>
              <w:spacing w:before="40" w:after="40" w:line="210" w:lineRule="exact"/>
              <w:ind w:right="43"/>
              <w:jc w:val="left"/>
              <w:rPr>
                <w:sz w:val="17"/>
              </w:rPr>
            </w:pPr>
            <w:r>
              <w:rPr>
                <w:sz w:val="17"/>
              </w:rPr>
              <w:t>5,94</w:t>
            </w:r>
          </w:p>
        </w:tc>
        <w:tc>
          <w:tcPr>
            <w:tcW w:w="604"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9</w:t>
            </w:r>
          </w:p>
        </w:tc>
        <w:tc>
          <w:tcPr>
            <w:tcW w:w="604" w:type="dxa"/>
            <w:vAlign w:val="bottom"/>
          </w:tcPr>
          <w:p w:rsidR="00000000" w:rsidRDefault="00000000">
            <w:pPr>
              <w:pStyle w:val="BodyText"/>
              <w:tabs>
                <w:tab w:val="decimal" w:pos="364"/>
              </w:tabs>
              <w:spacing w:before="40" w:after="40" w:line="210" w:lineRule="exact"/>
              <w:ind w:right="43"/>
              <w:jc w:val="left"/>
              <w:rPr>
                <w:sz w:val="17"/>
              </w:rPr>
            </w:pPr>
            <w:r>
              <w:rPr>
                <w:sz w:val="17"/>
              </w:rPr>
              <w:t>1,16</w:t>
            </w:r>
          </w:p>
        </w:tc>
      </w:tr>
      <w:tr w:rsidR="00000000">
        <w:tblPrEx>
          <w:tblCellMar>
            <w:top w:w="0" w:type="dxa"/>
            <w:left w:w="0" w:type="dxa"/>
            <w:bottom w:w="0" w:type="dxa"/>
            <w:right w:w="0" w:type="dxa"/>
          </w:tblCellMar>
        </w:tblPrEx>
        <w:trPr>
          <w:cantSplit/>
        </w:trPr>
        <w:tc>
          <w:tcPr>
            <w:tcW w:w="3935"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Concejalías</w:t>
            </w:r>
          </w:p>
        </w:tc>
        <w:tc>
          <w:tcPr>
            <w:tcW w:w="882"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8 810</w:t>
            </w:r>
          </w:p>
        </w:tc>
        <w:tc>
          <w:tcPr>
            <w:tcW w:w="755"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510</w:t>
            </w:r>
          </w:p>
        </w:tc>
        <w:tc>
          <w:tcPr>
            <w:tcW w:w="701" w:type="dxa"/>
            <w:vAlign w:val="bottom"/>
          </w:tcPr>
          <w:p w:rsidR="00000000" w:rsidRDefault="00000000">
            <w:pPr>
              <w:pStyle w:val="BodyText"/>
              <w:tabs>
                <w:tab w:val="decimal" w:pos="341"/>
              </w:tabs>
              <w:spacing w:before="40" w:after="40" w:line="210" w:lineRule="exact"/>
              <w:ind w:right="43"/>
              <w:jc w:val="left"/>
              <w:rPr>
                <w:sz w:val="17"/>
              </w:rPr>
            </w:pPr>
            <w:r>
              <w:rPr>
                <w:sz w:val="17"/>
              </w:rPr>
              <w:t>5,79</w:t>
            </w:r>
          </w:p>
        </w:tc>
        <w:tc>
          <w:tcPr>
            <w:tcW w:w="604"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143</w:t>
            </w:r>
          </w:p>
        </w:tc>
        <w:tc>
          <w:tcPr>
            <w:tcW w:w="604" w:type="dxa"/>
            <w:vAlign w:val="bottom"/>
          </w:tcPr>
          <w:p w:rsidR="00000000" w:rsidRDefault="00000000">
            <w:pPr>
              <w:pStyle w:val="BodyText"/>
              <w:tabs>
                <w:tab w:val="decimal" w:pos="364"/>
              </w:tabs>
              <w:spacing w:before="40" w:after="40" w:line="210" w:lineRule="exact"/>
              <w:ind w:right="43"/>
              <w:jc w:val="left"/>
              <w:rPr>
                <w:sz w:val="17"/>
              </w:rPr>
            </w:pPr>
            <w:r>
              <w:rPr>
                <w:sz w:val="17"/>
              </w:rPr>
              <w:t>1,62</w:t>
            </w:r>
          </w:p>
        </w:tc>
      </w:tr>
      <w:tr w:rsidR="00000000">
        <w:tblPrEx>
          <w:tblCellMar>
            <w:top w:w="0" w:type="dxa"/>
            <w:left w:w="0" w:type="dxa"/>
            <w:bottom w:w="0" w:type="dxa"/>
            <w:right w:w="0" w:type="dxa"/>
          </w:tblCellMar>
        </w:tblPrEx>
        <w:trPr>
          <w:cantSplit/>
        </w:trPr>
        <w:tc>
          <w:tcPr>
            <w:tcW w:w="3935"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b/>
                <w:sz w:val="17"/>
              </w:rPr>
              <w:t>Total</w:t>
            </w:r>
          </w:p>
        </w:tc>
        <w:tc>
          <w:tcPr>
            <w:tcW w:w="882"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3"/>
              <w:jc w:val="right"/>
              <w:rPr>
                <w:b/>
                <w:sz w:val="17"/>
              </w:rPr>
            </w:pPr>
            <w:r>
              <w:rPr>
                <w:b/>
                <w:sz w:val="17"/>
              </w:rPr>
              <w:t>11 107</w:t>
            </w:r>
          </w:p>
        </w:tc>
        <w:tc>
          <w:tcPr>
            <w:tcW w:w="755"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3"/>
              <w:jc w:val="right"/>
              <w:rPr>
                <w:b/>
                <w:sz w:val="17"/>
              </w:rPr>
            </w:pPr>
            <w:r>
              <w:rPr>
                <w:b/>
                <w:sz w:val="17"/>
              </w:rPr>
              <w:t>631</w:t>
            </w:r>
          </w:p>
        </w:tc>
        <w:tc>
          <w:tcPr>
            <w:tcW w:w="701" w:type="dxa"/>
            <w:tcBorders>
              <w:bottom w:val="single" w:sz="12" w:space="0" w:color="auto"/>
            </w:tcBorders>
            <w:vAlign w:val="bottom"/>
          </w:tcPr>
          <w:p w:rsidR="00000000" w:rsidRDefault="00000000">
            <w:pPr>
              <w:pStyle w:val="BodyText"/>
              <w:tabs>
                <w:tab w:val="decimal" w:pos="341"/>
              </w:tabs>
              <w:spacing w:before="40" w:after="40" w:line="210" w:lineRule="exact"/>
              <w:ind w:right="43"/>
              <w:jc w:val="left"/>
              <w:rPr>
                <w:b/>
                <w:sz w:val="17"/>
              </w:rPr>
            </w:pPr>
            <w:r>
              <w:rPr>
                <w:b/>
                <w:sz w:val="17"/>
              </w:rPr>
              <w:t>5,68</w:t>
            </w:r>
          </w:p>
        </w:tc>
        <w:tc>
          <w:tcPr>
            <w:tcW w:w="604"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3"/>
              <w:jc w:val="right"/>
              <w:rPr>
                <w:b/>
                <w:sz w:val="17"/>
              </w:rPr>
            </w:pPr>
            <w:r>
              <w:rPr>
                <w:b/>
                <w:sz w:val="17"/>
              </w:rPr>
              <w:t>181</w:t>
            </w:r>
          </w:p>
        </w:tc>
        <w:tc>
          <w:tcPr>
            <w:tcW w:w="604" w:type="dxa"/>
            <w:tcBorders>
              <w:bottom w:val="single" w:sz="12" w:space="0" w:color="auto"/>
            </w:tcBorders>
            <w:vAlign w:val="bottom"/>
          </w:tcPr>
          <w:p w:rsidR="00000000" w:rsidRDefault="00000000">
            <w:pPr>
              <w:pStyle w:val="BodyText"/>
              <w:tabs>
                <w:tab w:val="decimal" w:pos="364"/>
              </w:tabs>
              <w:spacing w:before="40" w:after="40" w:line="210" w:lineRule="exact"/>
              <w:ind w:right="43"/>
              <w:jc w:val="left"/>
              <w:rPr>
                <w:b/>
                <w:sz w:val="17"/>
              </w:rPr>
            </w:pPr>
            <w:r>
              <w:rPr>
                <w:b/>
                <w:sz w:val="17"/>
              </w:rPr>
              <w:t>1,63</w:t>
            </w:r>
          </w:p>
        </w:tc>
      </w:tr>
    </w:tbl>
    <w:p w:rsidR="00000000" w:rsidRDefault="00000000">
      <w:pPr>
        <w:pStyle w:val="BodyText"/>
        <w:spacing w:line="120" w:lineRule="exact"/>
        <w:jc w:val="both"/>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INEC, Elecciones de 1999</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BodyText"/>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ab/>
      </w:r>
      <w:r>
        <w:rPr>
          <w:b w:val="0"/>
        </w:rPr>
        <w:tab/>
        <w:t xml:space="preserve">Cuadro 7.6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Nombramientos para los Consejos Federales y los organismos autónomos</w:t>
      </w:r>
    </w:p>
    <w:p w:rsidR="00000000" w:rsidRDefault="00000000">
      <w:pPr>
        <w:keepNext/>
        <w:keepLines/>
        <w:spacing w:line="120" w:lineRule="exact"/>
        <w:rPr>
          <w:sz w:val="10"/>
        </w:rPr>
      </w:pPr>
    </w:p>
    <w:p w:rsidR="00000000" w:rsidRDefault="00000000">
      <w:pPr>
        <w:pStyle w:val="BodyText"/>
        <w:keepNext/>
        <w:keepLines/>
        <w:spacing w:line="120" w:lineRule="exact"/>
        <w:jc w:val="both"/>
        <w:rPr>
          <w:i/>
          <w:sz w:val="10"/>
          <w:u w:val="single"/>
        </w:rPr>
      </w:pPr>
    </w:p>
    <w:tbl>
      <w:tblPr>
        <w:tblW w:w="0" w:type="auto"/>
        <w:tblInd w:w="1161" w:type="dxa"/>
        <w:tblLayout w:type="fixed"/>
        <w:tblLook w:val="0000" w:firstRow="0" w:lastRow="0" w:firstColumn="0" w:lastColumn="0" w:noHBand="0" w:noVBand="0"/>
      </w:tblPr>
      <w:tblGrid>
        <w:gridCol w:w="641"/>
        <w:gridCol w:w="3870"/>
        <w:gridCol w:w="936"/>
        <w:gridCol w:w="936"/>
        <w:gridCol w:w="937"/>
      </w:tblGrid>
      <w:tr w:rsidR="00000000">
        <w:tblPrEx>
          <w:tblCellMar>
            <w:top w:w="0" w:type="dxa"/>
            <w:bottom w:w="0" w:type="dxa"/>
          </w:tblCellMar>
        </w:tblPrEx>
        <w:trPr>
          <w:tblHeader/>
        </w:trPr>
        <w:tc>
          <w:tcPr>
            <w:tcW w:w="641" w:type="dxa"/>
            <w:tcBorders>
              <w:top w:val="single" w:sz="4" w:space="0" w:color="auto"/>
            </w:tcBorders>
            <w:vAlign w:val="bottom"/>
          </w:tcPr>
          <w:p w:rsidR="00000000" w:rsidRDefault="00000000">
            <w:pPr>
              <w:pStyle w:val="BodyText"/>
              <w:keepNext/>
              <w:keepLines/>
              <w:spacing w:before="80" w:after="80" w:line="160" w:lineRule="exact"/>
              <w:ind w:right="40"/>
              <w:rPr>
                <w:i/>
                <w:sz w:val="14"/>
              </w:rPr>
            </w:pPr>
            <w:r>
              <w:rPr>
                <w:i/>
                <w:sz w:val="14"/>
              </w:rPr>
              <w:t>S/NO</w:t>
            </w:r>
          </w:p>
        </w:tc>
        <w:tc>
          <w:tcPr>
            <w:tcW w:w="3870" w:type="dxa"/>
            <w:tcBorders>
              <w:top w:val="single" w:sz="4" w:space="0" w:color="auto"/>
            </w:tcBorders>
            <w:vAlign w:val="bottom"/>
          </w:tcPr>
          <w:p w:rsidR="00000000" w:rsidRDefault="00000000">
            <w:pPr>
              <w:pStyle w:val="BodyText"/>
              <w:keepNext/>
              <w:keepLines/>
              <w:spacing w:before="80" w:after="80" w:line="160" w:lineRule="exact"/>
              <w:ind w:right="40"/>
              <w:jc w:val="left"/>
              <w:rPr>
                <w:i/>
                <w:sz w:val="14"/>
              </w:rPr>
            </w:pPr>
            <w:r>
              <w:rPr>
                <w:i/>
                <w:sz w:val="14"/>
              </w:rPr>
              <w:t>Consejo</w:t>
            </w:r>
          </w:p>
        </w:tc>
        <w:tc>
          <w:tcPr>
            <w:tcW w:w="936" w:type="dxa"/>
            <w:tcBorders>
              <w:top w:val="single" w:sz="4" w:space="0" w:color="auto"/>
            </w:tcBorders>
            <w:vAlign w:val="bottom"/>
          </w:tcPr>
          <w:p w:rsidR="00000000" w:rsidRDefault="00000000">
            <w:pPr>
              <w:pStyle w:val="BodyText"/>
              <w:keepNext/>
              <w:keepLines/>
              <w:spacing w:before="80" w:after="80" w:line="160" w:lineRule="exact"/>
              <w:ind w:right="40"/>
              <w:jc w:val="right"/>
              <w:rPr>
                <w:i/>
                <w:sz w:val="14"/>
              </w:rPr>
            </w:pPr>
            <w:r>
              <w:rPr>
                <w:i/>
                <w:sz w:val="14"/>
              </w:rPr>
              <w:t>Hombres</w:t>
            </w:r>
          </w:p>
        </w:tc>
        <w:tc>
          <w:tcPr>
            <w:tcW w:w="936" w:type="dxa"/>
            <w:tcBorders>
              <w:top w:val="single" w:sz="4" w:space="0" w:color="auto"/>
            </w:tcBorders>
            <w:vAlign w:val="bottom"/>
          </w:tcPr>
          <w:p w:rsidR="00000000" w:rsidRDefault="00000000">
            <w:pPr>
              <w:pStyle w:val="BodyText"/>
              <w:keepNext/>
              <w:keepLines/>
              <w:spacing w:before="80" w:after="80" w:line="160" w:lineRule="exact"/>
              <w:ind w:right="40"/>
              <w:jc w:val="right"/>
              <w:rPr>
                <w:i/>
                <w:sz w:val="14"/>
              </w:rPr>
            </w:pPr>
            <w:r>
              <w:rPr>
                <w:i/>
                <w:sz w:val="14"/>
              </w:rPr>
              <w:t>Mujeres</w:t>
            </w:r>
          </w:p>
        </w:tc>
        <w:tc>
          <w:tcPr>
            <w:tcW w:w="937" w:type="dxa"/>
            <w:tcBorders>
              <w:top w:val="single" w:sz="4" w:space="0" w:color="auto"/>
            </w:tcBorders>
            <w:vAlign w:val="bottom"/>
          </w:tcPr>
          <w:p w:rsidR="00000000" w:rsidRDefault="00000000">
            <w:pPr>
              <w:pStyle w:val="BodyText"/>
              <w:keepNext/>
              <w:keepLine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641" w:type="dxa"/>
            <w:tcBorders>
              <w:top w:val="single" w:sz="12" w:space="0" w:color="auto"/>
            </w:tcBorders>
            <w:vAlign w:val="bottom"/>
          </w:tcPr>
          <w:p w:rsidR="00000000" w:rsidRDefault="00000000">
            <w:pPr>
              <w:pStyle w:val="BodyText"/>
              <w:keepNext/>
              <w:keepLines/>
              <w:spacing w:before="40" w:after="40" w:line="210" w:lineRule="exact"/>
              <w:ind w:right="40"/>
              <w:jc w:val="both"/>
              <w:rPr>
                <w:sz w:val="17"/>
              </w:rPr>
            </w:pPr>
          </w:p>
        </w:tc>
        <w:tc>
          <w:tcPr>
            <w:tcW w:w="3870" w:type="dxa"/>
            <w:tcBorders>
              <w:top w:val="single" w:sz="12" w:space="0" w:color="auto"/>
            </w:tcBorders>
            <w:vAlign w:val="bottom"/>
          </w:tcPr>
          <w:p w:rsidR="00000000" w:rsidRDefault="00000000">
            <w:pPr>
              <w:pStyle w:val="BodyText"/>
              <w:keepNext/>
              <w:keepLines/>
              <w:spacing w:before="40" w:after="40" w:line="210" w:lineRule="exact"/>
              <w:ind w:right="40"/>
              <w:jc w:val="left"/>
              <w:rPr>
                <w:sz w:val="17"/>
              </w:rPr>
            </w:pPr>
          </w:p>
        </w:tc>
        <w:tc>
          <w:tcPr>
            <w:tcW w:w="936" w:type="dxa"/>
            <w:tcBorders>
              <w:top w:val="single" w:sz="12" w:space="0" w:color="auto"/>
            </w:tcBorders>
            <w:vAlign w:val="bottom"/>
          </w:tcPr>
          <w:p w:rsidR="00000000" w:rsidRDefault="00000000">
            <w:pPr>
              <w:pStyle w:val="BodyText"/>
              <w:keepNext/>
              <w:keepLines/>
              <w:spacing w:before="40" w:after="40" w:line="210" w:lineRule="exact"/>
              <w:ind w:right="40"/>
              <w:jc w:val="right"/>
              <w:rPr>
                <w:sz w:val="17"/>
              </w:rPr>
            </w:pPr>
          </w:p>
        </w:tc>
        <w:tc>
          <w:tcPr>
            <w:tcW w:w="936" w:type="dxa"/>
            <w:tcBorders>
              <w:top w:val="single" w:sz="12" w:space="0" w:color="auto"/>
            </w:tcBorders>
            <w:vAlign w:val="bottom"/>
          </w:tcPr>
          <w:p w:rsidR="00000000" w:rsidRDefault="00000000">
            <w:pPr>
              <w:pStyle w:val="BodyText"/>
              <w:keepNext/>
              <w:keepLines/>
              <w:spacing w:before="40" w:after="40" w:line="210" w:lineRule="exact"/>
              <w:ind w:right="40"/>
              <w:jc w:val="right"/>
              <w:rPr>
                <w:sz w:val="17"/>
              </w:rPr>
            </w:pPr>
          </w:p>
        </w:tc>
        <w:tc>
          <w:tcPr>
            <w:tcW w:w="937" w:type="dxa"/>
            <w:tcBorders>
              <w:top w:val="single" w:sz="12" w:space="0" w:color="auto"/>
            </w:tcBorders>
            <w:vAlign w:val="bottom"/>
          </w:tcPr>
          <w:p w:rsidR="00000000" w:rsidRDefault="00000000">
            <w:pPr>
              <w:pStyle w:val="BodyText"/>
              <w:keepNext/>
              <w:keepLines/>
              <w:spacing w:before="40" w:after="40" w:line="210" w:lineRule="exact"/>
              <w:ind w:right="40"/>
              <w:jc w:val="right"/>
              <w:rPr>
                <w:sz w:val="17"/>
              </w:rPr>
            </w:pPr>
          </w:p>
        </w:tc>
      </w:tr>
      <w:tr w:rsidR="00000000">
        <w:tblPrEx>
          <w:tblCellMar>
            <w:top w:w="0" w:type="dxa"/>
            <w:bottom w:w="0" w:type="dxa"/>
          </w:tblCellMar>
        </w:tblPrEx>
        <w:tc>
          <w:tcPr>
            <w:tcW w:w="641" w:type="dxa"/>
          </w:tcPr>
          <w:p w:rsidR="00000000" w:rsidRDefault="00000000">
            <w:pPr>
              <w:pStyle w:val="BodyText"/>
              <w:keepNext/>
              <w:keepLines/>
              <w:tabs>
                <w:tab w:val="left" w:pos="288"/>
                <w:tab w:val="left" w:pos="576"/>
                <w:tab w:val="left" w:pos="864"/>
                <w:tab w:val="left" w:pos="1152"/>
              </w:tabs>
              <w:spacing w:before="40" w:after="40" w:line="210" w:lineRule="exact"/>
              <w:ind w:right="40"/>
              <w:jc w:val="both"/>
              <w:rPr>
                <w:sz w:val="17"/>
              </w:rPr>
            </w:pPr>
            <w:r>
              <w:rPr>
                <w:sz w:val="17"/>
              </w:rPr>
              <w:t xml:space="preserve">  1</w:t>
            </w:r>
          </w:p>
        </w:tc>
        <w:tc>
          <w:tcPr>
            <w:tcW w:w="3870"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left"/>
              <w:rPr>
                <w:sz w:val="17"/>
              </w:rPr>
            </w:pPr>
            <w:r>
              <w:rPr>
                <w:sz w:val="17"/>
              </w:rPr>
              <w:t>Compañía Nacional de Fertilizantes (NAFCON)</w:t>
            </w:r>
          </w:p>
        </w:tc>
        <w:tc>
          <w:tcPr>
            <w:tcW w:w="936"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2</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Zona Nigeriana de Elaboración y Exportación (NEPZA)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3</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Telefónica Nacional (NITEL)</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4</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Siderúrgica de Ajaokuta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5</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Organismo Autónomo de Desarrollo de la Capital Federal (FCDA)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6</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Organismo Autónomo de Televisión de Nigeria (NTA)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7</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Niger Dock Nigeria Ltd.</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8</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Organismo Nigeriano de Gestión del Espacio Aéreo (NPA)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  9</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Organismo Autónomo Portuario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10</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de Fundición de Aluminio</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11</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Organismo Autónomo de Vías de Navegación Int</w:t>
            </w:r>
            <w:r>
              <w:rPr>
                <w:sz w:val="17"/>
              </w:rPr>
              <w:t>e</w:t>
            </w:r>
            <w:r>
              <w:rPr>
                <w:sz w:val="17"/>
              </w:rPr>
              <w:t>rior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12</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Nacional de Minas de Hierro, S.A.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13</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lang w:val="en-GB"/>
              </w:rPr>
              <w:t>Nigerian Unity Line Plc.</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14</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Organismo Autónomo de Aeropuertos de Nigeria (FAAN)</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15</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de Servicios de Tierra de Aeropuertos de Nigeria (NAHCO)</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16</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Organismo Autónomo de Aviación Civil de Nigeria (NCAA)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17</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Servicios Postales de Nigeria (NIPOST)</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18</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Programa Nacional de Inmunización</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19</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Organismo Nacional de Administración y Superv</w:t>
            </w:r>
            <w:r>
              <w:rPr>
                <w:sz w:val="17"/>
              </w:rPr>
              <w:t>i</w:t>
            </w:r>
            <w:r>
              <w:rPr>
                <w:sz w:val="17"/>
              </w:rPr>
              <w:t>sión de Alimentos y Medicamentos (NADFAC)</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20</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Organización de Normalización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21</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Laminadoras de acero (Oshogbo)</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22</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Laminadoras de acero (Jos)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23</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Laminadoras de acero (Katsina)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24</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Acero del Delta (Aladja)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25</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 xml:space="preserve">Organismo Nacional de Desarrollo de los Materiales de Acero </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26</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Oficina Federal de Estadística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27</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Teatro Nacional</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28</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Dirección Nacional de Empleo</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29</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Nacional de Máquinas Herramienta (Oshogbo)</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30</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 xml:space="preserve">Agencia de Noticias de Nigeria </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31</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 xml:space="preserve">Organismo de Compensación y Expedición de </w:t>
            </w:r>
            <w:r>
              <w:rPr>
                <w:sz w:val="17"/>
              </w:rPr>
              <w:br/>
              <w:t>Nig</w:t>
            </w:r>
            <w:r>
              <w:rPr>
                <w:sz w:val="17"/>
              </w:rPr>
              <w:t>e</w:t>
            </w:r>
            <w:r>
              <w:rPr>
                <w:sz w:val="17"/>
              </w:rPr>
              <w:t>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32</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Azucarera de Nigeria (Bacita)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33</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Azucarera de la Sabana (Numan)</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34</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Papelera de Nigeria (Jebba)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35</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Automovilística Peugeot (PAN) (Kad</w:t>
            </w:r>
            <w:r>
              <w:rPr>
                <w:sz w:val="17"/>
              </w:rPr>
              <w:t>u</w:t>
            </w:r>
            <w:r>
              <w:rPr>
                <w:sz w:val="17"/>
              </w:rPr>
              <w:t>na)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36</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de Fabricación de Vehículos de Motor de Anambra (ANAMCO) (Enugu)</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37</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Steyr Automobile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38</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Organismo de Desarrollo de las Pequeñas y Medi</w:t>
            </w:r>
            <w:r>
              <w:rPr>
                <w:sz w:val="17"/>
              </w:rPr>
              <w:t>a</w:t>
            </w:r>
            <w:r>
              <w:rPr>
                <w:sz w:val="17"/>
              </w:rPr>
              <w:t xml:space="preserve">nas Industrias </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39</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Asuntos Empresariales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40</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Nacional de Seguros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41</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Consejo de Transportistas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42</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Consejo Nacional de las Artes y la Cultura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43</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Consejo de Fomento de la Exportación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44</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Petroquímica Eleme, S.A.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45</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Nacional de Museos y Monumentos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46</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Consejo Nacional de Desarrollo del Azúcar</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47</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Consejo de Protección del Consumidor</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23</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48</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Nacional de los Derechos de Autor</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49</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del Mercado de Valores (SEC)</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50</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la Energía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51</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 xml:space="preserve">Consejo Automovilístico Nacional </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52</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Banco Hipotecario Federal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53</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Fondo de Capacitación Industrial</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54</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Banco de Desarrollo Industrial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55</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Corporación Ferroviaria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56</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Corporación Nacional de Seguros (NICON)</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57</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Corporación de Seguros de Depósito de Nigeria (NDIC)</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56</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Corporación Minera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57</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Corporación del Carbón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58</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Corporación de Reaseguros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59</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Sistema Nacional de Seguro de Enfermedad</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60</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Corporación “La Voz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61</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Corporación de la Radio Federal de Nigeria (FRCN)</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62</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Comisión de Radiodifusión y Televisión de Nig</w:t>
            </w:r>
            <w:r>
              <w:rPr>
                <w:sz w:val="17"/>
              </w:rPr>
              <w:t>e</w:t>
            </w:r>
            <w:r>
              <w:rPr>
                <w:sz w:val="17"/>
              </w:rPr>
              <w:t>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63</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Corporación de Seguros Agrarios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64</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Junta Nacional de Recursos Humanos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bottom w:w="0" w:type="dxa"/>
          </w:tblCellMar>
        </w:tblPrEx>
        <w:tc>
          <w:tcPr>
            <w:tcW w:w="641" w:type="dxa"/>
          </w:tcPr>
          <w:p w:rsidR="00000000" w:rsidRDefault="00000000">
            <w:pPr>
              <w:pStyle w:val="BodyText"/>
              <w:keepNext/>
              <w:keepLines/>
              <w:tabs>
                <w:tab w:val="left" w:pos="288"/>
                <w:tab w:val="left" w:pos="576"/>
                <w:tab w:val="left" w:pos="864"/>
                <w:tab w:val="left" w:pos="1152"/>
              </w:tabs>
              <w:spacing w:before="40" w:after="40" w:line="210" w:lineRule="exact"/>
              <w:ind w:right="43"/>
              <w:jc w:val="both"/>
              <w:rPr>
                <w:sz w:val="17"/>
              </w:rPr>
            </w:pPr>
            <w:r>
              <w:rPr>
                <w:sz w:val="17"/>
              </w:rPr>
              <w:t>65</w:t>
            </w:r>
          </w:p>
        </w:tc>
        <w:tc>
          <w:tcPr>
            <w:tcW w:w="3870"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3"/>
              <w:jc w:val="left"/>
              <w:rPr>
                <w:sz w:val="17"/>
              </w:rPr>
            </w:pPr>
            <w:r>
              <w:rPr>
                <w:sz w:val="17"/>
              </w:rPr>
              <w:t>Consejo de Administración de la Feria Internacional de Comercio de Lagos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67</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Corporación Cinematográfica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69</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Junta Nacional de Evaluación de la Educación</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70</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Junta Nacional de Exámenes Técnicos y de Adm</w:t>
            </w:r>
            <w:r>
              <w:rPr>
                <w:sz w:val="17"/>
              </w:rPr>
              <w:t>i</w:t>
            </w:r>
            <w:r>
              <w:rPr>
                <w:sz w:val="17"/>
              </w:rPr>
              <w:t>nistración de Empresas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71</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Junta Directiva de la Biblioteca Nacional</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72</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Junta Nacional de Enseñanza Técnica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73</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Consejo Laboral de Estibadores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74</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Zona Franca de Producción de Petróleo y Gas de Onne (Port Harcourt)</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75</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Corporación Nacional del Petróleo de Nigeria (NNPC)</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76</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Fondo de Compensación del Petróleo</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77</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Hyson Nigeria, S.A.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78</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Servicios de Datos Integrados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79</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Petroquímica y Refinería de Kad</w:t>
            </w:r>
            <w:r>
              <w:rPr>
                <w:sz w:val="17"/>
              </w:rPr>
              <w:t>u</w:t>
            </w:r>
            <w:r>
              <w:rPr>
                <w:sz w:val="17"/>
              </w:rPr>
              <w:t>na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80</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Empresa nacional de ingeniería y tecnología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81</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Servicios Nacionales de Gestión e Inversión  del Petróleo</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82</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de Gas de Nigeria, S. 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83</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Nacional de Gas Natural Licuado</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84</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de Desarrollo del Petróleo de Nig</w:t>
            </w:r>
            <w:r>
              <w:rPr>
                <w:sz w:val="17"/>
              </w:rPr>
              <w:t>e</w:t>
            </w:r>
            <w:r>
              <w:rPr>
                <w:sz w:val="17"/>
              </w:rPr>
              <w:t>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85</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de Comercialización de Productos del Petróleo (PPMC)</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86</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Refinería de Port Harcourt</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87</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Petroquímica y Refinería de Warri</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88</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Duke Oil</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89</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Escuela de Administración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90</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Centro Nacional de Gestión y Administración Ec</w:t>
            </w:r>
            <w:r>
              <w:rPr>
                <w:sz w:val="17"/>
              </w:rPr>
              <w:t>o</w:t>
            </w:r>
            <w:r>
              <w:rPr>
                <w:sz w:val="17"/>
              </w:rPr>
              <w:t>nómicas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91</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Nacional de Investigaciones Económicas y Sociales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92</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lang w:val="en-GB"/>
              </w:rPr>
            </w:pPr>
            <w:r>
              <w:rPr>
                <w:sz w:val="17"/>
                <w:lang w:val="en-GB"/>
              </w:rPr>
              <w:t>Leyland Nigeria, S. 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93</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de Capacitación en materia de Petróleo (Warri)</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94</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de Capacitación en materia de Petróleo (Kaduna)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95</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Nacional de Investigaciones Médicas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96</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 xml:space="preserve">Instituto de Investigación sobre Almacenamiento de Productos </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97</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Nacional de Deportes (Lagos)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98</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Centro Nacional para el Desarrollo de la M</w:t>
            </w:r>
            <w:r>
              <w:rPr>
                <w:sz w:val="17"/>
              </w:rPr>
              <w:t>u</w:t>
            </w:r>
            <w:r>
              <w:rPr>
                <w:sz w:val="17"/>
              </w:rPr>
              <w:t>jer</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99</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Cuerpo Nacional de Servicio de la Juventud (NYSC)</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100</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de Formación Metalúrgica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101</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Centro Regional de Gestión Tecnológica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102</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Centro de Desarrollo Metalúrgico de Nigeria (Jos)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103</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Centro de Desarrollo de la Gestión</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104</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Escuela de Tecnología de la Aviación de N</w:t>
            </w:r>
            <w:r>
              <w:rPr>
                <w:sz w:val="17"/>
              </w:rPr>
              <w:t>i</w:t>
            </w:r>
            <w:r>
              <w:rPr>
                <w:sz w:val="17"/>
              </w:rPr>
              <w:t>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105</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Nacional de Orientación Cultural</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106</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Centro de las Artes y la Civilización Negras y Afr</w:t>
            </w:r>
            <w:r>
              <w:rPr>
                <w:sz w:val="17"/>
              </w:rPr>
              <w:t>i</w:t>
            </w:r>
            <w:r>
              <w:rPr>
                <w:sz w:val="17"/>
              </w:rPr>
              <w:t>canas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107</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Nacional de Estudios de Turismo y Hosp</w:t>
            </w:r>
            <w:r>
              <w:rPr>
                <w:sz w:val="17"/>
              </w:rPr>
              <w:t>i</w:t>
            </w:r>
            <w:r>
              <w:rPr>
                <w:sz w:val="17"/>
              </w:rPr>
              <w:t>talidad</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108</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Compañía Nacional de Fabricación de Camiones (Kano)</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109</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Nacional del Magisterio (Kaduna)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110</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Nacional de las Lenguas Nigerianas (Aba)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111</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Nacional de Educación, Planificación y Administración</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112</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Centro Nacional de Productividad</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113</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Micheal Imodu de Estudios Labor</w:t>
            </w:r>
            <w:r>
              <w:rPr>
                <w:sz w:val="17"/>
              </w:rPr>
              <w:t>a</w:t>
            </w:r>
            <w:r>
              <w:rPr>
                <w:sz w:val="17"/>
              </w:rPr>
              <w:t>les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114</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Cuerpo de Asistencia Técnica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116</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Oficina Nacional de Adquisición y Fomento de Te</w:t>
            </w:r>
            <w:r>
              <w:rPr>
                <w:sz w:val="17"/>
              </w:rPr>
              <w:t>c</w:t>
            </w:r>
            <w:r>
              <w:rPr>
                <w:sz w:val="17"/>
              </w:rPr>
              <w:t>nología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117</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Nacional de Investigación sobre Tecnología Química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118</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Nacional de Investigación de la Tripan</w:t>
            </w:r>
            <w:r>
              <w:rPr>
                <w:sz w:val="17"/>
              </w:rPr>
              <w:t>o</w:t>
            </w:r>
            <w:r>
              <w:rPr>
                <w:sz w:val="17"/>
              </w:rPr>
              <w:t>somiasis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119</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Nacional para el Desarrollo de la Investig</w:t>
            </w:r>
            <w:r>
              <w:rPr>
                <w:sz w:val="17"/>
              </w:rPr>
              <w:t>a</w:t>
            </w:r>
            <w:r>
              <w:rPr>
                <w:sz w:val="17"/>
              </w:rPr>
              <w:t>ción Farmacéutica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120</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Federal de Investigación Industrial</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121</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para el Desarrollo de Proyectos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122</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de Investigaciones de la Construcción y las Carreteras de Nigeria</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123</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Desarrollo de la Tecnología Nacional</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124</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Instituto Nacional de Investigaciones Médicas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125</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Academia Marítima de Nigeria (Oron)</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126</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Centro de Incubación de Empresas Tecnológ</w:t>
            </w:r>
            <w:r>
              <w:rPr>
                <w:sz w:val="17"/>
              </w:rPr>
              <w:t>i</w:t>
            </w:r>
            <w:r>
              <w:rPr>
                <w:sz w:val="17"/>
              </w:rPr>
              <w:t>cas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641" w:type="dxa"/>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127</w:t>
            </w:r>
          </w:p>
        </w:tc>
        <w:tc>
          <w:tcPr>
            <w:tcW w:w="3870" w:type="dxa"/>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Centro de Formación de Ciudadanos y Dir</w:t>
            </w:r>
            <w:r>
              <w:rPr>
                <w:sz w:val="17"/>
              </w:rPr>
              <w:t>i</w:t>
            </w:r>
            <w:r>
              <w:rPr>
                <w:sz w:val="17"/>
              </w:rPr>
              <w:t>gentes</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93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c>
          <w:tcPr>
            <w:tcW w:w="93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bottom w:w="0" w:type="dxa"/>
          </w:tblCellMar>
        </w:tblPrEx>
        <w:tc>
          <w:tcPr>
            <w:tcW w:w="641"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p>
        </w:tc>
        <w:tc>
          <w:tcPr>
            <w:tcW w:w="387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left="708" w:right="40"/>
              <w:jc w:val="left"/>
              <w:rPr>
                <w:b/>
                <w:sz w:val="17"/>
              </w:rPr>
            </w:pPr>
            <w:r>
              <w:rPr>
                <w:b/>
                <w:sz w:val="17"/>
              </w:rPr>
              <w:t>Total</w:t>
            </w:r>
          </w:p>
        </w:tc>
        <w:tc>
          <w:tcPr>
            <w:tcW w:w="936"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rPr>
            </w:pPr>
            <w:r>
              <w:rPr>
                <w:b/>
                <w:sz w:val="17"/>
              </w:rPr>
              <w:t>747</w:t>
            </w:r>
          </w:p>
        </w:tc>
        <w:tc>
          <w:tcPr>
            <w:tcW w:w="936"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rPr>
            </w:pPr>
            <w:r>
              <w:rPr>
                <w:b/>
                <w:sz w:val="17"/>
              </w:rPr>
              <w:t>86</w:t>
            </w:r>
          </w:p>
        </w:tc>
        <w:tc>
          <w:tcPr>
            <w:tcW w:w="937"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rPr>
            </w:pPr>
            <w:r>
              <w:rPr>
                <w:b/>
                <w:sz w:val="17"/>
              </w:rPr>
              <w:t>833</w:t>
            </w:r>
          </w:p>
        </w:tc>
      </w:tr>
    </w:tbl>
    <w:p w:rsidR="00000000" w:rsidRDefault="00000000">
      <w:pPr>
        <w:pStyle w:val="BodyText"/>
        <w:spacing w:line="120" w:lineRule="exact"/>
        <w:jc w:val="both"/>
        <w:rPr>
          <w:b/>
          <w:sz w:val="10"/>
        </w:rPr>
      </w:pPr>
    </w:p>
    <w:p w:rsidR="00000000" w:rsidRDefault="00000000">
      <w:pPr>
        <w:pStyle w:val="FootnoteText"/>
        <w:tabs>
          <w:tab w:val="clear" w:pos="418"/>
          <w:tab w:val="right" w:pos="1476"/>
          <w:tab w:val="left" w:pos="1548"/>
          <w:tab w:val="right" w:pos="1836"/>
          <w:tab w:val="left" w:pos="1908"/>
        </w:tabs>
        <w:ind w:left="1548" w:hanging="288"/>
        <w:rPr>
          <w:b/>
          <w:sz w:val="20"/>
        </w:rPr>
      </w:pPr>
      <w:r>
        <w:rPr>
          <w:i/>
        </w:rPr>
        <w:t>Fuente</w:t>
      </w:r>
      <w:r>
        <w:rPr>
          <w:b/>
        </w:rPr>
        <w:t xml:space="preserve">: </w:t>
      </w:r>
      <w:r>
        <w:t xml:space="preserve">Centro para la Mujer, el Derecho y el Desarrollo, </w:t>
      </w:r>
      <w:r>
        <w:rPr>
          <w:i/>
        </w:rPr>
        <w:t>Gender Views Newsletter,</w:t>
      </w:r>
      <w:r>
        <w:t xml:space="preserve"> Volumen 4, </w:t>
      </w:r>
      <w:r>
        <w:br/>
      </w:r>
      <w:r>
        <w:rPr>
          <w:sz w:val="16"/>
        </w:rPr>
        <w:t>No. 3,septiembre-diciembre de 2000 (páginas 9-16).</w:t>
      </w:r>
    </w:p>
    <w:p w:rsidR="00000000" w:rsidRDefault="00000000">
      <w:pPr>
        <w:pStyle w:val="BodyText"/>
        <w:spacing w:line="120" w:lineRule="exact"/>
        <w:ind w:left="708"/>
        <w:jc w:val="both"/>
        <w:rPr>
          <w:b/>
          <w:sz w:val="10"/>
        </w:rPr>
      </w:pPr>
    </w:p>
    <w:p w:rsidR="00000000" w:rsidRDefault="00000000">
      <w:pPr>
        <w:pStyle w:val="BodyText"/>
        <w:spacing w:line="120" w:lineRule="exact"/>
        <w:ind w:left="708"/>
        <w:jc w:val="both"/>
        <w:rPr>
          <w:b/>
          <w:sz w:val="10"/>
        </w:rPr>
      </w:pPr>
    </w:p>
    <w:p w:rsidR="00000000" w:rsidRDefault="00000000">
      <w:pPr>
        <w:pStyle w:val="SingleTxt"/>
      </w:pPr>
      <w:r>
        <w:tab/>
        <w:t>La Comisión Nacional para la UNESCO tiene una Secretaria General y la C</w:t>
      </w:r>
      <w:r>
        <w:t>o</w:t>
      </w:r>
      <w:r>
        <w:t>misión Nacional de Derechos H</w:t>
      </w:r>
      <w:r>
        <w:t>u</w:t>
      </w:r>
      <w:r>
        <w:t>manos tiene cuatro miembros femeninos.</w:t>
      </w: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7.7</w:t>
      </w:r>
      <w:r>
        <w:tab/>
        <w:t>Limitaciones e imperativos</w:t>
      </w:r>
    </w:p>
    <w:p w:rsidR="00000000" w:rsidRDefault="00000000">
      <w:pPr>
        <w:spacing w:line="120" w:lineRule="exact"/>
        <w:rPr>
          <w:sz w:val="10"/>
        </w:rPr>
      </w:pPr>
    </w:p>
    <w:p w:rsidR="00000000" w:rsidRDefault="00000000">
      <w:pPr>
        <w:pStyle w:val="SingleTxt"/>
      </w:pPr>
      <w:r>
        <w:tab/>
        <w:t>Pese a esos avances, las mujeres de Nigeria siguen teniendo que afrontar gran número de obstáculos a su participación plena en los diversos aspectos de la vida social, debidos a</w:t>
      </w:r>
    </w:p>
    <w:p w:rsidR="00000000" w:rsidRDefault="00000000">
      <w:pPr>
        <w:pStyle w:val="SingleTxt"/>
        <w:tabs>
          <w:tab w:val="right" w:pos="1685"/>
        </w:tabs>
        <w:ind w:left="1742" w:hanging="475"/>
      </w:pPr>
      <w:r>
        <w:tab/>
        <w:t>•</w:t>
      </w:r>
      <w:r>
        <w:tab/>
        <w:t>Actitudes y usos culturales y religiosos perjudiciales y muy arraigados</w:t>
      </w:r>
    </w:p>
    <w:p w:rsidR="00000000" w:rsidRDefault="00000000">
      <w:pPr>
        <w:pStyle w:val="SingleTxt"/>
        <w:tabs>
          <w:tab w:val="right" w:pos="1685"/>
        </w:tabs>
        <w:ind w:left="1742" w:hanging="475"/>
      </w:pPr>
      <w:r>
        <w:tab/>
        <w:t>•</w:t>
      </w:r>
      <w:r>
        <w:tab/>
        <w:t>Carácter violento de la política nigeriana</w:t>
      </w:r>
    </w:p>
    <w:p w:rsidR="00000000" w:rsidRDefault="00000000">
      <w:pPr>
        <w:pStyle w:val="SingleTxt"/>
        <w:tabs>
          <w:tab w:val="right" w:pos="1685"/>
        </w:tabs>
        <w:ind w:left="1742" w:hanging="475"/>
      </w:pPr>
      <w:r>
        <w:tab/>
        <w:t>•</w:t>
      </w:r>
      <w:r>
        <w:tab/>
        <w:t>Prelación de los hombres en la política</w:t>
      </w:r>
    </w:p>
    <w:p w:rsidR="00000000" w:rsidRDefault="00000000">
      <w:pPr>
        <w:pStyle w:val="SingleTxt"/>
        <w:tabs>
          <w:tab w:val="right" w:pos="1685"/>
        </w:tabs>
        <w:ind w:left="1742" w:hanging="475"/>
      </w:pPr>
      <w:r>
        <w:tab/>
        <w:t>•</w:t>
      </w:r>
      <w:r>
        <w:tab/>
        <w:t>Práctica de la reclusión femenina</w:t>
      </w:r>
    </w:p>
    <w:p w:rsidR="00000000" w:rsidRDefault="00000000">
      <w:pPr>
        <w:pStyle w:val="SingleTxt"/>
        <w:tabs>
          <w:tab w:val="right" w:pos="1685"/>
        </w:tabs>
        <w:ind w:left="1742" w:hanging="475"/>
      </w:pPr>
      <w:r>
        <w:tab/>
        <w:t>•</w:t>
      </w:r>
      <w:r>
        <w:tab/>
        <w:t xml:space="preserve">Aplicación errónea del sistema de administración de justicia y legislación </w:t>
      </w:r>
      <w:r>
        <w:br/>
        <w:t>p</w:t>
      </w:r>
      <w:r>
        <w:t>e</w:t>
      </w:r>
      <w:r>
        <w:t>nal de la Sharia</w:t>
      </w:r>
    </w:p>
    <w:p w:rsidR="00000000" w:rsidRDefault="00000000">
      <w:pPr>
        <w:pStyle w:val="SingleTxt"/>
        <w:tabs>
          <w:tab w:val="right" w:pos="1685"/>
        </w:tabs>
        <w:ind w:left="1742" w:hanging="475"/>
      </w:pPr>
      <w:r>
        <w:tab/>
        <w:t>•</w:t>
      </w:r>
      <w:r>
        <w:tab/>
        <w:t>Analfabetismo</w:t>
      </w:r>
    </w:p>
    <w:p w:rsidR="00000000" w:rsidRDefault="00000000">
      <w:pPr>
        <w:pStyle w:val="SingleTxt"/>
        <w:tabs>
          <w:tab w:val="right" w:pos="1685"/>
        </w:tabs>
        <w:ind w:left="1742" w:hanging="475"/>
      </w:pPr>
      <w:r>
        <w:tab/>
        <w:t>•</w:t>
      </w:r>
      <w:r>
        <w:tab/>
        <w:t>Matrimonio en edad temprana</w:t>
      </w:r>
    </w:p>
    <w:p w:rsidR="00000000" w:rsidRDefault="00000000">
      <w:pPr>
        <w:pStyle w:val="SingleTxt"/>
        <w:tabs>
          <w:tab w:val="right" w:pos="1685"/>
        </w:tabs>
        <w:ind w:left="1742" w:hanging="475"/>
      </w:pPr>
      <w:r>
        <w:tab/>
        <w:t>•</w:t>
      </w:r>
      <w:r>
        <w:tab/>
        <w:t>Usos relativos a la viudez</w:t>
      </w:r>
    </w:p>
    <w:p w:rsidR="00000000" w:rsidRDefault="00000000">
      <w:pPr>
        <w:pStyle w:val="SingleTxt"/>
        <w:tabs>
          <w:tab w:val="right" w:pos="1685"/>
        </w:tabs>
        <w:ind w:left="1742" w:hanging="475"/>
      </w:pPr>
      <w:r>
        <w:tab/>
        <w:t>•</w:t>
      </w:r>
      <w:r>
        <w:tab/>
        <w:t>Ideas equivocadas sobre las mujeres en la vida política y pública</w:t>
      </w:r>
    </w:p>
    <w:p w:rsidR="00000000" w:rsidRDefault="00000000">
      <w:pPr>
        <w:pStyle w:val="SingleTxt"/>
        <w:tabs>
          <w:tab w:val="right" w:pos="1685"/>
        </w:tabs>
        <w:ind w:left="1742" w:hanging="475"/>
      </w:pPr>
      <w:r>
        <w:tab/>
        <w:t>•</w:t>
      </w:r>
      <w:r>
        <w:tab/>
        <w:t>Dominación masculina</w:t>
      </w:r>
    </w:p>
    <w:p w:rsidR="00000000" w:rsidRDefault="00000000">
      <w:pPr>
        <w:pStyle w:val="SingleTxt"/>
        <w:tabs>
          <w:tab w:val="right" w:pos="1685"/>
        </w:tabs>
        <w:ind w:left="1742" w:hanging="475"/>
      </w:pPr>
      <w:r>
        <w:tab/>
        <w:t>•</w:t>
      </w:r>
      <w:r>
        <w:tab/>
        <w:t>Situación económica desfavorecida</w:t>
      </w:r>
    </w:p>
    <w:p w:rsidR="00000000" w:rsidRDefault="00000000">
      <w:pPr>
        <w:pStyle w:val="BodyText"/>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8.0</w:t>
      </w:r>
      <w:r>
        <w:tab/>
        <w:t>Artículo 8: Representación en el plano internacional</w:t>
      </w:r>
    </w:p>
    <w:p w:rsidR="00000000" w:rsidRDefault="00000000">
      <w:pPr>
        <w:pStyle w:val="BodyText"/>
        <w:spacing w:line="120" w:lineRule="exact"/>
        <w:jc w:val="both"/>
        <w:rPr>
          <w:b/>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8.1</w:t>
      </w:r>
      <w:r>
        <w:tab/>
        <w:t>Disposiciones relativas al acceso a las organizaciones internacionales</w:t>
      </w:r>
    </w:p>
    <w:p w:rsidR="00000000" w:rsidRDefault="00000000">
      <w:pPr>
        <w:pStyle w:val="BodyText"/>
        <w:spacing w:line="120" w:lineRule="exact"/>
        <w:ind w:left="15"/>
        <w:jc w:val="both"/>
        <w:rPr>
          <w:sz w:val="10"/>
        </w:rPr>
      </w:pPr>
    </w:p>
    <w:p w:rsidR="00000000" w:rsidRDefault="00000000">
      <w:pPr>
        <w:pStyle w:val="SingleTxt"/>
      </w:pPr>
      <w:r>
        <w:tab/>
        <w:t>Pese a que Nigeria firmó y ratificó la Convención hace 17 años, no hay pr</w:t>
      </w:r>
      <w:r>
        <w:t>o</w:t>
      </w:r>
      <w:r>
        <w:t>gramas especiales para alentar a las mujeres a que se postulen para cargos intern</w:t>
      </w:r>
      <w:r>
        <w:t>a</w:t>
      </w:r>
      <w:r>
        <w:t>cionales. Esa situación es un ejemplo más del estereotipo ideológico, resultante de la dominación masculina, de que las mujeres no son ciudadanos iguales por derecho propio. Consecuencia de esa denegación del objetivo de la igualdad sexual como principio fundamental de la Convención ha sido la pérdida de contribuciones vali</w:t>
      </w:r>
      <w:r>
        <w:t>o</w:t>
      </w:r>
      <w:r>
        <w:t>sas de las mujeres en los foros y las organizaciones internacionales.</w:t>
      </w: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w:t>
      </w:r>
      <w:r>
        <w:tab/>
        <w:t>Las mujeres en el Servicio Exterior y en las organizaciones internacionales</w:t>
      </w:r>
    </w:p>
    <w:p w:rsidR="00000000" w:rsidRDefault="00000000">
      <w:pPr>
        <w:pStyle w:val="BodyText"/>
        <w:spacing w:line="120" w:lineRule="exact"/>
        <w:jc w:val="both"/>
        <w:rPr>
          <w:sz w:val="10"/>
        </w:rPr>
      </w:pPr>
    </w:p>
    <w:p w:rsidR="00000000" w:rsidRDefault="00000000">
      <w:pPr>
        <w:pStyle w:val="SingleTxt"/>
      </w:pPr>
      <w:r>
        <w:tab/>
        <w:t>Como se ve en el cuadro 8.1, Nigeria tiene un total de 662 miembros del pe</w:t>
      </w:r>
      <w:r>
        <w:t>r</w:t>
      </w:r>
      <w:r>
        <w:t>sonal diplomático de carrera, de los cuales 69 son mujeres, lo que representa el 10,4 por ciento. Si tenemos en cuenta que las mujeres representan casi un 50 por ciento de  la población nigeriana, podemos considerar meramente simbólica esa cifra. As</w:t>
      </w:r>
      <w:r>
        <w:t>i</w:t>
      </w:r>
      <w:r>
        <w:t>mismo, el número de embajadores es 118, de los cuales 14 son mujeres, lo que r</w:t>
      </w:r>
      <w:r>
        <w:t>e</w:t>
      </w:r>
      <w:r>
        <w:t>presenta el 11,9 por ciento. Por otra parte, en el cuadro 8.2 se indica que en el año 2000 el número de mujeres en organizaciones internacionales era 164 (el 29,6 por ciento) frente a 390 hombres (el 70,4 por ciento).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rPr>
      </w:pPr>
      <w:r>
        <w:tab/>
      </w:r>
      <w:r>
        <w:rPr>
          <w:b w:val="0"/>
        </w:rPr>
        <w:t>8.3</w:t>
      </w:r>
      <w:r>
        <w:rPr>
          <w:b w:val="0"/>
        </w:rPr>
        <w:tab/>
        <w:t>No hay mecanismos para dar preparación especial a las mujeres (o a los hombres) a fin de que participen en las organizaciones internacionales o se dediquen exclusivamente a esa tarea. La única formación es la que se imparte en el Ministerio de Relaciones Exteriores y de la que sólo se benefician los miembros de su personal. En consecuencia, las mujeres nigerianas no han logrado nombramientos correspondientes a los numerosos anuncios de vacantes en las Naciones Unidas que recibe el Ministerio Federal de Asuntos de la Mujer y Desarrollo de la Juve</w:t>
      </w:r>
      <w:r>
        <w:rPr>
          <w:b w:val="0"/>
        </w:rPr>
        <w:t>n</w:t>
      </w:r>
      <w:r>
        <w:rPr>
          <w:b w:val="0"/>
        </w:rPr>
        <w:t>tud.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8.4</w:t>
      </w:r>
      <w:r>
        <w:tab/>
        <w:t>Otras limitaciones</w:t>
      </w:r>
    </w:p>
    <w:p w:rsidR="00000000" w:rsidRDefault="00000000">
      <w:pPr>
        <w:pStyle w:val="SingleTxt"/>
        <w:spacing w:after="0" w:line="120" w:lineRule="exact"/>
        <w:rPr>
          <w:b/>
          <w:sz w:val="10"/>
        </w:rPr>
      </w:pPr>
    </w:p>
    <w:p w:rsidR="00000000" w:rsidRDefault="00000000">
      <w:pPr>
        <w:pStyle w:val="SingleTxt"/>
      </w:pPr>
      <w:r>
        <w:tab/>
        <w:t>Un obstáculo fundamental es el de que el Gobierno de Nigeria no ha cumplido aún con su obligación de introducir la Convención en el derecho interno. Mientras se sensibiliza a las ONG femeninas y a las instituciones pertinentes sobre las disp</w:t>
      </w:r>
      <w:r>
        <w:t>o</w:t>
      </w:r>
      <w:r>
        <w:t>siciones y los principios de la Convención, en la Asamblea Nacional aumentan las presiones para introducir la Convención en el derecho interno.  Se ha vuelto a pr</w:t>
      </w:r>
      <w:r>
        <w:t>e</w:t>
      </w:r>
      <w:r>
        <w:t>sentar un proyecto de ley sobre su aplicación para que la Asamblea Nacional lo examine. En el plano internacional, es necesaria la adopción urgente de medidas p</w:t>
      </w:r>
      <w:r>
        <w:t>o</w:t>
      </w:r>
      <w:r>
        <w:t>sitivas para cubrir el 30 por ciento al menos de la representación internacional.</w:t>
      </w:r>
    </w:p>
    <w:p w:rsidR="00000000" w:rsidRDefault="00000000">
      <w:pPr>
        <w:pStyle w:val="BodyText"/>
        <w:spacing w:line="120" w:lineRule="exact"/>
        <w:ind w:left="1416"/>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ab/>
      </w:r>
      <w:r>
        <w:rPr>
          <w:b w:val="0"/>
        </w:rPr>
        <w:tab/>
        <w:t xml:space="preserve">Cuadro 8.1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Mujeres en el Servicio Exterior</w:t>
      </w:r>
    </w:p>
    <w:p w:rsidR="00000000" w:rsidRDefault="00000000">
      <w:pPr>
        <w:pStyle w:val="BodyText"/>
        <w:spacing w:line="120" w:lineRule="exact"/>
        <w:ind w:left="1416"/>
        <w:jc w:val="both"/>
        <w:rPr>
          <w:i/>
          <w:sz w:val="10"/>
        </w:rPr>
      </w:pPr>
    </w:p>
    <w:tbl>
      <w:tblPr>
        <w:tblW w:w="0" w:type="auto"/>
        <w:tblInd w:w="1161" w:type="dxa"/>
        <w:tblLayout w:type="fixed"/>
        <w:tblLook w:val="0000" w:firstRow="0" w:lastRow="0" w:firstColumn="0" w:lastColumn="0" w:noHBand="0" w:noVBand="0"/>
      </w:tblPr>
      <w:tblGrid>
        <w:gridCol w:w="5514"/>
        <w:gridCol w:w="1806"/>
      </w:tblGrid>
      <w:tr w:rsidR="00000000">
        <w:tblPrEx>
          <w:tblCellMar>
            <w:top w:w="0" w:type="dxa"/>
            <w:bottom w:w="0" w:type="dxa"/>
          </w:tblCellMar>
        </w:tblPrEx>
        <w:trPr>
          <w:tblHeader/>
        </w:trPr>
        <w:tc>
          <w:tcPr>
            <w:tcW w:w="5514" w:type="dxa"/>
            <w:tcBorders>
              <w:top w:val="single" w:sz="4" w:space="0" w:color="auto"/>
            </w:tcBorders>
            <w:vAlign w:val="bottom"/>
          </w:tcPr>
          <w:p w:rsidR="00000000" w:rsidRDefault="00000000">
            <w:pPr>
              <w:pStyle w:val="BodyText"/>
              <w:spacing w:before="80" w:after="80" w:line="160" w:lineRule="exact"/>
              <w:ind w:right="40"/>
              <w:jc w:val="both"/>
              <w:rPr>
                <w:b/>
                <w:i/>
                <w:sz w:val="14"/>
              </w:rPr>
            </w:pPr>
          </w:p>
        </w:tc>
        <w:tc>
          <w:tcPr>
            <w:tcW w:w="1806" w:type="dxa"/>
            <w:tcBorders>
              <w:top w:val="single" w:sz="4" w:space="0" w:color="auto"/>
            </w:tcBorders>
            <w:vAlign w:val="bottom"/>
          </w:tcPr>
          <w:p w:rsidR="00000000" w:rsidRDefault="00000000">
            <w:pPr>
              <w:pStyle w:val="BodyText"/>
              <w:spacing w:before="80" w:after="80" w:line="160" w:lineRule="exact"/>
              <w:ind w:right="40"/>
              <w:jc w:val="right"/>
              <w:rPr>
                <w:b/>
                <w:i/>
                <w:sz w:val="14"/>
              </w:rPr>
            </w:pPr>
            <w:r>
              <w:rPr>
                <w:i/>
                <w:sz w:val="14"/>
              </w:rPr>
              <w:t>Número</w:t>
            </w:r>
          </w:p>
        </w:tc>
      </w:tr>
      <w:tr w:rsidR="00000000">
        <w:tblPrEx>
          <w:tblCellMar>
            <w:top w:w="0" w:type="dxa"/>
            <w:bottom w:w="0" w:type="dxa"/>
          </w:tblCellMar>
        </w:tblPrEx>
        <w:trPr>
          <w:trHeight w:hRule="exact" w:val="115"/>
          <w:tblHeader/>
        </w:trPr>
        <w:tc>
          <w:tcPr>
            <w:tcW w:w="5514" w:type="dxa"/>
            <w:tcBorders>
              <w:top w:val="single" w:sz="12" w:space="0" w:color="auto"/>
            </w:tcBorders>
            <w:vAlign w:val="bottom"/>
          </w:tcPr>
          <w:p w:rsidR="00000000" w:rsidRDefault="00000000">
            <w:pPr>
              <w:pStyle w:val="BodyText"/>
              <w:spacing w:before="40" w:after="40" w:line="210" w:lineRule="exact"/>
              <w:ind w:right="40"/>
              <w:jc w:val="both"/>
              <w:rPr>
                <w:sz w:val="17"/>
              </w:rPr>
            </w:pPr>
          </w:p>
        </w:tc>
        <w:tc>
          <w:tcPr>
            <w:tcW w:w="1806" w:type="dxa"/>
            <w:tcBorders>
              <w:top w:val="single" w:sz="12" w:space="0" w:color="auto"/>
            </w:tcBorders>
            <w:vAlign w:val="bottom"/>
          </w:tcPr>
          <w:p w:rsidR="00000000" w:rsidRDefault="00000000">
            <w:pPr>
              <w:pStyle w:val="BodyText"/>
              <w:spacing w:before="40" w:after="40" w:line="210" w:lineRule="exact"/>
              <w:ind w:right="40"/>
              <w:jc w:val="right"/>
              <w:rPr>
                <w:sz w:val="17"/>
              </w:rPr>
            </w:pPr>
          </w:p>
        </w:tc>
      </w:tr>
      <w:tr w:rsidR="00000000">
        <w:tblPrEx>
          <w:tblCellMar>
            <w:top w:w="0" w:type="dxa"/>
            <w:bottom w:w="0" w:type="dxa"/>
          </w:tblCellMar>
        </w:tblPrEx>
        <w:tc>
          <w:tcPr>
            <w:tcW w:w="551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Número total de embajadores</w:t>
            </w:r>
          </w:p>
        </w:tc>
        <w:tc>
          <w:tcPr>
            <w:tcW w:w="180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118</w:t>
            </w:r>
          </w:p>
        </w:tc>
      </w:tr>
      <w:tr w:rsidR="00000000">
        <w:tblPrEx>
          <w:tblCellMar>
            <w:top w:w="0" w:type="dxa"/>
            <w:bottom w:w="0" w:type="dxa"/>
          </w:tblCellMar>
        </w:tblPrEx>
        <w:tc>
          <w:tcPr>
            <w:tcW w:w="551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Número de embajadoras</w:t>
            </w:r>
          </w:p>
        </w:tc>
        <w:tc>
          <w:tcPr>
            <w:tcW w:w="180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 xml:space="preserve"> 14</w:t>
            </w:r>
          </w:p>
        </w:tc>
      </w:tr>
      <w:tr w:rsidR="00000000">
        <w:tblPrEx>
          <w:tblCellMar>
            <w:top w:w="0" w:type="dxa"/>
            <w:bottom w:w="0" w:type="dxa"/>
          </w:tblCellMar>
        </w:tblPrEx>
        <w:tc>
          <w:tcPr>
            <w:tcW w:w="551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Número de embajadoras de carrera</w:t>
            </w:r>
          </w:p>
        </w:tc>
        <w:tc>
          <w:tcPr>
            <w:tcW w:w="180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 xml:space="preserve"> 11</w:t>
            </w:r>
          </w:p>
        </w:tc>
      </w:tr>
      <w:tr w:rsidR="00000000">
        <w:tblPrEx>
          <w:tblCellMar>
            <w:top w:w="0" w:type="dxa"/>
            <w:bottom w:w="0" w:type="dxa"/>
          </w:tblCellMar>
        </w:tblPrEx>
        <w:tc>
          <w:tcPr>
            <w:tcW w:w="551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Número de embajadoras que no son de carrera</w:t>
            </w:r>
          </w:p>
        </w:tc>
        <w:tc>
          <w:tcPr>
            <w:tcW w:w="180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 xml:space="preserve">   3</w:t>
            </w:r>
          </w:p>
        </w:tc>
      </w:tr>
      <w:tr w:rsidR="00000000">
        <w:tblPrEx>
          <w:tblCellMar>
            <w:top w:w="0" w:type="dxa"/>
            <w:bottom w:w="0" w:type="dxa"/>
          </w:tblCellMar>
        </w:tblPrEx>
        <w:tc>
          <w:tcPr>
            <w:tcW w:w="551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Número de miembros del personal diplomático</w:t>
            </w:r>
          </w:p>
        </w:tc>
        <w:tc>
          <w:tcPr>
            <w:tcW w:w="1806"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662</w:t>
            </w:r>
          </w:p>
        </w:tc>
      </w:tr>
      <w:tr w:rsidR="00000000">
        <w:tblPrEx>
          <w:tblCellMar>
            <w:top w:w="0" w:type="dxa"/>
            <w:bottom w:w="0" w:type="dxa"/>
          </w:tblCellMar>
        </w:tblPrEx>
        <w:tc>
          <w:tcPr>
            <w:tcW w:w="5514"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Número de mujeres que son miembros del personal diplomático</w:t>
            </w:r>
          </w:p>
        </w:tc>
        <w:tc>
          <w:tcPr>
            <w:tcW w:w="1806"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 xml:space="preserve"> 69</w:t>
            </w:r>
          </w:p>
        </w:tc>
      </w:tr>
    </w:tbl>
    <w:p w:rsidR="00000000" w:rsidRDefault="00000000">
      <w:pPr>
        <w:pStyle w:val="BodyText"/>
        <w:spacing w:line="120" w:lineRule="exact"/>
        <w:ind w:left="708"/>
        <w:jc w:val="both"/>
        <w:rPr>
          <w:b/>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Ministerio de Relaciones Exteriores, 2002.</w:t>
      </w:r>
    </w:p>
    <w:p w:rsidR="00000000" w:rsidRDefault="00000000">
      <w:pPr>
        <w:pStyle w:val="BodyText"/>
        <w:spacing w:line="120" w:lineRule="exact"/>
        <w:jc w:val="both"/>
        <w:rPr>
          <w:sz w:val="10"/>
        </w:rPr>
      </w:pPr>
    </w:p>
    <w:p w:rsidR="00000000" w:rsidRDefault="00000000">
      <w:pPr>
        <w:pStyle w:val="BodyText"/>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ab/>
      </w:r>
      <w:r>
        <w:rPr>
          <w:b w:val="0"/>
        </w:rPr>
        <w:tab/>
        <w:t xml:space="preserve">Cuadro 8.2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Mujeres en organizaciones internacionales</w:t>
      </w:r>
    </w:p>
    <w:p w:rsidR="00000000" w:rsidRDefault="00000000">
      <w:pPr>
        <w:spacing w:line="120" w:lineRule="exact"/>
        <w:rPr>
          <w:sz w:val="10"/>
        </w:rPr>
      </w:pPr>
    </w:p>
    <w:p w:rsidR="00000000" w:rsidRDefault="00000000">
      <w:pPr>
        <w:spacing w:line="120" w:lineRule="exact"/>
        <w:rPr>
          <w:sz w:val="10"/>
        </w:rPr>
      </w:pPr>
    </w:p>
    <w:tbl>
      <w:tblPr>
        <w:tblW w:w="0" w:type="auto"/>
        <w:tblInd w:w="1161" w:type="dxa"/>
        <w:tblLayout w:type="fixed"/>
        <w:tblLook w:val="00BF" w:firstRow="1" w:lastRow="0" w:firstColumn="1" w:lastColumn="0" w:noHBand="0" w:noVBand="0"/>
      </w:tblPr>
      <w:tblGrid>
        <w:gridCol w:w="3684"/>
        <w:gridCol w:w="1857"/>
        <w:gridCol w:w="1779"/>
      </w:tblGrid>
      <w:tr w:rsidR="00000000">
        <w:tblPrEx>
          <w:tblCellMar>
            <w:top w:w="0" w:type="dxa"/>
            <w:bottom w:w="0" w:type="dxa"/>
          </w:tblCellMar>
        </w:tblPrEx>
        <w:trPr>
          <w:tblHeader/>
        </w:trPr>
        <w:tc>
          <w:tcPr>
            <w:tcW w:w="3684" w:type="dxa"/>
            <w:tcBorders>
              <w:top w:val="single" w:sz="4" w:space="0" w:color="auto"/>
            </w:tcBorders>
            <w:vAlign w:val="bottom"/>
          </w:tcPr>
          <w:p w:rsidR="00000000" w:rsidRDefault="00000000">
            <w:pPr>
              <w:pStyle w:val="BodyText"/>
              <w:spacing w:before="80" w:after="80" w:line="160" w:lineRule="exact"/>
              <w:ind w:right="40"/>
              <w:jc w:val="both"/>
              <w:rPr>
                <w:i/>
                <w:sz w:val="14"/>
              </w:rPr>
            </w:pPr>
          </w:p>
        </w:tc>
        <w:tc>
          <w:tcPr>
            <w:tcW w:w="1857"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Hombres</w:t>
            </w:r>
          </w:p>
        </w:tc>
        <w:tc>
          <w:tcPr>
            <w:tcW w:w="1779"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Mujeres</w:t>
            </w:r>
          </w:p>
        </w:tc>
      </w:tr>
      <w:tr w:rsidR="00000000">
        <w:tblPrEx>
          <w:tblCellMar>
            <w:top w:w="0" w:type="dxa"/>
            <w:bottom w:w="0" w:type="dxa"/>
          </w:tblCellMar>
        </w:tblPrEx>
        <w:trPr>
          <w:trHeight w:hRule="exact" w:val="115"/>
          <w:tblHeader/>
        </w:trPr>
        <w:tc>
          <w:tcPr>
            <w:tcW w:w="3684" w:type="dxa"/>
            <w:tcBorders>
              <w:top w:val="single" w:sz="12" w:space="0" w:color="auto"/>
            </w:tcBorders>
            <w:vAlign w:val="bottom"/>
          </w:tcPr>
          <w:p w:rsidR="00000000" w:rsidRDefault="00000000">
            <w:pPr>
              <w:pStyle w:val="BodyText"/>
              <w:spacing w:before="40" w:after="40" w:line="210" w:lineRule="exact"/>
              <w:ind w:right="40"/>
              <w:jc w:val="both"/>
              <w:rPr>
                <w:sz w:val="17"/>
              </w:rPr>
            </w:pPr>
          </w:p>
        </w:tc>
        <w:tc>
          <w:tcPr>
            <w:tcW w:w="1857"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1779" w:type="dxa"/>
            <w:tcBorders>
              <w:top w:val="single" w:sz="12" w:space="0" w:color="auto"/>
            </w:tcBorders>
            <w:vAlign w:val="bottom"/>
          </w:tcPr>
          <w:p w:rsidR="00000000" w:rsidRDefault="00000000">
            <w:pPr>
              <w:pStyle w:val="BodyText"/>
              <w:spacing w:before="40" w:after="40" w:line="210" w:lineRule="exact"/>
              <w:ind w:right="40"/>
              <w:jc w:val="right"/>
              <w:rPr>
                <w:sz w:val="17"/>
              </w:rPr>
            </w:pP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Actividades para el desarrollo </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BIRF (Abuja)</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CFI (Lagos)</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CINU (Lagos)</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57</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FNUAP (Lagos)</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FNUAP Programa de ayuda</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29</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FNUAP Programa de población</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OACNUR (Lagos)</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OIT (Lagos)</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OMM (Lagos)</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OMS (Lagos)</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OMS (Abuja)</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OMS (proyectos)</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PNUD (Lagos)</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36</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PNUD (Abuja)</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PNUD Programa estatal</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57</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PNUFID (Lagos)</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UNESCO (Abuja)</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UNFAO (Abuja)</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19</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UNICEF (Lagos)</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UNICEF (Abuja)</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16</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UNICEF (Zona C)</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16</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UNICEF (Zona D)</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23</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bottom w:w="0" w:type="dxa"/>
          </w:tblCellMar>
        </w:tblPrEx>
        <w:tc>
          <w:tcPr>
            <w:tcW w:w="3684"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UNIFEM </w:t>
            </w:r>
          </w:p>
        </w:tc>
        <w:tc>
          <w:tcPr>
            <w:tcW w:w="185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w:t>
            </w:r>
          </w:p>
        </w:tc>
        <w:tc>
          <w:tcPr>
            <w:tcW w:w="177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3684"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both"/>
              <w:rPr>
                <w:b/>
                <w:sz w:val="17"/>
              </w:rPr>
            </w:pPr>
            <w:r>
              <w:rPr>
                <w:b/>
                <w:sz w:val="17"/>
              </w:rPr>
              <w:t>Total</w:t>
            </w:r>
          </w:p>
        </w:tc>
        <w:tc>
          <w:tcPr>
            <w:tcW w:w="1857"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rPr>
            </w:pPr>
            <w:r>
              <w:rPr>
                <w:b/>
                <w:sz w:val="17"/>
              </w:rPr>
              <w:t>390</w:t>
            </w:r>
          </w:p>
        </w:tc>
        <w:tc>
          <w:tcPr>
            <w:tcW w:w="1779"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rPr>
            </w:pPr>
            <w:r>
              <w:rPr>
                <w:b/>
                <w:sz w:val="17"/>
              </w:rPr>
              <w:t>164</w:t>
            </w:r>
          </w:p>
        </w:tc>
      </w:tr>
    </w:tbl>
    <w:p w:rsidR="00000000" w:rsidRDefault="00000000">
      <w:pPr>
        <w:pStyle w:val="BodyText"/>
        <w:spacing w:line="120" w:lineRule="exact"/>
        <w:ind w:left="2124"/>
        <w:jc w:val="both"/>
        <w:rPr>
          <w:b/>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xml:space="preserve">: Directorio de las Naciones Unidas en Nigeria, preparado por el PNUD en Nigeria, </w:t>
      </w:r>
      <w:r>
        <w:br/>
        <w:t>marzo de 2001.</w:t>
      </w:r>
    </w:p>
    <w:p w:rsidR="00000000" w:rsidRDefault="00000000">
      <w:pPr>
        <w:pStyle w:val="BodyText"/>
        <w:spacing w:line="120" w:lineRule="exact"/>
        <w:jc w:val="both"/>
        <w:rPr>
          <w:sz w:val="10"/>
        </w:rPr>
      </w:pPr>
    </w:p>
    <w:p w:rsidR="00000000" w:rsidRDefault="00000000">
      <w:pPr>
        <w:pStyle w:val="BodyText"/>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9.0</w:t>
      </w:r>
      <w:r>
        <w:tab/>
        <w:t>Artículo 9: La mujer y la nacionalidad</w:t>
      </w:r>
    </w:p>
    <w:p w:rsidR="00000000" w:rsidRDefault="00000000">
      <w:pPr>
        <w:pStyle w:val="BodyText"/>
        <w:spacing w:line="120" w:lineRule="exact"/>
        <w:jc w:val="both"/>
        <w:rPr>
          <w:b/>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9.1</w:t>
      </w:r>
      <w:r>
        <w:tab/>
        <w:t>La Constitución y la nacionalidad</w:t>
      </w:r>
    </w:p>
    <w:p w:rsidR="00000000" w:rsidRDefault="00000000">
      <w:pPr>
        <w:pStyle w:val="BodyText"/>
        <w:spacing w:line="120" w:lineRule="exact"/>
        <w:jc w:val="both"/>
        <w:rPr>
          <w:sz w:val="10"/>
        </w:rPr>
      </w:pPr>
    </w:p>
    <w:p w:rsidR="00000000" w:rsidRDefault="00000000">
      <w:pPr>
        <w:pStyle w:val="SingleTxt"/>
      </w:pPr>
      <w:r>
        <w:tab/>
        <w:t>La Constitución de Nigeria es en sí misma discriminatoria en relación con la adquisición de la nacionalidad mediante registro, según lo dispuesto en el inciso a) del párrafo 2 del artículo 26. Dicho artículo establece que los hombres nigerianos pueden pedir que sus esposas no nigerianas adquieran la ciudadanía nigeriana m</w:t>
      </w:r>
      <w:r>
        <w:t>e</w:t>
      </w:r>
      <w:r>
        <w:t>diante registro, pero no ocurre lo mismo con los maridos no nigerianos de mujeres nigerianas. Además, el artículo 29 versa sobre los modos de renuncia a la ciudadanía nigeriana. En el inciso b) del párrafo 4 del artículo 29 se reconoce a una mujer cas</w:t>
      </w:r>
      <w:r>
        <w:t>a</w:t>
      </w:r>
      <w:r>
        <w:t>da (pero no a un hombre casado) la posibilidad de acogerse a dicho párrafo para a</w:t>
      </w:r>
      <w:r>
        <w:t>d</w:t>
      </w:r>
      <w:r>
        <w:t>quirir la mayoría de edad. Eso significa que se tratará como adulta a una niña casada a los doce años. Sin embargo, la Constitución de Nigeria de 1999, en los incisos a) a c) del párrafo 1 de su artículo 25, concede a las mujeres igualdad de derechos con los hombres respecto de la nacionalidad de sus hijos.</w:t>
      </w:r>
    </w:p>
    <w:p w:rsidR="00000000" w:rsidRDefault="00000000">
      <w:pPr>
        <w:pStyle w:val="BodyText"/>
        <w:spacing w:line="120" w:lineRule="exact"/>
        <w:ind w:left="708"/>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s>
      </w:pPr>
      <w:r>
        <w:tab/>
        <w:t>9.2</w:t>
      </w:r>
      <w:r>
        <w:tab/>
        <w:t>Consecuencias de las disposiciones constitucionales</w:t>
      </w:r>
    </w:p>
    <w:p w:rsidR="00000000" w:rsidRDefault="00000000">
      <w:pPr>
        <w:pStyle w:val="BodyText"/>
        <w:spacing w:line="120" w:lineRule="exact"/>
        <w:jc w:val="both"/>
        <w:rPr>
          <w:b/>
          <w:i/>
          <w:sz w:val="10"/>
        </w:rPr>
      </w:pPr>
    </w:p>
    <w:p w:rsidR="00000000" w:rsidRDefault="00000000">
      <w:pPr>
        <w:pStyle w:val="SingleTxt"/>
      </w:pPr>
      <w:r>
        <w:tab/>
        <w:t>Las repercusiones de esas disposiciones constitucionales discriminatorias en relación con la nacionalidad de las mujeres se ven en los casos en los que se basan decisiones importantes para el adelanto de la mujer. Por ejemplo, la Comisión del Carácter Federal exige a los aspirantes políticos que regresen a sus lugares de origen para presentarse como candidatos a las elecciones. Constituye una discriminación contra las posibles mujeres aspirantes políticos que se han mudado para vivir con sus maridos, ya que el matrimonio en Nigeria es casi exclusivamente patriarcal.</w:t>
      </w:r>
    </w:p>
    <w:p w:rsidR="00000000" w:rsidRDefault="00000000">
      <w:pPr>
        <w:pStyle w:val="BodyText"/>
        <w:spacing w:line="120" w:lineRule="exact"/>
        <w:ind w:left="705"/>
        <w:jc w:val="both"/>
        <w:rPr>
          <w:sz w:val="10"/>
        </w:rPr>
      </w:pPr>
    </w:p>
    <w:p w:rsidR="00000000" w:rsidRDefault="00000000">
      <w:pPr>
        <w:pStyle w:val="BodyText"/>
        <w:spacing w:line="120" w:lineRule="exact"/>
        <w:ind w:left="705"/>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9.3</w:t>
      </w:r>
      <w:r>
        <w:tab/>
        <w:t>Actividades en marcha</w:t>
      </w:r>
    </w:p>
    <w:p w:rsidR="00000000" w:rsidRDefault="00000000">
      <w:pPr>
        <w:pStyle w:val="BodyText"/>
        <w:keepNext/>
        <w:keepLines/>
        <w:spacing w:line="120" w:lineRule="exact"/>
        <w:jc w:val="both"/>
        <w:rPr>
          <w:b/>
          <w:i/>
          <w:sz w:val="10"/>
        </w:rPr>
      </w:pPr>
    </w:p>
    <w:p w:rsidR="00000000" w:rsidRDefault="00000000">
      <w:pPr>
        <w:pStyle w:val="SingleTxt"/>
        <w:keepNext/>
        <w:keepLines/>
      </w:pPr>
      <w:r>
        <w:tab/>
        <w:t>Nigeria está revisando su Constitución de 1999. El Ministerio de Asuntos de la Mujer y Desarrollo de la Juventud, las organizaciones femeninas y de derechos h</w:t>
      </w:r>
      <w:r>
        <w:t>u</w:t>
      </w:r>
      <w:r>
        <w:t>manos y otros interesados directos han hecho aportaciones a las comisiones creadas por el Gobierno Federal para enmendar el inciso a) del párrafo 2 del artículo 26, el inciso b) del párrafo 4 del artículo 29 y el inciso b) del párrafo 1 del artículo 42 re</w:t>
      </w:r>
      <w:r>
        <w:t>s</w:t>
      </w:r>
      <w:r>
        <w:t>pecto de la nacionalidad.</w:t>
      </w:r>
    </w:p>
    <w:p w:rsidR="00000000" w:rsidRDefault="00000000">
      <w:pPr>
        <w:pStyle w:val="BodyText"/>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10.0</w:t>
      </w:r>
      <w:r>
        <w:tab/>
        <w:t>Artículo 10: Educación</w:t>
      </w:r>
    </w:p>
    <w:p w:rsidR="00000000" w:rsidRDefault="00000000">
      <w:pPr>
        <w:pStyle w:val="BodyText"/>
        <w:spacing w:line="120" w:lineRule="exact"/>
        <w:jc w:val="both"/>
        <w:rPr>
          <w:b/>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10.1</w:t>
      </w:r>
      <w:r>
        <w:tab/>
        <w:t xml:space="preserve">Medidas aplicadas, legislativas y de otra índole </w:t>
      </w:r>
    </w:p>
    <w:p w:rsidR="00000000" w:rsidRDefault="00000000">
      <w:pPr>
        <w:pStyle w:val="BodyText"/>
        <w:spacing w:line="120" w:lineRule="exact"/>
        <w:ind w:left="705"/>
        <w:jc w:val="both"/>
        <w:rPr>
          <w:sz w:val="10"/>
        </w:rPr>
      </w:pPr>
    </w:p>
    <w:p w:rsidR="00000000" w:rsidRDefault="00000000">
      <w:pPr>
        <w:pStyle w:val="SingleTxt"/>
      </w:pPr>
      <w:r>
        <w:tab/>
        <w:t>El artículo 10 de la Convención pide a los Estados Partes que adopten todas las medidas apropiadas para eliminar la discriminación contra la mujer a fin de garant</w:t>
      </w:r>
      <w:r>
        <w:t>i</w:t>
      </w:r>
      <w:r>
        <w:t>zarle la igualdad de derechos con el hombre en la esfera de la educación. Aunque en Nigeria no hay medidas legales claras para garantizar la igualdad de acceso a la ed</w:t>
      </w:r>
      <w:r>
        <w:t>u</w:t>
      </w:r>
      <w:r>
        <w:t>cación para los hombres y las mujeres, el artículo 18 de la Constitución de Nigeria establece que el Gobierno debe:</w:t>
      </w:r>
    </w:p>
    <w:p w:rsidR="00000000" w:rsidRDefault="00000000">
      <w:pPr>
        <w:pStyle w:val="SingleTxt"/>
        <w:ind w:left="2218" w:hanging="951"/>
      </w:pPr>
      <w:r>
        <w:tab/>
        <w:t>1)</w:t>
      </w:r>
      <w:r>
        <w:tab/>
        <w:t>Orientar su política para velar por que haya igualdad de oportunidades educat</w:t>
      </w:r>
      <w:r>
        <w:t>i</w:t>
      </w:r>
      <w:r>
        <w:t>vas  adecuadas en todos los niveles y sin discriminación</w:t>
      </w:r>
    </w:p>
    <w:p w:rsidR="00000000" w:rsidRDefault="00000000">
      <w:pPr>
        <w:pStyle w:val="SingleTxt"/>
      </w:pPr>
      <w:r>
        <w:tab/>
        <w:t>2)</w:t>
      </w:r>
      <w:r>
        <w:tab/>
        <w:t>Fomentar la ciencia y la tecnología</w:t>
      </w:r>
    </w:p>
    <w:p w:rsidR="00000000" w:rsidRDefault="00000000">
      <w:pPr>
        <w:pStyle w:val="SingleTxt"/>
      </w:pPr>
      <w:r>
        <w:tab/>
        <w:t>3)</w:t>
      </w:r>
      <w:r>
        <w:tab/>
        <w:t>Esforzarse por erradicar el analfabetismo y facilitar, cuando sea viable,</w:t>
      </w:r>
    </w:p>
    <w:p w:rsidR="00000000" w:rsidRDefault="00000000">
      <w:pPr>
        <w:pStyle w:val="BodyText"/>
        <w:spacing w:line="360" w:lineRule="auto"/>
        <w:jc w:val="both"/>
        <w:rPr>
          <w:sz w:val="20"/>
        </w:rPr>
      </w:pPr>
      <w:r>
        <w:rPr>
          <w:sz w:val="20"/>
        </w:rPr>
        <w:tab/>
      </w:r>
      <w:r>
        <w:rPr>
          <w:sz w:val="20"/>
        </w:rPr>
        <w:tab/>
      </w:r>
      <w:r>
        <w:rPr>
          <w:sz w:val="20"/>
        </w:rPr>
        <w:tab/>
      </w:r>
      <w:r>
        <w:rPr>
          <w:sz w:val="20"/>
        </w:rPr>
        <w:tab/>
      </w:r>
      <w:r>
        <w:rPr>
          <w:sz w:val="20"/>
        </w:rPr>
        <w:tab/>
        <w:t>a.</w:t>
      </w:r>
      <w:r>
        <w:rPr>
          <w:sz w:val="20"/>
        </w:rPr>
        <w:tab/>
        <w:t>enseñanza primaria universal, obligatoria y gratuita</w:t>
      </w:r>
    </w:p>
    <w:p w:rsidR="00000000" w:rsidRDefault="00000000">
      <w:pPr>
        <w:pStyle w:val="BodyText"/>
        <w:spacing w:line="360" w:lineRule="auto"/>
        <w:jc w:val="both"/>
        <w:rPr>
          <w:sz w:val="20"/>
        </w:rPr>
      </w:pPr>
      <w:r>
        <w:rPr>
          <w:sz w:val="20"/>
        </w:rPr>
        <w:tab/>
      </w:r>
      <w:r>
        <w:rPr>
          <w:sz w:val="20"/>
        </w:rPr>
        <w:tab/>
      </w:r>
      <w:r>
        <w:rPr>
          <w:sz w:val="20"/>
        </w:rPr>
        <w:tab/>
      </w:r>
      <w:r>
        <w:rPr>
          <w:sz w:val="20"/>
        </w:rPr>
        <w:tab/>
      </w:r>
      <w:r>
        <w:rPr>
          <w:sz w:val="20"/>
        </w:rPr>
        <w:tab/>
        <w:t>b.</w:t>
      </w:r>
      <w:r>
        <w:rPr>
          <w:sz w:val="20"/>
        </w:rPr>
        <w:tab/>
        <w:t>enseñanza secundaria gratuita</w:t>
      </w:r>
    </w:p>
    <w:p w:rsidR="00000000" w:rsidRDefault="00000000">
      <w:pPr>
        <w:pStyle w:val="BodyText"/>
        <w:spacing w:line="360" w:lineRule="auto"/>
        <w:jc w:val="both"/>
        <w:rPr>
          <w:sz w:val="20"/>
        </w:rPr>
      </w:pPr>
      <w:r>
        <w:rPr>
          <w:sz w:val="20"/>
        </w:rPr>
        <w:tab/>
      </w:r>
      <w:r>
        <w:rPr>
          <w:sz w:val="20"/>
        </w:rPr>
        <w:tab/>
      </w:r>
      <w:r>
        <w:rPr>
          <w:sz w:val="20"/>
        </w:rPr>
        <w:tab/>
      </w:r>
      <w:r>
        <w:rPr>
          <w:sz w:val="20"/>
        </w:rPr>
        <w:tab/>
      </w:r>
      <w:r>
        <w:rPr>
          <w:sz w:val="20"/>
        </w:rPr>
        <w:tab/>
        <w:t>c.</w:t>
      </w:r>
      <w:r>
        <w:rPr>
          <w:sz w:val="20"/>
        </w:rPr>
        <w:tab/>
        <w:t>enseñanza universitaria gratuita</w:t>
      </w:r>
    </w:p>
    <w:p w:rsidR="00000000" w:rsidRDefault="00000000">
      <w:pPr>
        <w:pStyle w:val="BodyText"/>
        <w:spacing w:line="360" w:lineRule="auto"/>
        <w:jc w:val="both"/>
        <w:rPr>
          <w:sz w:val="20"/>
        </w:rPr>
      </w:pPr>
      <w:r>
        <w:rPr>
          <w:sz w:val="20"/>
        </w:rPr>
        <w:tab/>
      </w:r>
      <w:r>
        <w:rPr>
          <w:sz w:val="20"/>
        </w:rPr>
        <w:tab/>
      </w:r>
      <w:r>
        <w:rPr>
          <w:sz w:val="20"/>
        </w:rPr>
        <w:tab/>
      </w:r>
      <w:r>
        <w:rPr>
          <w:sz w:val="20"/>
        </w:rPr>
        <w:tab/>
      </w:r>
      <w:r>
        <w:rPr>
          <w:sz w:val="20"/>
        </w:rPr>
        <w:tab/>
        <w:t>d.</w:t>
      </w:r>
      <w:r>
        <w:rPr>
          <w:sz w:val="20"/>
        </w:rPr>
        <w:tab/>
        <w:t>un programa gratuito de alfabetización de adultos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r>
      <w:r>
        <w:rPr>
          <w:b w:val="0"/>
        </w:rPr>
        <w:t>10.2</w:t>
      </w:r>
      <w:r>
        <w:rPr>
          <w:b w:val="0"/>
        </w:rPr>
        <w:tab/>
        <w:t>La disposición constitucional muestra que la educación básica no es discriminatoria, pero en los casos en que se la deniega a un niño o a una niña no se puede recurrir a la justicia. La Federación de Nigeria declara expresamente en la Constitución que brindará educación gratuita, como y cuando sea viable. Conforme a lo dispuesto en la Constitución, los gobiernos de los Estados han adoptado medidas y políticas para brindar enseñanza primaria y secundaria gratuita a sus respectivos ciudadanos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jc w:val="both"/>
        <w:rPr>
          <w:b w:val="0"/>
        </w:rPr>
      </w:pPr>
      <w:r>
        <w:tab/>
      </w:r>
      <w:r>
        <w:rPr>
          <w:b w:val="0"/>
        </w:rPr>
        <w:t>10.3</w:t>
      </w:r>
      <w:r>
        <w:rPr>
          <w:b w:val="0"/>
        </w:rPr>
        <w:tab/>
        <w:t>De conformidad con la Política Nacional de Educación, aprobada en 1981 y revisada en 1995 y 1998, Nigeria tiene ahora un sistema educativo que comprende seis años de enseñanza primaria, tres de enseñanza secundaria de primer ciclo, tres de enseñanza secundaria de segundo ciclo y cuatro de enseñanza superior. Conforme a la educación básica universal, ahora los nueve primeros años de escolarización, hasta el final de la enseñanza secundaria de primer ciclo, constituyen el componente básico de la educación. El sistema comprende también programas de educación de adultos y educación no académica, así como formación de maestros y educación especial, en particular para niños discapacitados. El sistema indica también los grupos de edad a los que va destinado cada uno de los tramos, los requisitos de admisión, los modos de ingreso, los sistemas de evaluación, los órganos examinadores y los certificados de conclusión de cada una de las fases.</w:t>
      </w: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950"/>
        <w:rPr>
          <w:i w:val="0"/>
          <w:spacing w:val="0"/>
          <w:w w:val="100"/>
          <w:kern w:val="0"/>
          <w:sz w:val="10"/>
        </w:rPr>
      </w:pPr>
    </w:p>
    <w:p w:rsidR="00000000" w:rsidRDefault="00000000"/>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10.4</w:t>
      </w:r>
      <w:r>
        <w:tab/>
        <w:t xml:space="preserve">Avances reales logrados para proteger a la mujer y velar por la eliminación de la </w:t>
      </w:r>
      <w:r>
        <w:br/>
      </w:r>
      <w:r>
        <w:tab/>
      </w:r>
      <w:r>
        <w:tab/>
        <w:t>discriminación contra ella en la educación</w:t>
      </w:r>
    </w:p>
    <w:p w:rsidR="00000000" w:rsidRDefault="00000000">
      <w:pPr>
        <w:pStyle w:val="BodyText"/>
        <w:spacing w:line="120" w:lineRule="exact"/>
        <w:jc w:val="both"/>
        <w:rPr>
          <w:b/>
          <w:i/>
          <w:sz w:val="10"/>
        </w:rPr>
      </w:pPr>
    </w:p>
    <w:p w:rsidR="00000000" w:rsidRDefault="00000000">
      <w:pPr>
        <w:pStyle w:val="SingleTxt"/>
      </w:pPr>
      <w:r>
        <w:tab/>
        <w:t>Se examinan los avances logrados en relación con el artículo 10 y conforme a los s</w:t>
      </w:r>
      <w:r>
        <w:t>i</w:t>
      </w:r>
      <w:r>
        <w:t>guientes indicadores:</w:t>
      </w: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10.4.1</w:t>
      </w:r>
      <w:r>
        <w:tab/>
        <w:t>Matrícula total en las escuelas</w:t>
      </w:r>
    </w:p>
    <w:p w:rsidR="00000000" w:rsidRDefault="00000000">
      <w:pPr>
        <w:pStyle w:val="BodyText"/>
        <w:spacing w:line="120" w:lineRule="exact"/>
        <w:jc w:val="both"/>
        <w:rPr>
          <w:b/>
          <w:i/>
          <w:sz w:val="10"/>
        </w:rPr>
      </w:pPr>
    </w:p>
    <w:p w:rsidR="00000000" w:rsidRDefault="00000000">
      <w:pPr>
        <w:pStyle w:val="SingleTxt"/>
      </w:pPr>
      <w:r>
        <w:tab/>
        <w:t>Es evidente que en los años comprendidos en este informe la matrícula total en las escuelas es siempre mayor en el caso de los hombres, en comparación con el de las mujeres, (véase el cuadro 10.1). Resulta sorprendente observar que la matrícula total masculina es mayor a medida que aumenta el nivel educativo, lo que refleja un desequilibrio en el acceso a la educación. Por ejemplo, en 1996 la matrícula en la enseñanza primaria ascendía a 7.702.000 alumnos y 6.376.000 alumnas; en la ens</w:t>
      </w:r>
      <w:r>
        <w:t>e</w:t>
      </w:r>
      <w:r>
        <w:t>ñanza secundaria de primer ciclo, las cifras eran 1.293.000 alumnos y 1.157.000 alumnas y en la enseñanza secundaria de segundo ciclo 936.000 alumnos y 815.000 alu</w:t>
      </w:r>
      <w:r>
        <w:t>m</w:t>
      </w:r>
      <w:r>
        <w:t xml:space="preserve">nas.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ab/>
      </w:r>
      <w:r>
        <w:rPr>
          <w:b w:val="0"/>
        </w:rPr>
        <w:tab/>
        <w:t>Cuadro 10.1</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Matrícula total en las enseñanzas primaria y secundaria de primer ciclo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y de segundo ciclo 1992-1996</w:t>
      </w:r>
    </w:p>
    <w:p w:rsidR="00000000" w:rsidRDefault="00000000">
      <w:pPr>
        <w:pStyle w:val="BodyText"/>
        <w:spacing w:line="120" w:lineRule="exact"/>
        <w:ind w:left="706"/>
        <w:jc w:val="both"/>
        <w:rPr>
          <w:b/>
          <w:sz w:val="10"/>
        </w:rPr>
      </w:pPr>
    </w:p>
    <w:tbl>
      <w:tblPr>
        <w:tblW w:w="0" w:type="auto"/>
        <w:tblInd w:w="1161" w:type="dxa"/>
        <w:tblLayout w:type="fixed"/>
        <w:tblLook w:val="0000" w:firstRow="0" w:lastRow="0" w:firstColumn="0" w:lastColumn="0" w:noHBand="0" w:noVBand="0"/>
      </w:tblPr>
      <w:tblGrid>
        <w:gridCol w:w="2261"/>
        <w:gridCol w:w="990"/>
        <w:gridCol w:w="864"/>
        <w:gridCol w:w="864"/>
        <w:gridCol w:w="864"/>
        <w:gridCol w:w="864"/>
        <w:gridCol w:w="864"/>
      </w:tblGrid>
      <w:tr w:rsidR="00000000">
        <w:tblPrEx>
          <w:tblCellMar>
            <w:top w:w="0" w:type="dxa"/>
            <w:bottom w:w="0" w:type="dxa"/>
          </w:tblCellMar>
        </w:tblPrEx>
        <w:trPr>
          <w:cantSplit/>
          <w:tblHeader/>
        </w:trPr>
        <w:tc>
          <w:tcPr>
            <w:tcW w:w="2261" w:type="dxa"/>
            <w:tcBorders>
              <w:top w:val="single" w:sz="4" w:space="0" w:color="auto"/>
            </w:tcBorders>
            <w:vAlign w:val="bottom"/>
          </w:tcPr>
          <w:p w:rsidR="00000000" w:rsidRDefault="00000000">
            <w:pPr>
              <w:pStyle w:val="BodyText"/>
              <w:spacing w:before="80" w:after="80" w:line="160" w:lineRule="exact"/>
              <w:ind w:right="40"/>
              <w:jc w:val="left"/>
              <w:rPr>
                <w:i/>
                <w:sz w:val="14"/>
              </w:rPr>
            </w:pPr>
            <w:r>
              <w:rPr>
                <w:i/>
                <w:sz w:val="14"/>
              </w:rPr>
              <w:t>Niveles</w:t>
            </w:r>
          </w:p>
        </w:tc>
        <w:tc>
          <w:tcPr>
            <w:tcW w:w="990" w:type="dxa"/>
            <w:tcBorders>
              <w:top w:val="single" w:sz="4" w:space="0" w:color="auto"/>
            </w:tcBorders>
            <w:vAlign w:val="bottom"/>
          </w:tcPr>
          <w:p w:rsidR="00000000" w:rsidRDefault="00000000">
            <w:pPr>
              <w:pStyle w:val="BodyText"/>
              <w:spacing w:before="80" w:after="80" w:line="160" w:lineRule="exact"/>
              <w:ind w:right="43"/>
              <w:jc w:val="left"/>
              <w:rPr>
                <w:i/>
                <w:sz w:val="14"/>
              </w:rPr>
            </w:pPr>
            <w:r>
              <w:rPr>
                <w:i/>
                <w:sz w:val="14"/>
              </w:rPr>
              <w:t>Sexo</w:t>
            </w:r>
          </w:p>
        </w:tc>
        <w:tc>
          <w:tcPr>
            <w:tcW w:w="864"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1992</w:t>
            </w:r>
          </w:p>
        </w:tc>
        <w:tc>
          <w:tcPr>
            <w:tcW w:w="864"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1993</w:t>
            </w:r>
          </w:p>
        </w:tc>
        <w:tc>
          <w:tcPr>
            <w:tcW w:w="864"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1994</w:t>
            </w:r>
          </w:p>
        </w:tc>
        <w:tc>
          <w:tcPr>
            <w:tcW w:w="864"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1995</w:t>
            </w:r>
          </w:p>
        </w:tc>
        <w:tc>
          <w:tcPr>
            <w:tcW w:w="864"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1996</w:t>
            </w:r>
          </w:p>
        </w:tc>
      </w:tr>
      <w:tr w:rsidR="00000000">
        <w:tblPrEx>
          <w:tblCellMar>
            <w:top w:w="0" w:type="dxa"/>
            <w:bottom w:w="0" w:type="dxa"/>
          </w:tblCellMar>
        </w:tblPrEx>
        <w:trPr>
          <w:cantSplit/>
          <w:trHeight w:hRule="exact" w:val="115"/>
          <w:tblHeader/>
        </w:trPr>
        <w:tc>
          <w:tcPr>
            <w:tcW w:w="2261" w:type="dxa"/>
            <w:tcBorders>
              <w:top w:val="single" w:sz="12" w:space="0" w:color="auto"/>
            </w:tcBorders>
            <w:vAlign w:val="bottom"/>
          </w:tcPr>
          <w:p w:rsidR="00000000" w:rsidRDefault="00000000">
            <w:pPr>
              <w:pStyle w:val="BodyText"/>
              <w:spacing w:before="40" w:after="40" w:line="210" w:lineRule="exact"/>
              <w:ind w:right="40"/>
              <w:jc w:val="both"/>
              <w:rPr>
                <w:sz w:val="17"/>
              </w:rPr>
            </w:pPr>
          </w:p>
        </w:tc>
        <w:tc>
          <w:tcPr>
            <w:tcW w:w="990" w:type="dxa"/>
            <w:tcBorders>
              <w:top w:val="single" w:sz="12" w:space="0" w:color="auto"/>
            </w:tcBorders>
            <w:vAlign w:val="bottom"/>
          </w:tcPr>
          <w:p w:rsidR="00000000" w:rsidRDefault="00000000">
            <w:pPr>
              <w:pStyle w:val="BodyText"/>
              <w:spacing w:before="40" w:after="40" w:line="210" w:lineRule="exact"/>
              <w:ind w:right="43"/>
              <w:jc w:val="left"/>
              <w:rPr>
                <w:sz w:val="17"/>
              </w:rPr>
            </w:pPr>
          </w:p>
        </w:tc>
        <w:tc>
          <w:tcPr>
            <w:tcW w:w="864"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864"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864"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864"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864" w:type="dxa"/>
            <w:tcBorders>
              <w:top w:val="single" w:sz="12" w:space="0" w:color="auto"/>
            </w:tcBorders>
            <w:vAlign w:val="bottom"/>
          </w:tcPr>
          <w:p w:rsidR="00000000" w:rsidRDefault="00000000">
            <w:pPr>
              <w:pStyle w:val="BodyText"/>
              <w:spacing w:before="40" w:after="40" w:line="210" w:lineRule="exact"/>
              <w:ind w:right="40"/>
              <w:jc w:val="right"/>
              <w:rPr>
                <w:sz w:val="17"/>
              </w:rPr>
            </w:pPr>
          </w:p>
        </w:tc>
      </w:tr>
      <w:tr w:rsidR="00000000">
        <w:tblPrEx>
          <w:tblCellMar>
            <w:top w:w="0" w:type="dxa"/>
            <w:bottom w:w="0" w:type="dxa"/>
          </w:tblCellMar>
        </w:tblPrEx>
        <w:trPr>
          <w:cantSplit/>
        </w:trPr>
        <w:tc>
          <w:tcPr>
            <w:tcW w:w="2261" w:type="dxa"/>
            <w:vMerge w:val="restart"/>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Matrícula en la enseñanza prim</w:t>
            </w:r>
            <w:r>
              <w:rPr>
                <w:sz w:val="17"/>
              </w:rPr>
              <w:t>a</w:t>
            </w:r>
            <w:r>
              <w:rPr>
                <w:sz w:val="17"/>
              </w:rPr>
              <w:t>ria (en millares)</w:t>
            </w:r>
          </w:p>
        </w:tc>
        <w:tc>
          <w:tcPr>
            <w:tcW w:w="990"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Alumnos</w:t>
            </w:r>
          </w:p>
        </w:tc>
        <w:tc>
          <w:tcPr>
            <w:tcW w:w="86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8 274</w:t>
            </w:r>
          </w:p>
        </w:tc>
        <w:tc>
          <w:tcPr>
            <w:tcW w:w="86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8 931</w:t>
            </w:r>
          </w:p>
        </w:tc>
        <w:tc>
          <w:tcPr>
            <w:tcW w:w="86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9 056</w:t>
            </w:r>
          </w:p>
        </w:tc>
        <w:tc>
          <w:tcPr>
            <w:tcW w:w="86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8 729</w:t>
            </w:r>
          </w:p>
        </w:tc>
        <w:tc>
          <w:tcPr>
            <w:tcW w:w="86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7 702</w:t>
            </w:r>
          </w:p>
        </w:tc>
      </w:tr>
      <w:tr w:rsidR="00000000">
        <w:tblPrEx>
          <w:tblCellMar>
            <w:top w:w="0" w:type="dxa"/>
            <w:bottom w:w="0" w:type="dxa"/>
          </w:tblCellMar>
        </w:tblPrEx>
        <w:trPr>
          <w:cantSplit/>
        </w:trPr>
        <w:tc>
          <w:tcPr>
            <w:tcW w:w="2261" w:type="dxa"/>
            <w:vMerge/>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p>
        </w:tc>
        <w:tc>
          <w:tcPr>
            <w:tcW w:w="990"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Alumnas</w:t>
            </w:r>
          </w:p>
        </w:tc>
        <w:tc>
          <w:tcPr>
            <w:tcW w:w="86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6 532</w:t>
            </w:r>
          </w:p>
        </w:tc>
        <w:tc>
          <w:tcPr>
            <w:tcW w:w="86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6 940</w:t>
            </w:r>
          </w:p>
        </w:tc>
        <w:tc>
          <w:tcPr>
            <w:tcW w:w="86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7 135</w:t>
            </w:r>
          </w:p>
        </w:tc>
        <w:tc>
          <w:tcPr>
            <w:tcW w:w="86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7 012</w:t>
            </w:r>
          </w:p>
        </w:tc>
        <w:tc>
          <w:tcPr>
            <w:tcW w:w="86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6 376</w:t>
            </w:r>
          </w:p>
        </w:tc>
      </w:tr>
      <w:tr w:rsidR="00000000">
        <w:tblPrEx>
          <w:tblCellMar>
            <w:top w:w="0" w:type="dxa"/>
            <w:bottom w:w="0" w:type="dxa"/>
          </w:tblCellMar>
        </w:tblPrEx>
        <w:trPr>
          <w:cantSplit/>
        </w:trPr>
        <w:tc>
          <w:tcPr>
            <w:tcW w:w="2261" w:type="dxa"/>
            <w:vMerge/>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p>
        </w:tc>
        <w:tc>
          <w:tcPr>
            <w:tcW w:w="990"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Total</w:t>
            </w:r>
          </w:p>
        </w:tc>
        <w:tc>
          <w:tcPr>
            <w:tcW w:w="86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14 806</w:t>
            </w:r>
          </w:p>
        </w:tc>
        <w:tc>
          <w:tcPr>
            <w:tcW w:w="86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15 871</w:t>
            </w:r>
          </w:p>
        </w:tc>
        <w:tc>
          <w:tcPr>
            <w:tcW w:w="86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16 191</w:t>
            </w:r>
          </w:p>
        </w:tc>
        <w:tc>
          <w:tcPr>
            <w:tcW w:w="86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15 741</w:t>
            </w:r>
          </w:p>
        </w:tc>
        <w:tc>
          <w:tcPr>
            <w:tcW w:w="86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14 078</w:t>
            </w:r>
          </w:p>
        </w:tc>
      </w:tr>
      <w:tr w:rsidR="00000000">
        <w:tblPrEx>
          <w:tblCellMar>
            <w:top w:w="0" w:type="dxa"/>
            <w:bottom w:w="0" w:type="dxa"/>
          </w:tblCellMar>
        </w:tblPrEx>
        <w:trPr>
          <w:cantSplit/>
        </w:trPr>
        <w:tc>
          <w:tcPr>
            <w:tcW w:w="2261" w:type="dxa"/>
            <w:vMerge w:val="restart"/>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Matrícula en la enseñanza secundaria (en millares) ESPC 1-ESPC 3</w:t>
            </w:r>
          </w:p>
        </w:tc>
        <w:tc>
          <w:tcPr>
            <w:tcW w:w="990" w:type="dxa"/>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Alumnos</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1 229</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1 371</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1 520</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1 144</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1 292</w:t>
            </w:r>
          </w:p>
        </w:tc>
      </w:tr>
      <w:tr w:rsidR="00000000">
        <w:tblPrEx>
          <w:tblCellMar>
            <w:top w:w="0" w:type="dxa"/>
            <w:bottom w:w="0" w:type="dxa"/>
          </w:tblCellMar>
        </w:tblPrEx>
        <w:trPr>
          <w:cantSplit/>
        </w:trPr>
        <w:tc>
          <w:tcPr>
            <w:tcW w:w="2261" w:type="dxa"/>
            <w:vMerge/>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p>
        </w:tc>
        <w:tc>
          <w:tcPr>
            <w:tcW w:w="990" w:type="dxa"/>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Alumnas</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1 008</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1 177</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1 272</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1 286</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1 157</w:t>
            </w:r>
          </w:p>
        </w:tc>
      </w:tr>
      <w:tr w:rsidR="00000000">
        <w:tblPrEx>
          <w:tblCellMar>
            <w:top w:w="0" w:type="dxa"/>
            <w:bottom w:w="0" w:type="dxa"/>
          </w:tblCellMar>
        </w:tblPrEx>
        <w:trPr>
          <w:cantSplit/>
        </w:trPr>
        <w:tc>
          <w:tcPr>
            <w:tcW w:w="2261" w:type="dxa"/>
            <w:vMerge/>
            <w:vAlign w:val="bottom"/>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p>
        </w:tc>
        <w:tc>
          <w:tcPr>
            <w:tcW w:w="990" w:type="dxa"/>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Total</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2 237</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2 548</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2 792</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2 727</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2 450</w:t>
            </w:r>
          </w:p>
        </w:tc>
      </w:tr>
      <w:tr w:rsidR="00000000">
        <w:tblPrEx>
          <w:tblCellMar>
            <w:top w:w="0" w:type="dxa"/>
            <w:bottom w:w="0" w:type="dxa"/>
          </w:tblCellMar>
        </w:tblPrEx>
        <w:trPr>
          <w:cantSplit/>
        </w:trPr>
        <w:tc>
          <w:tcPr>
            <w:tcW w:w="2261" w:type="dxa"/>
            <w:vMerge w:val="restart"/>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Matrícula en la enseñanza secundaria (en millares) ESSC 1-ESSC 3</w:t>
            </w:r>
          </w:p>
        </w:tc>
        <w:tc>
          <w:tcPr>
            <w:tcW w:w="990" w:type="dxa"/>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Alumnos</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739</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828</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906</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911</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936</w:t>
            </w:r>
          </w:p>
        </w:tc>
      </w:tr>
      <w:tr w:rsidR="00000000">
        <w:tblPrEx>
          <w:tblCellMar>
            <w:top w:w="0" w:type="dxa"/>
            <w:bottom w:w="0" w:type="dxa"/>
          </w:tblCellMar>
        </w:tblPrEx>
        <w:trPr>
          <w:cantSplit/>
        </w:trPr>
        <w:tc>
          <w:tcPr>
            <w:tcW w:w="2261" w:type="dxa"/>
            <w:vMerge/>
            <w:vAlign w:val="bottom"/>
          </w:tcPr>
          <w:p w:rsidR="00000000" w:rsidRDefault="00000000">
            <w:pPr>
              <w:pStyle w:val="BodyText"/>
              <w:tabs>
                <w:tab w:val="left" w:pos="288"/>
                <w:tab w:val="left" w:pos="576"/>
                <w:tab w:val="left" w:pos="864"/>
                <w:tab w:val="left" w:pos="1152"/>
              </w:tabs>
              <w:spacing w:before="40" w:after="40" w:line="210" w:lineRule="exact"/>
              <w:ind w:right="40"/>
              <w:jc w:val="both"/>
              <w:rPr>
                <w:b/>
                <w:sz w:val="17"/>
              </w:rPr>
            </w:pPr>
          </w:p>
        </w:tc>
        <w:tc>
          <w:tcPr>
            <w:tcW w:w="990" w:type="dxa"/>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Alumnas</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613</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694</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760</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807</w:t>
            </w:r>
          </w:p>
        </w:tc>
        <w:tc>
          <w:tcPr>
            <w:tcW w:w="864" w:type="dxa"/>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815</w:t>
            </w:r>
          </w:p>
        </w:tc>
      </w:tr>
      <w:tr w:rsidR="00000000">
        <w:tblPrEx>
          <w:tblCellMar>
            <w:top w:w="0" w:type="dxa"/>
            <w:bottom w:w="0" w:type="dxa"/>
          </w:tblCellMar>
        </w:tblPrEx>
        <w:trPr>
          <w:cantSplit/>
        </w:trPr>
        <w:tc>
          <w:tcPr>
            <w:tcW w:w="2261" w:type="dxa"/>
            <w:vMerge/>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both"/>
              <w:rPr>
                <w:b/>
                <w:sz w:val="17"/>
              </w:rPr>
            </w:pPr>
          </w:p>
        </w:tc>
        <w:tc>
          <w:tcPr>
            <w:tcW w:w="990" w:type="dxa"/>
            <w:tcBorders>
              <w:bottom w:val="single" w:sz="12" w:space="0" w:color="auto"/>
            </w:tcBorders>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Total</w:t>
            </w:r>
          </w:p>
        </w:tc>
        <w:tc>
          <w:tcPr>
            <w:tcW w:w="864" w:type="dxa"/>
            <w:tcBorders>
              <w:bottom w:val="single" w:sz="12" w:space="0" w:color="auto"/>
            </w:tcBorders>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1 352</w:t>
            </w:r>
          </w:p>
        </w:tc>
        <w:tc>
          <w:tcPr>
            <w:tcW w:w="864" w:type="dxa"/>
            <w:tcBorders>
              <w:bottom w:val="single" w:sz="12" w:space="0" w:color="auto"/>
            </w:tcBorders>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1 522</w:t>
            </w:r>
          </w:p>
        </w:tc>
        <w:tc>
          <w:tcPr>
            <w:tcW w:w="864" w:type="dxa"/>
            <w:tcBorders>
              <w:bottom w:val="single" w:sz="12" w:space="0" w:color="auto"/>
            </w:tcBorders>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1 666</w:t>
            </w:r>
          </w:p>
        </w:tc>
        <w:tc>
          <w:tcPr>
            <w:tcW w:w="864" w:type="dxa"/>
            <w:tcBorders>
              <w:bottom w:val="single" w:sz="12" w:space="0" w:color="auto"/>
            </w:tcBorders>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1 718</w:t>
            </w:r>
          </w:p>
        </w:tc>
        <w:tc>
          <w:tcPr>
            <w:tcW w:w="864" w:type="dxa"/>
            <w:tcBorders>
              <w:bottom w:val="single" w:sz="12" w:space="0" w:color="auto"/>
            </w:tcBorders>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1 751</w:t>
            </w:r>
          </w:p>
        </w:tc>
      </w:tr>
    </w:tbl>
    <w:p w:rsidR="00000000" w:rsidRDefault="00000000">
      <w:pPr>
        <w:pStyle w:val="BodyText"/>
        <w:spacing w:line="120" w:lineRule="exact"/>
        <w:ind w:left="708"/>
        <w:jc w:val="both"/>
        <w:rPr>
          <w:b/>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Informe SAA 2001 Análisis de la enseñanza diversificada.</w:t>
      </w:r>
    </w:p>
    <w:p w:rsidR="00000000" w:rsidRDefault="00000000">
      <w:pPr>
        <w:pStyle w:val="BodyText"/>
        <w:spacing w:line="240" w:lineRule="auto"/>
        <w:ind w:left="708"/>
        <w:jc w:val="both"/>
        <w:rPr>
          <w:sz w:val="20"/>
        </w:rPr>
      </w:pPr>
      <w:r>
        <w:rPr>
          <w:sz w:val="20"/>
        </w:rPr>
        <w:tab/>
      </w:r>
      <w:r>
        <w:rPr>
          <w:sz w:val="20"/>
        </w:rPr>
        <w:tab/>
      </w:r>
      <w:r>
        <w:rPr>
          <w:sz w:val="16"/>
        </w:rPr>
        <w:t>Gobierno Federal de Nigeria/UNICEF/UNESCO y PNUD 2000</w:t>
      </w:r>
      <w:r>
        <w:rPr>
          <w:sz w:val="20"/>
        </w:rPr>
        <w:t>.</w:t>
      </w:r>
    </w:p>
    <w:p w:rsidR="00000000" w:rsidRDefault="00000000">
      <w:pPr>
        <w:pStyle w:val="BodyText"/>
        <w:spacing w:line="120" w:lineRule="exact"/>
        <w:ind w:left="1416"/>
        <w:jc w:val="both"/>
        <w:rPr>
          <w:b/>
          <w:sz w:val="10"/>
        </w:rPr>
      </w:pPr>
    </w:p>
    <w:p w:rsidR="00000000" w:rsidRDefault="00000000">
      <w:pPr>
        <w:pStyle w:val="BodyText"/>
        <w:spacing w:line="120" w:lineRule="exact"/>
        <w:ind w:left="1416"/>
        <w:jc w:val="both"/>
        <w:rPr>
          <w:b/>
          <w:sz w:val="10"/>
        </w:rPr>
      </w:pPr>
    </w:p>
    <w:p w:rsidR="00000000" w:rsidRDefault="00000000">
      <w:pPr>
        <w:pStyle w:val="SingleTxt"/>
      </w:pPr>
      <w:r>
        <w:tab/>
        <w:t>En el cuadro 10.2 se ve que la desigualdad entre los sexos resulta más marcada en la matrícula total en las Escuelas Técnicas federales y estatales de los cursos 1993/94 a 1997/98. Menos de la quinta parte de los matriculados en cada uno de esos años eran mujeres. El aumento del desfase entre los sexos exige una interve</w:t>
      </w:r>
      <w:r>
        <w:t>n</w:t>
      </w:r>
      <w:r>
        <w:t>ción seria para que el principio de la Convención relativo a la educación tenga algún sentido en N</w:t>
      </w:r>
      <w:r>
        <w:t>i</w:t>
      </w:r>
      <w:r>
        <w:t>geria.</w:t>
      </w:r>
    </w:p>
    <w:p w:rsidR="00000000" w:rsidRDefault="00000000">
      <w:pPr>
        <w:pStyle w:val="BodyText"/>
        <w:spacing w:line="120" w:lineRule="exact"/>
        <w:ind w:left="708"/>
        <w:jc w:val="both"/>
        <w:rPr>
          <w:sz w:val="10"/>
        </w:rPr>
      </w:pPr>
    </w:p>
    <w:p w:rsidR="00000000" w:rsidRDefault="00000000">
      <w:pPr>
        <w:pStyle w:val="BodyText"/>
        <w:spacing w:line="120" w:lineRule="exact"/>
        <w:ind w:left="708"/>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ab/>
      </w:r>
      <w:r>
        <w:rPr>
          <w:b w:val="0"/>
        </w:rPr>
        <w:tab/>
        <w:t>Cuadro 10.2</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Matrícula en las escuelas técnicas federales y estatales 1993/1994 – 1997/1998</w:t>
      </w:r>
    </w:p>
    <w:p w:rsidR="00000000" w:rsidRDefault="00000000">
      <w:pPr>
        <w:keepNext/>
        <w:keepLines/>
        <w:spacing w:line="120" w:lineRule="exact"/>
        <w:rPr>
          <w:sz w:val="10"/>
        </w:rPr>
      </w:pPr>
    </w:p>
    <w:p w:rsidR="00000000" w:rsidRDefault="00000000">
      <w:pPr>
        <w:pStyle w:val="BodyText"/>
        <w:keepNext/>
        <w:keepLines/>
        <w:spacing w:line="120" w:lineRule="exact"/>
        <w:ind w:left="708"/>
        <w:jc w:val="both"/>
        <w:rPr>
          <w:b/>
          <w:sz w:val="10"/>
        </w:rPr>
      </w:pPr>
    </w:p>
    <w:tbl>
      <w:tblPr>
        <w:tblW w:w="0" w:type="auto"/>
        <w:tblInd w:w="1161" w:type="dxa"/>
        <w:tblLayout w:type="fixed"/>
        <w:tblLook w:val="0000" w:firstRow="0" w:lastRow="0" w:firstColumn="0" w:lastColumn="0" w:noHBand="0" w:noVBand="0"/>
      </w:tblPr>
      <w:tblGrid>
        <w:gridCol w:w="2046"/>
        <w:gridCol w:w="1758"/>
        <w:gridCol w:w="1758"/>
        <w:gridCol w:w="1758"/>
      </w:tblGrid>
      <w:tr w:rsidR="00000000">
        <w:tblPrEx>
          <w:tblCellMar>
            <w:top w:w="0" w:type="dxa"/>
            <w:bottom w:w="0" w:type="dxa"/>
          </w:tblCellMar>
        </w:tblPrEx>
        <w:trPr>
          <w:tblHeader/>
        </w:trPr>
        <w:tc>
          <w:tcPr>
            <w:tcW w:w="2046" w:type="dxa"/>
            <w:tcBorders>
              <w:top w:val="single" w:sz="4" w:space="0" w:color="auto"/>
            </w:tcBorders>
            <w:vAlign w:val="bottom"/>
          </w:tcPr>
          <w:p w:rsidR="00000000" w:rsidRDefault="00000000">
            <w:pPr>
              <w:pStyle w:val="BodyText"/>
              <w:keepNext/>
              <w:keepLines/>
              <w:spacing w:before="80" w:after="80" w:line="160" w:lineRule="exact"/>
              <w:ind w:right="40"/>
              <w:jc w:val="both"/>
              <w:rPr>
                <w:i/>
                <w:sz w:val="14"/>
              </w:rPr>
            </w:pPr>
          </w:p>
        </w:tc>
        <w:tc>
          <w:tcPr>
            <w:tcW w:w="1758" w:type="dxa"/>
            <w:tcBorders>
              <w:top w:val="single" w:sz="4" w:space="0" w:color="auto"/>
            </w:tcBorders>
            <w:vAlign w:val="bottom"/>
          </w:tcPr>
          <w:p w:rsidR="00000000" w:rsidRDefault="00000000">
            <w:pPr>
              <w:pStyle w:val="BodyText"/>
              <w:keepNext/>
              <w:keepLines/>
              <w:spacing w:before="80" w:after="80" w:line="160" w:lineRule="exact"/>
              <w:ind w:right="40"/>
              <w:jc w:val="right"/>
              <w:rPr>
                <w:i/>
                <w:sz w:val="14"/>
              </w:rPr>
            </w:pPr>
            <w:r>
              <w:rPr>
                <w:i/>
                <w:sz w:val="14"/>
              </w:rPr>
              <w:t>Total</w:t>
            </w:r>
          </w:p>
        </w:tc>
        <w:tc>
          <w:tcPr>
            <w:tcW w:w="1758" w:type="dxa"/>
            <w:tcBorders>
              <w:top w:val="single" w:sz="4" w:space="0" w:color="auto"/>
            </w:tcBorders>
            <w:vAlign w:val="bottom"/>
          </w:tcPr>
          <w:p w:rsidR="00000000" w:rsidRDefault="00000000">
            <w:pPr>
              <w:pStyle w:val="BodyText"/>
              <w:keepNext/>
              <w:keepLines/>
              <w:spacing w:before="80" w:after="80" w:line="160" w:lineRule="exact"/>
              <w:ind w:right="40"/>
              <w:jc w:val="right"/>
              <w:rPr>
                <w:i/>
                <w:sz w:val="14"/>
              </w:rPr>
            </w:pPr>
            <w:r>
              <w:rPr>
                <w:i/>
                <w:sz w:val="14"/>
              </w:rPr>
              <w:t>Hombres</w:t>
            </w:r>
          </w:p>
        </w:tc>
        <w:tc>
          <w:tcPr>
            <w:tcW w:w="1758" w:type="dxa"/>
            <w:tcBorders>
              <w:top w:val="single" w:sz="4" w:space="0" w:color="auto"/>
            </w:tcBorders>
            <w:vAlign w:val="bottom"/>
          </w:tcPr>
          <w:p w:rsidR="00000000" w:rsidRDefault="00000000">
            <w:pPr>
              <w:pStyle w:val="BodyText"/>
              <w:keepNext/>
              <w:keepLines/>
              <w:spacing w:before="80" w:after="80" w:line="160" w:lineRule="exact"/>
              <w:ind w:right="40"/>
              <w:jc w:val="right"/>
              <w:rPr>
                <w:i/>
                <w:sz w:val="14"/>
              </w:rPr>
            </w:pPr>
            <w:r>
              <w:rPr>
                <w:i/>
                <w:sz w:val="14"/>
              </w:rPr>
              <w:t>Mujeres</w:t>
            </w:r>
          </w:p>
        </w:tc>
      </w:tr>
      <w:tr w:rsidR="00000000">
        <w:tblPrEx>
          <w:tblCellMar>
            <w:top w:w="0" w:type="dxa"/>
            <w:bottom w:w="0" w:type="dxa"/>
          </w:tblCellMar>
        </w:tblPrEx>
        <w:trPr>
          <w:trHeight w:hRule="exact" w:val="115"/>
          <w:tblHeader/>
        </w:trPr>
        <w:tc>
          <w:tcPr>
            <w:tcW w:w="2046" w:type="dxa"/>
            <w:tcBorders>
              <w:top w:val="single" w:sz="12" w:space="0" w:color="auto"/>
            </w:tcBorders>
            <w:vAlign w:val="bottom"/>
          </w:tcPr>
          <w:p w:rsidR="00000000" w:rsidRDefault="00000000">
            <w:pPr>
              <w:pStyle w:val="BodyText"/>
              <w:keepNext/>
              <w:keepLines/>
              <w:spacing w:before="40" w:after="40" w:line="210" w:lineRule="exact"/>
              <w:ind w:right="40"/>
              <w:jc w:val="both"/>
              <w:rPr>
                <w:sz w:val="17"/>
              </w:rPr>
            </w:pPr>
          </w:p>
        </w:tc>
        <w:tc>
          <w:tcPr>
            <w:tcW w:w="1758" w:type="dxa"/>
            <w:tcBorders>
              <w:top w:val="single" w:sz="12" w:space="0" w:color="auto"/>
            </w:tcBorders>
            <w:vAlign w:val="bottom"/>
          </w:tcPr>
          <w:p w:rsidR="00000000" w:rsidRDefault="00000000">
            <w:pPr>
              <w:pStyle w:val="BodyText"/>
              <w:keepNext/>
              <w:keepLines/>
              <w:spacing w:before="40" w:after="40" w:line="210" w:lineRule="exact"/>
              <w:ind w:right="40"/>
              <w:jc w:val="right"/>
              <w:rPr>
                <w:sz w:val="17"/>
              </w:rPr>
            </w:pPr>
          </w:p>
        </w:tc>
        <w:tc>
          <w:tcPr>
            <w:tcW w:w="1758" w:type="dxa"/>
            <w:tcBorders>
              <w:top w:val="single" w:sz="12" w:space="0" w:color="auto"/>
            </w:tcBorders>
            <w:vAlign w:val="bottom"/>
          </w:tcPr>
          <w:p w:rsidR="00000000" w:rsidRDefault="00000000">
            <w:pPr>
              <w:pStyle w:val="BodyText"/>
              <w:keepNext/>
              <w:keepLines/>
              <w:spacing w:before="40" w:after="40" w:line="210" w:lineRule="exact"/>
              <w:ind w:right="40"/>
              <w:jc w:val="right"/>
              <w:rPr>
                <w:sz w:val="17"/>
              </w:rPr>
            </w:pPr>
          </w:p>
        </w:tc>
        <w:tc>
          <w:tcPr>
            <w:tcW w:w="1758" w:type="dxa"/>
            <w:tcBorders>
              <w:top w:val="single" w:sz="12" w:space="0" w:color="auto"/>
            </w:tcBorders>
            <w:vAlign w:val="bottom"/>
          </w:tcPr>
          <w:p w:rsidR="00000000" w:rsidRDefault="00000000">
            <w:pPr>
              <w:pStyle w:val="BodyText"/>
              <w:keepNext/>
              <w:keepLines/>
              <w:spacing w:before="40" w:after="40" w:line="210" w:lineRule="exact"/>
              <w:ind w:right="40"/>
              <w:jc w:val="right"/>
              <w:rPr>
                <w:sz w:val="17"/>
              </w:rPr>
            </w:pPr>
          </w:p>
        </w:tc>
      </w:tr>
      <w:tr w:rsidR="00000000">
        <w:tblPrEx>
          <w:tblCellMar>
            <w:top w:w="0" w:type="dxa"/>
            <w:bottom w:w="0" w:type="dxa"/>
          </w:tblCellMar>
        </w:tblPrEx>
        <w:tc>
          <w:tcPr>
            <w:tcW w:w="2046"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both"/>
              <w:rPr>
                <w:sz w:val="17"/>
              </w:rPr>
            </w:pPr>
            <w:r>
              <w:rPr>
                <w:sz w:val="17"/>
              </w:rPr>
              <w:t>1993/94</w:t>
            </w:r>
          </w:p>
        </w:tc>
        <w:tc>
          <w:tcPr>
            <w:tcW w:w="1758"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43 715</w:t>
            </w:r>
          </w:p>
        </w:tc>
        <w:tc>
          <w:tcPr>
            <w:tcW w:w="1758"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7 351</w:t>
            </w:r>
          </w:p>
        </w:tc>
        <w:tc>
          <w:tcPr>
            <w:tcW w:w="1758"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16,8</w:t>
            </w:r>
          </w:p>
        </w:tc>
      </w:tr>
      <w:tr w:rsidR="00000000">
        <w:tblPrEx>
          <w:tblCellMar>
            <w:top w:w="0" w:type="dxa"/>
            <w:bottom w:w="0" w:type="dxa"/>
          </w:tblCellMar>
        </w:tblPrEx>
        <w:tc>
          <w:tcPr>
            <w:tcW w:w="2046"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both"/>
              <w:rPr>
                <w:sz w:val="17"/>
              </w:rPr>
            </w:pPr>
            <w:r>
              <w:rPr>
                <w:sz w:val="17"/>
              </w:rPr>
              <w:t>1994/95</w:t>
            </w:r>
          </w:p>
        </w:tc>
        <w:tc>
          <w:tcPr>
            <w:tcW w:w="1758"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41 520</w:t>
            </w:r>
          </w:p>
        </w:tc>
        <w:tc>
          <w:tcPr>
            <w:tcW w:w="1758"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6 888</w:t>
            </w:r>
          </w:p>
        </w:tc>
        <w:tc>
          <w:tcPr>
            <w:tcW w:w="1758"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16,6</w:t>
            </w:r>
          </w:p>
        </w:tc>
      </w:tr>
      <w:tr w:rsidR="00000000">
        <w:tblPrEx>
          <w:tblCellMar>
            <w:top w:w="0" w:type="dxa"/>
            <w:bottom w:w="0" w:type="dxa"/>
          </w:tblCellMar>
        </w:tblPrEx>
        <w:tc>
          <w:tcPr>
            <w:tcW w:w="2046"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1995/96</w:t>
            </w:r>
          </w:p>
        </w:tc>
        <w:tc>
          <w:tcPr>
            <w:tcW w:w="175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42 310</w:t>
            </w:r>
          </w:p>
        </w:tc>
        <w:tc>
          <w:tcPr>
            <w:tcW w:w="175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7 056</w:t>
            </w:r>
          </w:p>
        </w:tc>
        <w:tc>
          <w:tcPr>
            <w:tcW w:w="175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16,7</w:t>
            </w:r>
          </w:p>
        </w:tc>
      </w:tr>
      <w:tr w:rsidR="00000000">
        <w:tblPrEx>
          <w:tblCellMar>
            <w:top w:w="0" w:type="dxa"/>
            <w:bottom w:w="0" w:type="dxa"/>
          </w:tblCellMar>
        </w:tblPrEx>
        <w:tc>
          <w:tcPr>
            <w:tcW w:w="2046"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1996/97</w:t>
            </w:r>
          </w:p>
        </w:tc>
        <w:tc>
          <w:tcPr>
            <w:tcW w:w="175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41 372</w:t>
            </w:r>
          </w:p>
        </w:tc>
        <w:tc>
          <w:tcPr>
            <w:tcW w:w="175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6 561</w:t>
            </w:r>
          </w:p>
        </w:tc>
        <w:tc>
          <w:tcPr>
            <w:tcW w:w="175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15,9</w:t>
            </w:r>
          </w:p>
        </w:tc>
      </w:tr>
      <w:tr w:rsidR="00000000">
        <w:tblPrEx>
          <w:tblCellMar>
            <w:top w:w="0" w:type="dxa"/>
            <w:bottom w:w="0" w:type="dxa"/>
          </w:tblCellMar>
        </w:tblPrEx>
        <w:tc>
          <w:tcPr>
            <w:tcW w:w="2046"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1997/98</w:t>
            </w:r>
          </w:p>
        </w:tc>
        <w:tc>
          <w:tcPr>
            <w:tcW w:w="1758"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43 354</w:t>
            </w:r>
          </w:p>
        </w:tc>
        <w:tc>
          <w:tcPr>
            <w:tcW w:w="1758"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7 553</w:t>
            </w:r>
          </w:p>
        </w:tc>
        <w:tc>
          <w:tcPr>
            <w:tcW w:w="1758"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17,4</w:t>
            </w:r>
          </w:p>
        </w:tc>
      </w:tr>
    </w:tbl>
    <w:p w:rsidR="00000000" w:rsidRDefault="00000000">
      <w:pPr>
        <w:pStyle w:val="BodyText"/>
        <w:spacing w:line="120" w:lineRule="exact"/>
        <w:ind w:left="720"/>
        <w:jc w:val="both"/>
        <w:rPr>
          <w:i/>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Informe SAA 2001.</w:t>
      </w:r>
    </w:p>
    <w:p w:rsidR="00000000" w:rsidRDefault="00000000">
      <w:pPr>
        <w:pStyle w:val="BodyText"/>
        <w:spacing w:line="120" w:lineRule="exact"/>
        <w:jc w:val="both"/>
        <w:rPr>
          <w:b/>
          <w:sz w:val="10"/>
        </w:rPr>
      </w:pPr>
    </w:p>
    <w:p w:rsidR="00000000" w:rsidRDefault="00000000">
      <w:pPr>
        <w:pStyle w:val="BodyText"/>
        <w:spacing w:line="120" w:lineRule="exact"/>
        <w:jc w:val="both"/>
        <w:rPr>
          <w:b/>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10.4.2</w:t>
      </w:r>
      <w:r>
        <w:tab/>
        <w:t>Tasas brutas de matrícula</w:t>
      </w:r>
    </w:p>
    <w:p w:rsidR="00000000" w:rsidRDefault="00000000">
      <w:pPr>
        <w:pStyle w:val="BodyText"/>
        <w:spacing w:line="120" w:lineRule="exact"/>
        <w:jc w:val="both"/>
        <w:rPr>
          <w:b/>
          <w:i/>
          <w:sz w:val="10"/>
        </w:rPr>
      </w:pPr>
    </w:p>
    <w:p w:rsidR="00000000" w:rsidRDefault="00000000">
      <w:pPr>
        <w:pStyle w:val="SingleTxt"/>
        <w:ind w:left="1742" w:hanging="475"/>
      </w:pPr>
      <w:r>
        <w:t>a)</w:t>
      </w:r>
      <w:r>
        <w:tab/>
        <w:t>Las tasas brutas de matrícula dan mejor idea del acceso a la educación. En los cuadros 10.3 y 10.4 se ofrecen conjuntos de indicadores para hacer las comp</w:t>
      </w:r>
      <w:r>
        <w:t>a</w:t>
      </w:r>
      <w:r>
        <w:t>raciones entre hombres y mujeres. En el cuadro 10.3 se ve la tendencia de la tasa bruta de matrícula en diferentes niveles educativos. Las cifras revelan que, en comparación con los hombres, las mujeres no han sido afortunadas en ni</w:t>
      </w:r>
      <w:r>
        <w:t>n</w:t>
      </w:r>
      <w:r>
        <w:t>guno de los niveles. En general, se observó un retraso en el nivel de la ens</w:t>
      </w:r>
      <w:r>
        <w:t>e</w:t>
      </w:r>
      <w:r>
        <w:t>ñanza primaria con una tendencia decreciente en la tasa bruta de matrícula a lo largo de los años. Como era de esperar, las tasas brutas de matrícula son sist</w:t>
      </w:r>
      <w:r>
        <w:t>e</w:t>
      </w:r>
      <w:r>
        <w:t>máticamente mayores en el nivel de la enseñanza primaria. Sin embargo, en los niveles de la enseñanza secundaria de primer ciclo y de segundo ciclo las tasas brutas de matrícula oscilaron entre el 30,2 y el 40,0 por ciento, lo que significa que muchos niños abandonaron la escuela después de la enseñanza primaria. También se observa que las tasas brutas de matrícula disminuyeron con el a</w:t>
      </w:r>
      <w:r>
        <w:t>u</w:t>
      </w:r>
      <w:r>
        <w:t>mento del nivel educativo, junto con la desigualdad a favor de los hombres en el nivel de la enseñanza secundaria de primer ciclo, mientras que en el nivel de la enseñanza secundaria de segundo ciclo la tónica fue la inversa. En el perí</w:t>
      </w:r>
      <w:r>
        <w:t>o</w:t>
      </w:r>
      <w:r>
        <w:t>do 1993 a 1996, la tasa bruta de matrícula correspondiente a las mujeres es sistemáticamente mayor que la correspondiente a los hombres.</w:t>
      </w:r>
    </w:p>
    <w:p w:rsidR="00000000" w:rsidRDefault="00000000">
      <w:pPr>
        <w:pStyle w:val="BodyText"/>
        <w:spacing w:line="120" w:lineRule="exact"/>
        <w:jc w:val="both"/>
        <w:rPr>
          <w:sz w:val="10"/>
        </w:rPr>
      </w:pPr>
    </w:p>
    <w:p w:rsidR="00000000" w:rsidRDefault="00000000">
      <w:pPr>
        <w:pStyle w:val="BodyText"/>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ab/>
      </w:r>
      <w:r>
        <w:rPr>
          <w:b w:val="0"/>
        </w:rPr>
        <w:tab/>
        <w:t>Cuadro 10.3</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Tasa bruta de matrícula correspondiente a las enseñanzas primaria y secundaria de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primer ciclo y de segundo ciclo 1992-1996</w:t>
      </w:r>
    </w:p>
    <w:p w:rsidR="00000000" w:rsidRDefault="00000000">
      <w:pPr>
        <w:pStyle w:val="BodyText"/>
        <w:spacing w:line="120" w:lineRule="exact"/>
        <w:ind w:left="706"/>
        <w:jc w:val="both"/>
        <w:rPr>
          <w:b/>
          <w:sz w:val="10"/>
        </w:rPr>
      </w:pPr>
    </w:p>
    <w:tbl>
      <w:tblPr>
        <w:tblW w:w="0" w:type="auto"/>
        <w:tblInd w:w="1161" w:type="dxa"/>
        <w:tblLayout w:type="fixed"/>
        <w:tblLook w:val="0000" w:firstRow="0" w:lastRow="0" w:firstColumn="0" w:lastColumn="0" w:noHBand="0" w:noVBand="0"/>
      </w:tblPr>
      <w:tblGrid>
        <w:gridCol w:w="2522"/>
        <w:gridCol w:w="1066"/>
        <w:gridCol w:w="850"/>
        <w:gridCol w:w="851"/>
        <w:gridCol w:w="850"/>
        <w:gridCol w:w="851"/>
        <w:gridCol w:w="851"/>
      </w:tblGrid>
      <w:tr w:rsidR="00000000">
        <w:tblPrEx>
          <w:tblCellMar>
            <w:top w:w="0" w:type="dxa"/>
            <w:bottom w:w="0" w:type="dxa"/>
          </w:tblCellMar>
        </w:tblPrEx>
        <w:trPr>
          <w:cantSplit/>
          <w:tblHeader/>
        </w:trPr>
        <w:tc>
          <w:tcPr>
            <w:tcW w:w="2522" w:type="dxa"/>
            <w:tcBorders>
              <w:top w:val="single" w:sz="4" w:space="0" w:color="auto"/>
            </w:tcBorders>
            <w:vAlign w:val="bottom"/>
          </w:tcPr>
          <w:p w:rsidR="00000000" w:rsidRDefault="00000000">
            <w:pPr>
              <w:pStyle w:val="BodyText"/>
              <w:spacing w:before="80" w:after="80" w:line="160" w:lineRule="exact"/>
              <w:ind w:right="40"/>
              <w:jc w:val="left"/>
              <w:rPr>
                <w:i/>
                <w:sz w:val="14"/>
              </w:rPr>
            </w:pPr>
            <w:r>
              <w:rPr>
                <w:i/>
                <w:sz w:val="14"/>
              </w:rPr>
              <w:t>Niveles</w:t>
            </w:r>
          </w:p>
        </w:tc>
        <w:tc>
          <w:tcPr>
            <w:tcW w:w="1066" w:type="dxa"/>
            <w:tcBorders>
              <w:top w:val="single" w:sz="4" w:space="0" w:color="auto"/>
            </w:tcBorders>
            <w:vAlign w:val="bottom"/>
          </w:tcPr>
          <w:p w:rsidR="00000000" w:rsidRDefault="00000000">
            <w:pPr>
              <w:pStyle w:val="BodyText"/>
              <w:spacing w:before="80" w:after="80" w:line="160" w:lineRule="exact"/>
              <w:ind w:right="43"/>
              <w:jc w:val="left"/>
              <w:rPr>
                <w:i/>
                <w:sz w:val="14"/>
              </w:rPr>
            </w:pPr>
            <w:r>
              <w:rPr>
                <w:i/>
                <w:sz w:val="14"/>
              </w:rPr>
              <w:t>Sexo</w:t>
            </w:r>
          </w:p>
        </w:tc>
        <w:tc>
          <w:tcPr>
            <w:tcW w:w="850"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1992</w:t>
            </w:r>
          </w:p>
        </w:tc>
        <w:tc>
          <w:tcPr>
            <w:tcW w:w="851"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1993</w:t>
            </w:r>
          </w:p>
        </w:tc>
        <w:tc>
          <w:tcPr>
            <w:tcW w:w="850"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1994</w:t>
            </w:r>
          </w:p>
        </w:tc>
        <w:tc>
          <w:tcPr>
            <w:tcW w:w="851"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1995</w:t>
            </w:r>
          </w:p>
        </w:tc>
        <w:tc>
          <w:tcPr>
            <w:tcW w:w="851"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1996</w:t>
            </w:r>
          </w:p>
        </w:tc>
      </w:tr>
      <w:tr w:rsidR="00000000">
        <w:tblPrEx>
          <w:tblCellMar>
            <w:top w:w="0" w:type="dxa"/>
            <w:bottom w:w="0" w:type="dxa"/>
          </w:tblCellMar>
        </w:tblPrEx>
        <w:trPr>
          <w:cantSplit/>
          <w:trHeight w:hRule="exact" w:val="115"/>
          <w:tblHeader/>
        </w:trPr>
        <w:tc>
          <w:tcPr>
            <w:tcW w:w="2522" w:type="dxa"/>
            <w:tcBorders>
              <w:top w:val="single" w:sz="12" w:space="0" w:color="auto"/>
            </w:tcBorders>
            <w:vAlign w:val="bottom"/>
          </w:tcPr>
          <w:p w:rsidR="00000000" w:rsidRDefault="00000000">
            <w:pPr>
              <w:pStyle w:val="BodyText"/>
              <w:spacing w:before="40" w:after="40" w:line="210" w:lineRule="exact"/>
              <w:ind w:right="40"/>
              <w:jc w:val="both"/>
              <w:rPr>
                <w:sz w:val="17"/>
              </w:rPr>
            </w:pPr>
          </w:p>
        </w:tc>
        <w:tc>
          <w:tcPr>
            <w:tcW w:w="1066" w:type="dxa"/>
            <w:tcBorders>
              <w:top w:val="single" w:sz="12" w:space="0" w:color="auto"/>
            </w:tcBorders>
            <w:vAlign w:val="bottom"/>
          </w:tcPr>
          <w:p w:rsidR="00000000" w:rsidRDefault="00000000">
            <w:pPr>
              <w:pStyle w:val="BodyText"/>
              <w:spacing w:before="40" w:after="40" w:line="210" w:lineRule="exact"/>
              <w:ind w:right="43"/>
              <w:jc w:val="left"/>
              <w:rPr>
                <w:sz w:val="17"/>
              </w:rPr>
            </w:pPr>
          </w:p>
        </w:tc>
        <w:tc>
          <w:tcPr>
            <w:tcW w:w="850"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851"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850"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851"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851" w:type="dxa"/>
            <w:tcBorders>
              <w:top w:val="single" w:sz="12" w:space="0" w:color="auto"/>
            </w:tcBorders>
            <w:vAlign w:val="bottom"/>
          </w:tcPr>
          <w:p w:rsidR="00000000" w:rsidRDefault="00000000">
            <w:pPr>
              <w:pStyle w:val="BodyText"/>
              <w:spacing w:before="40" w:after="40" w:line="210" w:lineRule="exact"/>
              <w:ind w:right="40"/>
              <w:jc w:val="right"/>
              <w:rPr>
                <w:sz w:val="17"/>
              </w:rPr>
            </w:pPr>
          </w:p>
        </w:tc>
      </w:tr>
      <w:tr w:rsidR="00000000">
        <w:tblPrEx>
          <w:tblCellMar>
            <w:top w:w="0" w:type="dxa"/>
            <w:bottom w:w="0" w:type="dxa"/>
          </w:tblCellMar>
        </w:tblPrEx>
        <w:trPr>
          <w:cantSplit/>
        </w:trPr>
        <w:tc>
          <w:tcPr>
            <w:tcW w:w="2522" w:type="dxa"/>
            <w:vMerge w:val="restart"/>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 xml:space="preserve">Enseñanza primaria </w:t>
            </w:r>
          </w:p>
        </w:tc>
        <w:tc>
          <w:tcPr>
            <w:tcW w:w="1066"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Alumnos</w:t>
            </w:r>
          </w:p>
        </w:tc>
        <w:tc>
          <w:tcPr>
            <w:tcW w:w="8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91</w:t>
            </w:r>
          </w:p>
        </w:tc>
        <w:tc>
          <w:tcPr>
            <w:tcW w:w="851"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95</w:t>
            </w:r>
          </w:p>
        </w:tc>
        <w:tc>
          <w:tcPr>
            <w:tcW w:w="8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94</w:t>
            </w:r>
          </w:p>
        </w:tc>
        <w:tc>
          <w:tcPr>
            <w:tcW w:w="851"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88</w:t>
            </w:r>
          </w:p>
        </w:tc>
        <w:tc>
          <w:tcPr>
            <w:tcW w:w="851"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bottom w:w="0" w:type="dxa"/>
          </w:tblCellMar>
        </w:tblPrEx>
        <w:trPr>
          <w:cantSplit/>
        </w:trPr>
        <w:tc>
          <w:tcPr>
            <w:tcW w:w="2522" w:type="dxa"/>
            <w:vMerge/>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p>
        </w:tc>
        <w:tc>
          <w:tcPr>
            <w:tcW w:w="1066"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Alumnas</w:t>
            </w:r>
          </w:p>
        </w:tc>
        <w:tc>
          <w:tcPr>
            <w:tcW w:w="8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75</w:t>
            </w:r>
          </w:p>
        </w:tc>
        <w:tc>
          <w:tcPr>
            <w:tcW w:w="851"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77</w:t>
            </w:r>
          </w:p>
        </w:tc>
        <w:tc>
          <w:tcPr>
            <w:tcW w:w="8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77</w:t>
            </w:r>
          </w:p>
        </w:tc>
        <w:tc>
          <w:tcPr>
            <w:tcW w:w="851"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74</w:t>
            </w:r>
          </w:p>
        </w:tc>
        <w:tc>
          <w:tcPr>
            <w:tcW w:w="851"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bottom w:w="0" w:type="dxa"/>
          </w:tblCellMar>
        </w:tblPrEx>
        <w:trPr>
          <w:cantSplit/>
        </w:trPr>
        <w:tc>
          <w:tcPr>
            <w:tcW w:w="2522" w:type="dxa"/>
            <w:vMerge w:val="restart"/>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Enseñanza secundaria de primer ciclo</w:t>
            </w:r>
          </w:p>
        </w:tc>
        <w:tc>
          <w:tcPr>
            <w:tcW w:w="1066"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Alumnos</w:t>
            </w:r>
          </w:p>
        </w:tc>
        <w:tc>
          <w:tcPr>
            <w:tcW w:w="8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37</w:t>
            </w:r>
          </w:p>
        </w:tc>
        <w:tc>
          <w:tcPr>
            <w:tcW w:w="851"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40</w:t>
            </w:r>
          </w:p>
        </w:tc>
        <w:tc>
          <w:tcPr>
            <w:tcW w:w="8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43</w:t>
            </w:r>
          </w:p>
        </w:tc>
        <w:tc>
          <w:tcPr>
            <w:tcW w:w="851"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39</w:t>
            </w:r>
          </w:p>
        </w:tc>
        <w:tc>
          <w:tcPr>
            <w:tcW w:w="851"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bottom w:w="0" w:type="dxa"/>
          </w:tblCellMar>
        </w:tblPrEx>
        <w:trPr>
          <w:cantSplit/>
        </w:trPr>
        <w:tc>
          <w:tcPr>
            <w:tcW w:w="2522" w:type="dxa"/>
            <w:vMerge/>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p>
        </w:tc>
        <w:tc>
          <w:tcPr>
            <w:tcW w:w="1066"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Alumnas</w:t>
            </w:r>
          </w:p>
        </w:tc>
        <w:tc>
          <w:tcPr>
            <w:tcW w:w="8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33</w:t>
            </w:r>
          </w:p>
        </w:tc>
        <w:tc>
          <w:tcPr>
            <w:tcW w:w="851"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37</w:t>
            </w:r>
          </w:p>
        </w:tc>
        <w:tc>
          <w:tcPr>
            <w:tcW w:w="8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39</w:t>
            </w:r>
          </w:p>
        </w:tc>
        <w:tc>
          <w:tcPr>
            <w:tcW w:w="851"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38</w:t>
            </w:r>
          </w:p>
        </w:tc>
        <w:tc>
          <w:tcPr>
            <w:tcW w:w="851"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bottom w:w="0" w:type="dxa"/>
          </w:tblCellMar>
        </w:tblPrEx>
        <w:trPr>
          <w:cantSplit/>
        </w:trPr>
        <w:tc>
          <w:tcPr>
            <w:tcW w:w="2522" w:type="dxa"/>
            <w:vMerge w:val="restart"/>
          </w:tcPr>
          <w:p w:rsidR="00000000" w:rsidRDefault="00000000">
            <w:pPr>
              <w:pStyle w:val="BodyText"/>
              <w:tabs>
                <w:tab w:val="left" w:pos="288"/>
                <w:tab w:val="left" w:pos="576"/>
                <w:tab w:val="left" w:pos="864"/>
                <w:tab w:val="left" w:pos="1152"/>
              </w:tabs>
              <w:spacing w:before="40" w:after="40" w:line="210" w:lineRule="exact"/>
              <w:ind w:right="40"/>
              <w:jc w:val="left"/>
              <w:rPr>
                <w:sz w:val="17"/>
              </w:rPr>
            </w:pPr>
            <w:r>
              <w:rPr>
                <w:sz w:val="17"/>
              </w:rPr>
              <w:t>Eseñanza secundaria de segundo ciclo</w:t>
            </w:r>
          </w:p>
        </w:tc>
        <w:tc>
          <w:tcPr>
            <w:tcW w:w="1066"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Alumnos</w:t>
            </w:r>
          </w:p>
        </w:tc>
        <w:tc>
          <w:tcPr>
            <w:tcW w:w="8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28,6</w:t>
            </w:r>
          </w:p>
        </w:tc>
        <w:tc>
          <w:tcPr>
            <w:tcW w:w="851"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31,2</w:t>
            </w:r>
          </w:p>
        </w:tc>
        <w:tc>
          <w:tcPr>
            <w:tcW w:w="8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30,9</w:t>
            </w:r>
          </w:p>
        </w:tc>
        <w:tc>
          <w:tcPr>
            <w:tcW w:w="851"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32,5</w:t>
            </w:r>
          </w:p>
        </w:tc>
        <w:tc>
          <w:tcPr>
            <w:tcW w:w="851"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32,4</w:t>
            </w:r>
          </w:p>
        </w:tc>
      </w:tr>
      <w:tr w:rsidR="00000000">
        <w:tblPrEx>
          <w:tblCellMar>
            <w:top w:w="0" w:type="dxa"/>
            <w:bottom w:w="0" w:type="dxa"/>
          </w:tblCellMar>
        </w:tblPrEx>
        <w:trPr>
          <w:cantSplit/>
        </w:trPr>
        <w:tc>
          <w:tcPr>
            <w:tcW w:w="2522" w:type="dxa"/>
            <w:vMerge/>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both"/>
              <w:rPr>
                <w:b/>
                <w:sz w:val="17"/>
              </w:rPr>
            </w:pPr>
          </w:p>
        </w:tc>
        <w:tc>
          <w:tcPr>
            <w:tcW w:w="1066"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Alumnas</w:t>
            </w:r>
          </w:p>
        </w:tc>
        <w:tc>
          <w:tcPr>
            <w:tcW w:w="85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30,2</w:t>
            </w:r>
          </w:p>
        </w:tc>
        <w:tc>
          <w:tcPr>
            <w:tcW w:w="851"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33,3</w:t>
            </w:r>
          </w:p>
        </w:tc>
        <w:tc>
          <w:tcPr>
            <w:tcW w:w="85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35,4</w:t>
            </w:r>
          </w:p>
        </w:tc>
        <w:tc>
          <w:tcPr>
            <w:tcW w:w="851"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36,6</w:t>
            </w:r>
          </w:p>
        </w:tc>
        <w:tc>
          <w:tcPr>
            <w:tcW w:w="851"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35,9</w:t>
            </w:r>
          </w:p>
        </w:tc>
      </w:tr>
    </w:tbl>
    <w:p w:rsidR="00000000" w:rsidRDefault="00000000">
      <w:pPr>
        <w:pStyle w:val="BodyText"/>
        <w:spacing w:line="120" w:lineRule="exact"/>
        <w:ind w:left="708"/>
        <w:jc w:val="both"/>
        <w:rPr>
          <w:b/>
          <w:sz w:val="10"/>
        </w:rPr>
      </w:pPr>
    </w:p>
    <w:p w:rsidR="00000000" w:rsidRDefault="00000000">
      <w:pPr>
        <w:pStyle w:val="FootnoteText"/>
        <w:tabs>
          <w:tab w:val="clear" w:pos="418"/>
          <w:tab w:val="right" w:pos="1476"/>
          <w:tab w:val="left" w:pos="1548"/>
          <w:tab w:val="right" w:pos="1836"/>
          <w:tab w:val="left" w:pos="1908"/>
        </w:tabs>
        <w:ind w:left="1548" w:hanging="288"/>
        <w:rPr>
          <w:b/>
        </w:rPr>
      </w:pPr>
      <w:r>
        <w:rPr>
          <w:i/>
        </w:rPr>
        <w:t>Fuente</w:t>
      </w:r>
      <w:r>
        <w:rPr>
          <w:b/>
        </w:rPr>
        <w:t xml:space="preserve">: </w:t>
      </w:r>
      <w:r>
        <w:t>Informe SAA 2001.</w:t>
      </w:r>
    </w:p>
    <w:p w:rsidR="00000000" w:rsidRDefault="00000000">
      <w:pPr>
        <w:pStyle w:val="BodyText"/>
        <w:spacing w:line="120" w:lineRule="exact"/>
        <w:ind w:left="708"/>
        <w:jc w:val="both"/>
        <w:rPr>
          <w:b/>
          <w:sz w:val="10"/>
        </w:rPr>
      </w:pPr>
    </w:p>
    <w:p w:rsidR="00000000" w:rsidRDefault="00000000">
      <w:pPr>
        <w:pStyle w:val="BodyText"/>
        <w:spacing w:line="120" w:lineRule="exact"/>
        <w:ind w:left="708"/>
        <w:jc w:val="both"/>
        <w:rPr>
          <w:b/>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ab/>
      </w:r>
      <w:r>
        <w:rPr>
          <w:b w:val="0"/>
        </w:rPr>
        <w:tab/>
        <w:t>Cuadro 10.4</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Tasa bruta de matrícula correspondiente a la enseñanza primaria por sexo,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zona geopolítica y zonas urbanas y rurales 1995/1999</w:t>
      </w:r>
    </w:p>
    <w:p w:rsidR="00000000" w:rsidRDefault="00000000">
      <w:pPr>
        <w:pStyle w:val="BodyText"/>
        <w:spacing w:line="120" w:lineRule="exact"/>
        <w:ind w:left="708"/>
        <w:jc w:val="both"/>
        <w:rPr>
          <w:b/>
          <w:sz w:val="10"/>
        </w:rPr>
      </w:pPr>
    </w:p>
    <w:tbl>
      <w:tblPr>
        <w:tblW w:w="0" w:type="auto"/>
        <w:tblInd w:w="1161" w:type="dxa"/>
        <w:tblLayout w:type="fixed"/>
        <w:tblLook w:val="0000" w:firstRow="0" w:lastRow="0" w:firstColumn="0" w:lastColumn="0" w:noHBand="0" w:noVBand="0"/>
      </w:tblPr>
      <w:tblGrid>
        <w:gridCol w:w="2033"/>
        <w:gridCol w:w="881"/>
        <w:gridCol w:w="881"/>
        <w:gridCol w:w="881"/>
        <w:gridCol w:w="15"/>
        <w:gridCol w:w="866"/>
        <w:gridCol w:w="881"/>
        <w:gridCol w:w="863"/>
        <w:gridCol w:w="18"/>
      </w:tblGrid>
      <w:tr w:rsidR="00000000">
        <w:tblPrEx>
          <w:tblCellMar>
            <w:top w:w="0" w:type="dxa"/>
            <w:bottom w:w="0" w:type="dxa"/>
          </w:tblCellMar>
        </w:tblPrEx>
        <w:trPr>
          <w:gridAfter w:val="1"/>
          <w:wAfter w:w="18" w:type="dxa"/>
          <w:cantSplit/>
          <w:tblHeader/>
        </w:trPr>
        <w:tc>
          <w:tcPr>
            <w:tcW w:w="2033" w:type="dxa"/>
            <w:tcBorders>
              <w:top w:val="single" w:sz="4" w:space="0" w:color="auto"/>
            </w:tcBorders>
            <w:vAlign w:val="bottom"/>
          </w:tcPr>
          <w:p w:rsidR="00000000" w:rsidRDefault="00000000">
            <w:pPr>
              <w:pStyle w:val="BodyText"/>
              <w:spacing w:before="80" w:after="80" w:line="160" w:lineRule="exact"/>
              <w:ind w:right="40"/>
              <w:jc w:val="both"/>
              <w:rPr>
                <w:i/>
                <w:sz w:val="14"/>
              </w:rPr>
            </w:pPr>
          </w:p>
        </w:tc>
        <w:tc>
          <w:tcPr>
            <w:tcW w:w="2658" w:type="dxa"/>
            <w:gridSpan w:val="4"/>
            <w:tcBorders>
              <w:top w:val="single" w:sz="4" w:space="0" w:color="auto"/>
              <w:bottom w:val="single" w:sz="4" w:space="0" w:color="auto"/>
            </w:tcBorders>
            <w:vAlign w:val="bottom"/>
          </w:tcPr>
          <w:p w:rsidR="00000000" w:rsidRDefault="00000000">
            <w:pPr>
              <w:pStyle w:val="BodyText"/>
              <w:spacing w:before="80" w:after="80" w:line="160" w:lineRule="exact"/>
              <w:ind w:right="43"/>
              <w:rPr>
                <w:i/>
                <w:sz w:val="14"/>
              </w:rPr>
            </w:pPr>
            <w:r>
              <w:rPr>
                <w:i/>
                <w:sz w:val="14"/>
              </w:rPr>
              <w:t>1995</w:t>
            </w:r>
          </w:p>
        </w:tc>
        <w:tc>
          <w:tcPr>
            <w:tcW w:w="2610" w:type="dxa"/>
            <w:gridSpan w:val="3"/>
            <w:tcBorders>
              <w:top w:val="single" w:sz="4" w:space="0" w:color="auto"/>
              <w:bottom w:val="single" w:sz="4" w:space="0" w:color="auto"/>
            </w:tcBorders>
            <w:vAlign w:val="bottom"/>
          </w:tcPr>
          <w:p w:rsidR="00000000" w:rsidRDefault="00000000">
            <w:pPr>
              <w:pStyle w:val="BodyText"/>
              <w:spacing w:before="80" w:after="80" w:line="160" w:lineRule="exact"/>
              <w:ind w:right="43"/>
              <w:rPr>
                <w:i/>
                <w:sz w:val="14"/>
              </w:rPr>
            </w:pPr>
            <w:r>
              <w:rPr>
                <w:i/>
                <w:sz w:val="14"/>
              </w:rPr>
              <w:t>1999</w:t>
            </w:r>
          </w:p>
        </w:tc>
      </w:tr>
      <w:tr w:rsidR="00000000">
        <w:tblPrEx>
          <w:tblCellMar>
            <w:top w:w="0" w:type="dxa"/>
            <w:bottom w:w="0" w:type="dxa"/>
          </w:tblCellMar>
        </w:tblPrEx>
        <w:trPr>
          <w:cantSplit/>
          <w:tblHeader/>
        </w:trPr>
        <w:tc>
          <w:tcPr>
            <w:tcW w:w="2033" w:type="dxa"/>
            <w:vAlign w:val="bottom"/>
          </w:tcPr>
          <w:p w:rsidR="00000000" w:rsidRDefault="00000000">
            <w:pPr>
              <w:pStyle w:val="BodyText"/>
              <w:spacing w:after="80" w:line="160" w:lineRule="exact"/>
              <w:ind w:right="40"/>
              <w:jc w:val="both"/>
              <w:rPr>
                <w:i/>
                <w:sz w:val="14"/>
              </w:rPr>
            </w:pPr>
            <w:r>
              <w:rPr>
                <w:i/>
                <w:sz w:val="14"/>
              </w:rPr>
              <w:t>Zonas MICS</w:t>
            </w:r>
          </w:p>
        </w:tc>
        <w:tc>
          <w:tcPr>
            <w:tcW w:w="881" w:type="dxa"/>
            <w:vAlign w:val="bottom"/>
          </w:tcPr>
          <w:p w:rsidR="00000000" w:rsidRDefault="00000000">
            <w:pPr>
              <w:pStyle w:val="BodyText"/>
              <w:spacing w:after="80" w:line="160" w:lineRule="exact"/>
              <w:ind w:right="43"/>
              <w:jc w:val="right"/>
              <w:rPr>
                <w:i/>
                <w:sz w:val="14"/>
              </w:rPr>
            </w:pPr>
            <w:r>
              <w:rPr>
                <w:i/>
                <w:sz w:val="14"/>
              </w:rPr>
              <w:t>Alumnos</w:t>
            </w:r>
          </w:p>
        </w:tc>
        <w:tc>
          <w:tcPr>
            <w:tcW w:w="881" w:type="dxa"/>
            <w:vAlign w:val="bottom"/>
          </w:tcPr>
          <w:p w:rsidR="00000000" w:rsidRDefault="00000000">
            <w:pPr>
              <w:pStyle w:val="BodyText"/>
              <w:spacing w:after="80" w:line="160" w:lineRule="exact"/>
              <w:ind w:right="43"/>
              <w:jc w:val="right"/>
              <w:rPr>
                <w:i/>
                <w:sz w:val="14"/>
              </w:rPr>
            </w:pPr>
            <w:r>
              <w:rPr>
                <w:i/>
                <w:sz w:val="14"/>
              </w:rPr>
              <w:t>Alumnas</w:t>
            </w:r>
          </w:p>
        </w:tc>
        <w:tc>
          <w:tcPr>
            <w:tcW w:w="881" w:type="dxa"/>
            <w:vAlign w:val="bottom"/>
          </w:tcPr>
          <w:p w:rsidR="00000000" w:rsidRDefault="00000000">
            <w:pPr>
              <w:pStyle w:val="BodyText"/>
              <w:spacing w:after="80" w:line="160" w:lineRule="exact"/>
              <w:ind w:right="43"/>
              <w:jc w:val="right"/>
              <w:rPr>
                <w:i/>
                <w:sz w:val="14"/>
              </w:rPr>
            </w:pPr>
            <w:r>
              <w:rPr>
                <w:i/>
                <w:sz w:val="14"/>
              </w:rPr>
              <w:t>General</w:t>
            </w:r>
          </w:p>
        </w:tc>
        <w:tc>
          <w:tcPr>
            <w:tcW w:w="881" w:type="dxa"/>
            <w:gridSpan w:val="2"/>
            <w:vAlign w:val="bottom"/>
          </w:tcPr>
          <w:p w:rsidR="00000000" w:rsidRDefault="00000000">
            <w:pPr>
              <w:pStyle w:val="BodyText"/>
              <w:spacing w:after="80" w:line="160" w:lineRule="exact"/>
              <w:ind w:right="43"/>
              <w:jc w:val="right"/>
              <w:rPr>
                <w:i/>
                <w:sz w:val="14"/>
              </w:rPr>
            </w:pPr>
            <w:r>
              <w:rPr>
                <w:i/>
                <w:sz w:val="14"/>
              </w:rPr>
              <w:t>Alumnos</w:t>
            </w:r>
          </w:p>
        </w:tc>
        <w:tc>
          <w:tcPr>
            <w:tcW w:w="881" w:type="dxa"/>
            <w:vAlign w:val="bottom"/>
          </w:tcPr>
          <w:p w:rsidR="00000000" w:rsidRDefault="00000000">
            <w:pPr>
              <w:pStyle w:val="BodyText"/>
              <w:spacing w:after="80" w:line="160" w:lineRule="exact"/>
              <w:ind w:right="43"/>
              <w:jc w:val="right"/>
              <w:rPr>
                <w:i/>
                <w:sz w:val="14"/>
              </w:rPr>
            </w:pPr>
            <w:r>
              <w:rPr>
                <w:i/>
                <w:sz w:val="14"/>
              </w:rPr>
              <w:t>Alumnas</w:t>
            </w:r>
          </w:p>
        </w:tc>
        <w:tc>
          <w:tcPr>
            <w:tcW w:w="881" w:type="dxa"/>
            <w:gridSpan w:val="2"/>
            <w:vAlign w:val="bottom"/>
          </w:tcPr>
          <w:p w:rsidR="00000000" w:rsidRDefault="00000000">
            <w:pPr>
              <w:pStyle w:val="BodyText"/>
              <w:spacing w:after="80" w:line="160" w:lineRule="exact"/>
              <w:ind w:right="43"/>
              <w:jc w:val="right"/>
              <w:rPr>
                <w:i/>
                <w:sz w:val="14"/>
              </w:rPr>
            </w:pPr>
            <w:r>
              <w:rPr>
                <w:i/>
                <w:sz w:val="14"/>
              </w:rPr>
              <w:t>General</w:t>
            </w:r>
          </w:p>
        </w:tc>
      </w:tr>
      <w:tr w:rsidR="00000000">
        <w:tblPrEx>
          <w:tblCellMar>
            <w:top w:w="0" w:type="dxa"/>
            <w:bottom w:w="0" w:type="dxa"/>
          </w:tblCellMar>
        </w:tblPrEx>
        <w:trPr>
          <w:trHeight w:hRule="exact" w:val="115"/>
          <w:tblHeader/>
        </w:trPr>
        <w:tc>
          <w:tcPr>
            <w:tcW w:w="2033" w:type="dxa"/>
            <w:tcBorders>
              <w:top w:val="single" w:sz="12" w:space="0" w:color="auto"/>
            </w:tcBorders>
            <w:vAlign w:val="bottom"/>
          </w:tcPr>
          <w:p w:rsidR="00000000" w:rsidRDefault="00000000">
            <w:pPr>
              <w:pStyle w:val="BodyText"/>
              <w:spacing w:before="40" w:after="40" w:line="210" w:lineRule="exact"/>
              <w:ind w:right="40"/>
              <w:jc w:val="both"/>
              <w:rPr>
                <w:sz w:val="17"/>
              </w:rPr>
            </w:pPr>
          </w:p>
        </w:tc>
        <w:tc>
          <w:tcPr>
            <w:tcW w:w="881" w:type="dxa"/>
            <w:tcBorders>
              <w:top w:val="single" w:sz="12" w:space="0" w:color="auto"/>
            </w:tcBorders>
            <w:vAlign w:val="bottom"/>
          </w:tcPr>
          <w:p w:rsidR="00000000" w:rsidRDefault="00000000">
            <w:pPr>
              <w:pStyle w:val="BodyText"/>
              <w:spacing w:before="40" w:after="40" w:line="210" w:lineRule="exact"/>
              <w:ind w:right="43"/>
              <w:jc w:val="right"/>
              <w:rPr>
                <w:sz w:val="17"/>
              </w:rPr>
            </w:pPr>
          </w:p>
        </w:tc>
        <w:tc>
          <w:tcPr>
            <w:tcW w:w="881" w:type="dxa"/>
            <w:tcBorders>
              <w:top w:val="single" w:sz="12" w:space="0" w:color="auto"/>
            </w:tcBorders>
            <w:vAlign w:val="bottom"/>
          </w:tcPr>
          <w:p w:rsidR="00000000" w:rsidRDefault="00000000">
            <w:pPr>
              <w:pStyle w:val="BodyText"/>
              <w:spacing w:before="40" w:after="40" w:line="210" w:lineRule="exact"/>
              <w:ind w:right="43"/>
              <w:jc w:val="right"/>
              <w:rPr>
                <w:sz w:val="17"/>
              </w:rPr>
            </w:pPr>
          </w:p>
        </w:tc>
        <w:tc>
          <w:tcPr>
            <w:tcW w:w="881" w:type="dxa"/>
            <w:tcBorders>
              <w:top w:val="single" w:sz="12" w:space="0" w:color="auto"/>
            </w:tcBorders>
            <w:vAlign w:val="bottom"/>
          </w:tcPr>
          <w:p w:rsidR="00000000" w:rsidRDefault="00000000">
            <w:pPr>
              <w:pStyle w:val="BodyText"/>
              <w:spacing w:before="40" w:after="40" w:line="210" w:lineRule="exact"/>
              <w:ind w:right="43"/>
              <w:jc w:val="right"/>
              <w:rPr>
                <w:sz w:val="17"/>
              </w:rPr>
            </w:pPr>
          </w:p>
        </w:tc>
        <w:tc>
          <w:tcPr>
            <w:tcW w:w="881" w:type="dxa"/>
            <w:gridSpan w:val="2"/>
            <w:tcBorders>
              <w:top w:val="single" w:sz="12" w:space="0" w:color="auto"/>
            </w:tcBorders>
            <w:vAlign w:val="bottom"/>
          </w:tcPr>
          <w:p w:rsidR="00000000" w:rsidRDefault="00000000">
            <w:pPr>
              <w:pStyle w:val="BodyText"/>
              <w:spacing w:before="40" w:after="40" w:line="210" w:lineRule="exact"/>
              <w:ind w:right="43"/>
              <w:jc w:val="right"/>
              <w:rPr>
                <w:sz w:val="17"/>
              </w:rPr>
            </w:pPr>
          </w:p>
        </w:tc>
        <w:tc>
          <w:tcPr>
            <w:tcW w:w="881" w:type="dxa"/>
            <w:tcBorders>
              <w:top w:val="single" w:sz="12" w:space="0" w:color="auto"/>
            </w:tcBorders>
            <w:vAlign w:val="bottom"/>
          </w:tcPr>
          <w:p w:rsidR="00000000" w:rsidRDefault="00000000">
            <w:pPr>
              <w:pStyle w:val="BodyText"/>
              <w:spacing w:before="40" w:after="40" w:line="210" w:lineRule="exact"/>
              <w:ind w:right="43"/>
              <w:jc w:val="right"/>
              <w:rPr>
                <w:sz w:val="17"/>
              </w:rPr>
            </w:pPr>
          </w:p>
        </w:tc>
        <w:tc>
          <w:tcPr>
            <w:tcW w:w="881" w:type="dxa"/>
            <w:gridSpan w:val="2"/>
            <w:tcBorders>
              <w:top w:val="single" w:sz="12" w:space="0" w:color="auto"/>
            </w:tcBorders>
            <w:vAlign w:val="bottom"/>
          </w:tcPr>
          <w:p w:rsidR="00000000" w:rsidRDefault="00000000">
            <w:pPr>
              <w:pStyle w:val="BodyText"/>
              <w:spacing w:before="40" w:after="40" w:line="210" w:lineRule="exact"/>
              <w:ind w:right="43"/>
              <w:jc w:val="right"/>
              <w:rPr>
                <w:sz w:val="17"/>
              </w:rPr>
            </w:pPr>
          </w:p>
        </w:tc>
      </w:tr>
      <w:tr w:rsidR="00000000">
        <w:tblPrEx>
          <w:tblCellMar>
            <w:top w:w="0" w:type="dxa"/>
            <w:bottom w:w="0" w:type="dxa"/>
          </w:tblCellMar>
        </w:tblPrEx>
        <w:tc>
          <w:tcPr>
            <w:tcW w:w="203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Sudoccidental</w:t>
            </w: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117,3</w:t>
            </w: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112,8</w:t>
            </w:r>
          </w:p>
        </w:tc>
        <w:tc>
          <w:tcPr>
            <w:tcW w:w="881"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115,2</w:t>
            </w:r>
          </w:p>
        </w:tc>
      </w:tr>
      <w:tr w:rsidR="00000000">
        <w:tblPrEx>
          <w:tblCellMar>
            <w:top w:w="0" w:type="dxa"/>
            <w:bottom w:w="0" w:type="dxa"/>
          </w:tblCellMar>
        </w:tblPrEx>
        <w:tc>
          <w:tcPr>
            <w:tcW w:w="203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Sudoriental</w:t>
            </w: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121,6</w:t>
            </w: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117,8</w:t>
            </w:r>
          </w:p>
        </w:tc>
        <w:tc>
          <w:tcPr>
            <w:tcW w:w="881"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119,9</w:t>
            </w:r>
          </w:p>
        </w:tc>
      </w:tr>
      <w:tr w:rsidR="00000000">
        <w:tblPrEx>
          <w:tblCellMar>
            <w:top w:w="0" w:type="dxa"/>
            <w:bottom w:w="0" w:type="dxa"/>
          </w:tblCellMar>
        </w:tblPrEx>
        <w:tc>
          <w:tcPr>
            <w:tcW w:w="203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Noroccidental</w:t>
            </w: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46,7</w:t>
            </w: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35,1</w:t>
            </w:r>
          </w:p>
        </w:tc>
        <w:tc>
          <w:tcPr>
            <w:tcW w:w="881"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41,2</w:t>
            </w:r>
          </w:p>
        </w:tc>
      </w:tr>
      <w:tr w:rsidR="00000000">
        <w:tblPrEx>
          <w:tblCellMar>
            <w:top w:w="0" w:type="dxa"/>
            <w:bottom w:w="0" w:type="dxa"/>
          </w:tblCellMar>
        </w:tblPrEx>
        <w:tc>
          <w:tcPr>
            <w:tcW w:w="203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Nororiental</w:t>
            </w: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59,9</w:t>
            </w: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55,1</w:t>
            </w:r>
          </w:p>
        </w:tc>
        <w:tc>
          <w:tcPr>
            <w:tcW w:w="881"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57,6</w:t>
            </w:r>
          </w:p>
        </w:tc>
      </w:tr>
      <w:tr w:rsidR="00000000">
        <w:tblPrEx>
          <w:tblCellMar>
            <w:top w:w="0" w:type="dxa"/>
            <w:bottom w:w="0" w:type="dxa"/>
          </w:tblCellMar>
        </w:tblPrEx>
        <w:tc>
          <w:tcPr>
            <w:tcW w:w="203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RESIDENCIA</w:t>
            </w: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r>
      <w:tr w:rsidR="00000000">
        <w:tblPrEx>
          <w:tblCellMar>
            <w:top w:w="0" w:type="dxa"/>
            <w:bottom w:w="0" w:type="dxa"/>
          </w:tblCellMar>
        </w:tblPrEx>
        <w:tc>
          <w:tcPr>
            <w:tcW w:w="203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Urbana</w:t>
            </w: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97,1</w:t>
            </w:r>
          </w:p>
        </w:tc>
        <w:tc>
          <w:tcPr>
            <w:tcW w:w="881"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103,0</w:t>
            </w: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97,3</w:t>
            </w:r>
          </w:p>
        </w:tc>
        <w:tc>
          <w:tcPr>
            <w:tcW w:w="881"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100,0</w:t>
            </w:r>
          </w:p>
        </w:tc>
      </w:tr>
      <w:tr w:rsidR="00000000">
        <w:tblPrEx>
          <w:tblCellMar>
            <w:top w:w="0" w:type="dxa"/>
            <w:bottom w:w="0" w:type="dxa"/>
          </w:tblCellMar>
        </w:tblPrEx>
        <w:tc>
          <w:tcPr>
            <w:tcW w:w="203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Rural</w:t>
            </w: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79,9</w:t>
            </w:r>
          </w:p>
        </w:tc>
        <w:tc>
          <w:tcPr>
            <w:tcW w:w="881"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78,0</w:t>
            </w:r>
          </w:p>
        </w:tc>
        <w:tc>
          <w:tcPr>
            <w:tcW w:w="881" w:type="dxa"/>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70,5</w:t>
            </w:r>
          </w:p>
        </w:tc>
        <w:tc>
          <w:tcPr>
            <w:tcW w:w="881"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74,4</w:t>
            </w:r>
          </w:p>
        </w:tc>
      </w:tr>
      <w:tr w:rsidR="00000000">
        <w:tblPrEx>
          <w:tblCellMar>
            <w:top w:w="0" w:type="dxa"/>
            <w:bottom w:w="0" w:type="dxa"/>
          </w:tblCellMar>
        </w:tblPrEx>
        <w:tc>
          <w:tcPr>
            <w:tcW w:w="2033"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General</w:t>
            </w:r>
          </w:p>
        </w:tc>
        <w:tc>
          <w:tcPr>
            <w:tcW w:w="881"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86,8</w:t>
            </w:r>
          </w:p>
        </w:tc>
        <w:tc>
          <w:tcPr>
            <w:tcW w:w="881"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81,5</w:t>
            </w:r>
          </w:p>
        </w:tc>
        <w:tc>
          <w:tcPr>
            <w:tcW w:w="881"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84,0</w:t>
            </w:r>
          </w:p>
        </w:tc>
        <w:tc>
          <w:tcPr>
            <w:tcW w:w="881" w:type="dxa"/>
            <w:gridSpan w:val="2"/>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84,0</w:t>
            </w:r>
          </w:p>
        </w:tc>
        <w:tc>
          <w:tcPr>
            <w:tcW w:w="881"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77,3</w:t>
            </w:r>
          </w:p>
        </w:tc>
        <w:tc>
          <w:tcPr>
            <w:tcW w:w="881" w:type="dxa"/>
            <w:gridSpan w:val="2"/>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3"/>
              <w:jc w:val="right"/>
              <w:rPr>
                <w:sz w:val="17"/>
              </w:rPr>
            </w:pPr>
            <w:r>
              <w:rPr>
                <w:sz w:val="17"/>
              </w:rPr>
              <w:t>80,7</w:t>
            </w:r>
          </w:p>
        </w:tc>
      </w:tr>
    </w:tbl>
    <w:p w:rsidR="00000000" w:rsidRDefault="00000000">
      <w:pPr>
        <w:pStyle w:val="BodyText"/>
        <w:spacing w:line="120" w:lineRule="exact"/>
        <w:ind w:left="708"/>
        <w:jc w:val="both"/>
        <w:rPr>
          <w:b/>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MICS 1999 (Oficina Federal de Estadística, UNICEF A-2000).</w:t>
      </w:r>
    </w:p>
    <w:p w:rsidR="00000000" w:rsidRDefault="00000000">
      <w:pPr>
        <w:pStyle w:val="BodyText"/>
        <w:spacing w:line="120" w:lineRule="exact"/>
        <w:ind w:left="708"/>
        <w:jc w:val="both"/>
        <w:rPr>
          <w:sz w:val="10"/>
        </w:rPr>
      </w:pPr>
    </w:p>
    <w:p w:rsidR="00000000" w:rsidRDefault="00000000">
      <w:pPr>
        <w:pStyle w:val="BodyText"/>
        <w:spacing w:line="120" w:lineRule="exact"/>
        <w:ind w:left="708"/>
        <w:jc w:val="both"/>
        <w:rPr>
          <w:sz w:val="10"/>
        </w:rPr>
      </w:pPr>
    </w:p>
    <w:p w:rsidR="00000000" w:rsidRDefault="00000000">
      <w:pPr>
        <w:pStyle w:val="SingleTxt"/>
        <w:ind w:left="1742" w:hanging="475"/>
      </w:pPr>
      <w:r>
        <w:t>b)</w:t>
      </w:r>
      <w:r>
        <w:tab/>
        <w:t>Las tasas brutas de matrícula correspondientes a la enseñanza primaria que f</w:t>
      </w:r>
      <w:r>
        <w:t>i</w:t>
      </w:r>
      <w:r>
        <w:t>guran en el cuadro 10.4 revelan una tónica similar a la mostrada antes. Las disparidades entre zonas y lugares de residencia muestran que las cifras c</w:t>
      </w:r>
      <w:r>
        <w:t>o</w:t>
      </w:r>
      <w:r>
        <w:t>rrespondientes a los alumnos son sistemáticamente superiores a las correspo</w:t>
      </w:r>
      <w:r>
        <w:t>n</w:t>
      </w:r>
      <w:r>
        <w:t>dientes a las alumnas. Las tasas brutas de matrícula en las zonas meridionales eran muy superiores a las de las zonas septentrionales tanto en el caso de los alumnos como en el de las alumnas.</w:t>
      </w:r>
    </w:p>
    <w:p w:rsidR="00000000" w:rsidRDefault="00000000">
      <w:pPr>
        <w:pStyle w:val="SingleTxt"/>
        <w:ind w:left="1742" w:hanging="475"/>
      </w:pPr>
      <w:r>
        <w:t>c)</w:t>
      </w:r>
      <w:r>
        <w:tab/>
        <w:t>Por ejemplo, las cifras correspondientes a los alumnos representan el 117,3 por ciento (zona sudoccidental), el 121,6 por ciento (zona sudoriental), el 46,7 por ciento (zona noroccidental) y el 59,9 por ciento (zona Nororiental). Las cifras correspondientes a las mujeres son 112,8 por ciento (zona sudoccidental); 117,8 por ciento (zona sudoriental); 35,1 por ciento (zona noroccidental) y 55,1 por ciento (zona Nororiental). El desequilibrio entre los sexos es más que evidente en todas las zonas y el panorama es semejante en el caso del lugar de residencia (rural/urbano): en el sector urbano (103,0 por ciento de alumnos, 97,3 por ciento de alumnas) en comparación con el sector rural (78,0 por ciento y 70,5 por ciento, respectivamente). Los cuadros 10.3 y 10.4 proceden de fuentes administrativas: Ministerio Federal de Educación y Encuesta agr</w:t>
      </w:r>
      <w:r>
        <w:t>u</w:t>
      </w:r>
      <w:r>
        <w:t>pada de indicadores múltiples (Oficina Federal de Estadística), respectiv</w:t>
      </w:r>
      <w:r>
        <w:t>a</w:t>
      </w:r>
      <w:r>
        <w:t>mente. En un país con una relación bastante equilibrada entre los sexos desde el punto de vista de la población, las tasas de matrícula antes citadas hacen r</w:t>
      </w:r>
      <w:r>
        <w:t>e</w:t>
      </w:r>
      <w:r>
        <w:t>flexionar sobre la necesidad de abordar la desigualdad en la educación rese</w:t>
      </w:r>
      <w:r>
        <w:t>r</w:t>
      </w:r>
      <w:r>
        <w:t>vada a las niñas y las mujeres.</w:t>
      </w: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10.4.3</w:t>
      </w:r>
      <w:r>
        <w:tab/>
        <w:t>Tasa de alfabetización</w:t>
      </w:r>
    </w:p>
    <w:p w:rsidR="00000000" w:rsidRDefault="00000000">
      <w:pPr>
        <w:pStyle w:val="BodyText"/>
        <w:spacing w:line="120" w:lineRule="exact"/>
        <w:jc w:val="both"/>
        <w:rPr>
          <w:sz w:val="10"/>
        </w:rPr>
      </w:pPr>
    </w:p>
    <w:p w:rsidR="00000000" w:rsidRDefault="00000000">
      <w:pPr>
        <w:pStyle w:val="SingleTxt"/>
        <w:ind w:left="1742" w:hanging="475"/>
      </w:pPr>
      <w:r>
        <w:t>a)</w:t>
      </w:r>
      <w:r>
        <w:tab/>
        <w:t>Un examen más detenido de la figura 10.1 revela que la tasa nacional de alf</w:t>
      </w:r>
      <w:r>
        <w:t>a</w:t>
      </w:r>
      <w:r>
        <w:t>betización de adultos se redujo del 57 al 49 por ciento, mientras que el de las mujeres se redujo del 44 al 41 por ciento. El índice de paridad de alfabetiz</w:t>
      </w:r>
      <w:r>
        <w:t>a</w:t>
      </w:r>
      <w:r>
        <w:t>ción de los sexos, que sirve para calibrar la igualdad de los sexos en materia de alfabetización, siguió siendo del 0,8 por ciento. Aunque las tasas de alfabetiz</w:t>
      </w:r>
      <w:r>
        <w:t>a</w:t>
      </w:r>
      <w:r>
        <w:t xml:space="preserve">ción disminuyeron, se lograron pocos avances en la eliminación del gran </w:t>
      </w:r>
      <w:r>
        <w:br/>
        <w:t>desfase entre los sexos. En conjunto, 7.3 millones de adultos estuvieron matr</w:t>
      </w:r>
      <w:r>
        <w:t>i</w:t>
      </w:r>
      <w:r>
        <w:t>culados en clases de alfabetización entre 1990 y 1997 y, por término medio, un poco menos de 900.000 al año. De éstos, el 45 por ciento eran mujeres.</w:t>
      </w:r>
    </w:p>
    <w:p w:rsidR="00000000" w:rsidRDefault="00000000">
      <w:pPr>
        <w:pStyle w:val="BodyText"/>
        <w:spacing w:line="120" w:lineRule="exact"/>
        <w:ind w:left="705"/>
        <w:jc w:val="both"/>
        <w:rPr>
          <w:sz w:val="10"/>
        </w:rPr>
      </w:pPr>
    </w:p>
    <w:p w:rsidR="00000000" w:rsidRDefault="00000000">
      <w:pPr>
        <w:pStyle w:val="BodyText"/>
        <w:spacing w:line="120" w:lineRule="exact"/>
        <w:ind w:left="705"/>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tab/>
      </w:r>
      <w:r>
        <w:tab/>
      </w:r>
      <w:r>
        <w:rPr>
          <w:b w:val="0"/>
        </w:rPr>
        <w:t>Figura 10.1</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Tasa de alfabetización de adultos, 1991 y 1999</w:t>
      </w:r>
    </w:p>
    <w:p w:rsidR="00000000" w:rsidRDefault="00000000">
      <w:pPr>
        <w:pStyle w:val="BodyText"/>
        <w:spacing w:line="120" w:lineRule="exact"/>
        <w:ind w:left="705"/>
        <w:jc w:val="both"/>
        <w:rPr>
          <w:b/>
          <w:sz w:val="10"/>
        </w:rPr>
      </w:pPr>
    </w:p>
    <w:p w:rsidR="00000000" w:rsidRDefault="00000000">
      <w:pPr>
        <w:pStyle w:val="BodyText"/>
        <w:spacing w:line="120" w:lineRule="exact"/>
        <w:ind w:left="705"/>
        <w:jc w:val="both"/>
        <w:rPr>
          <w:b/>
          <w:sz w:val="10"/>
        </w:rPr>
      </w:pPr>
    </w:p>
    <w:p w:rsidR="00000000" w:rsidRDefault="00000000">
      <w:pPr>
        <w:spacing w:line="120" w:lineRule="exact"/>
        <w:ind w:left="1440"/>
        <w:jc w:val="both"/>
        <w:rPr>
          <w:b/>
          <w:sz w:val="10"/>
        </w:rPr>
      </w:pPr>
    </w:p>
    <w:p w:rsidR="00000000" w:rsidRDefault="00000000">
      <w:pPr>
        <w:spacing w:line="200" w:lineRule="exact"/>
        <w:ind w:left="1440"/>
        <w:jc w:val="both"/>
      </w:pPr>
      <w:r>
        <w:pict>
          <v:line id="_x0000_s2818" style="position:absolute;left:0;text-align:left;flip:x;z-index:17;mso-position-horizontal:absolute;mso-position-horizontal-relative:text;mso-position-vertical:absolute;mso-position-vertical-relative:text" from="73.1pt,.15pt" to="73.4pt,120.9pt" o:allowincell="f"/>
        </w:pict>
      </w:r>
      <w:r>
        <w:pict>
          <v:line id="_x0000_s2820" style="position:absolute;left:0;text-align:left;flip:x y;z-index:19;mso-position-horizontal:absolute;mso-position-horizontal-relative:text;mso-position-vertical:absolute;mso-position-vertical-relative:text" from="72.85pt,.05pt" to="300.25pt,.3pt" o:allowincell="f"/>
        </w:pict>
      </w:r>
      <w:r>
        <w:pict>
          <v:line id="_x0000_s2819" style="position:absolute;left:0;text-align:left;flip:y;z-index:18;mso-position-horizontal:absolute;mso-position-horizontal-relative:text;mso-position-vertical:absolute;mso-position-vertical-relative:text" from="300.25pt,.3pt" to="301.1pt,122.7pt" o:allowincell="f"/>
        </w:pict>
      </w:r>
    </w:p>
    <w:p w:rsidR="00000000" w:rsidRDefault="00000000">
      <w:pPr>
        <w:spacing w:line="200" w:lineRule="exact"/>
        <w:ind w:left="1440"/>
        <w:jc w:val="both"/>
      </w:pPr>
    </w:p>
    <w:p w:rsidR="00000000" w:rsidRDefault="00000000">
      <w:pPr>
        <w:spacing w:line="200" w:lineRule="exact"/>
        <w:ind w:left="1440"/>
        <w:jc w:val="both"/>
      </w:pPr>
      <w:r>
        <w:tab/>
      </w:r>
      <w:r>
        <w:tab/>
      </w:r>
      <w:r>
        <w:tab/>
      </w:r>
      <w:r>
        <w:tab/>
      </w:r>
      <w:r>
        <w:tab/>
      </w:r>
      <w:r>
        <w:tab/>
      </w:r>
      <w:r>
        <w:tab/>
        <w:t>68</w:t>
      </w:r>
      <w:r>
        <w:tab/>
      </w:r>
      <w:r>
        <w:tab/>
      </w:r>
      <w:r>
        <w:tab/>
      </w:r>
      <w:r>
        <w:tab/>
      </w:r>
      <w:r>
        <w:tab/>
        <w:t>Clave</w:t>
      </w:r>
    </w:p>
    <w:p w:rsidR="00000000" w:rsidRDefault="00000000">
      <w:pPr>
        <w:spacing w:line="200" w:lineRule="exact"/>
        <w:ind w:left="1440"/>
      </w:pPr>
      <w:r>
        <w:pict>
          <v:rect id="_x0000_s2816" style="position:absolute;left:0;text-align:left;margin-left:342pt;margin-top:3.15pt;width:66.25pt;height:27pt;z-index:15;mso-position-horizontal:absolute;mso-position-horizontal-relative:text;mso-position-vertical:absolute;mso-position-vertical-relative:text" o:allowincell="f" fillcolor="black">
            <v:fill r:id="rId14" o:title="10%" type="pattern"/>
            <v:textbox style="mso-next-textbox:#_x0000_s2816">
              <w:txbxContent>
                <w:p w:rsidR="00000000" w:rsidRDefault="00000000">
                  <w:pPr>
                    <w:rPr>
                      <w:sz w:val="24"/>
                    </w:rPr>
                  </w:pPr>
                  <w:r>
                    <w:rPr>
                      <w:sz w:val="24"/>
                    </w:rPr>
                    <w:t>Hombres</w:t>
                  </w:r>
                </w:p>
              </w:txbxContent>
            </v:textbox>
          </v:rect>
        </w:pict>
      </w:r>
      <w:r>
        <w:pict>
          <v:rect id="_x0000_s2811" style="position:absolute;left:0;text-align:left;margin-left:235.85pt;margin-top:.75pt;width:18pt;height:87.7pt;z-index:10;mso-position-horizontal:absolute;mso-position-horizontal-relative:text;mso-position-vertical:absolute;mso-position-vertical-relative:text" o:allowincell="f" fillcolor="black">
            <v:fill r:id="rId15" o:title="70%" type="pattern"/>
          </v:rect>
        </w:pict>
      </w:r>
      <w:r>
        <w:tab/>
        <w:t xml:space="preserve">     57</w:t>
      </w:r>
    </w:p>
    <w:p w:rsidR="00000000" w:rsidRDefault="00000000">
      <w:pPr>
        <w:spacing w:line="200" w:lineRule="exact"/>
        <w:ind w:left="1440"/>
        <w:jc w:val="both"/>
      </w:pPr>
      <w:r>
        <w:pict>
          <v:rect id="_x0000_s2812" style="position:absolute;left:0;text-align:left;margin-left:104.65pt;margin-top:5.1pt;width:18pt;height:72.9pt;z-index:11;mso-position-horizontal:absolute;mso-position-horizontal-relative:text;mso-position-vertical:absolute;mso-position-vertical-relative:text" o:allowincell="f" fillcolor="black">
            <v:fill r:id="rId15" o:title="70%" type="pattern"/>
          </v:rect>
        </w:pict>
      </w:r>
      <w:r>
        <w:tab/>
      </w:r>
      <w:r>
        <w:tab/>
      </w:r>
      <w:r>
        <w:tab/>
      </w:r>
      <w:r>
        <w:tab/>
        <w:t xml:space="preserve">  49</w:t>
      </w:r>
      <w:r>
        <w:tab/>
      </w:r>
      <w:r>
        <w:tab/>
      </w:r>
      <w:r>
        <w:tab/>
        <w:t xml:space="preserve">        50</w:t>
      </w:r>
    </w:p>
    <w:p w:rsidR="00000000" w:rsidRDefault="00000000">
      <w:pPr>
        <w:spacing w:line="200" w:lineRule="exact"/>
        <w:ind w:left="1440"/>
      </w:pPr>
      <w:r>
        <w:pict>
          <v:rect id="_x0000_s2815" style="position:absolute;left:0;text-align:left;margin-left:170.8pt;margin-top:7.9pt;width:18pt;height:59.15pt;z-index:14;mso-position-horizontal:absolute;mso-position-horizontal-relative:text;mso-position-vertical:absolute;mso-position-vertical-relative:text" o:allowincell="f" fillcolor="black">
            <v:fill r:id="rId15" o:title="70%" type="pattern"/>
          </v:rect>
        </w:pict>
      </w:r>
      <w:r>
        <w:pict>
          <v:rect id="_x0000_s2810" style="position:absolute;left:0;text-align:left;margin-left:254.9pt;margin-top:5.35pt;width:18pt;height:63pt;z-index:9;mso-position-horizontal:absolute;mso-position-horizontal-relative:text;mso-position-vertical:absolute;mso-position-vertical-relative:text" o:allowincell="f"/>
        </w:pict>
      </w:r>
      <w:r>
        <w:tab/>
      </w:r>
      <w:r>
        <w:tab/>
        <w:t xml:space="preserve">   44</w:t>
      </w:r>
    </w:p>
    <w:p w:rsidR="00000000" w:rsidRDefault="00000000">
      <w:pPr>
        <w:spacing w:line="240" w:lineRule="auto"/>
        <w:ind w:left="1440"/>
        <w:jc w:val="both"/>
      </w:pPr>
      <w:r>
        <w:pict>
          <v:rect id="_x0000_s2817" style="position:absolute;left:0;text-align:left;margin-left:342pt;margin-top:1.6pt;width:66.25pt;height:27pt;z-index:16;mso-position-horizontal:absolute;mso-position-horizontal-relative:text;mso-position-vertical:absolute;mso-position-vertical-relative:text" o:allowincell="f">
            <v:textbox style="mso-next-textbox:#_x0000_s2817">
              <w:txbxContent>
                <w:p w:rsidR="00000000" w:rsidRDefault="00000000">
                  <w:r>
                    <w:rPr>
                      <w:sz w:val="24"/>
                    </w:rPr>
                    <w:t>Mujeres</w:t>
                  </w:r>
                </w:p>
              </w:txbxContent>
            </v:textbox>
          </v:rect>
        </w:pict>
      </w:r>
      <w:r>
        <w:pict>
          <v:rect id="_x0000_s2814" style="position:absolute;left:0;text-align:left;margin-left:123.85pt;margin-top:3.8pt;width:18pt;height:54pt;z-index:13;mso-position-horizontal:absolute;mso-position-horizontal-relative:text;mso-position-vertical:absolute;mso-position-vertical-relative:text" o:allowincell="f"/>
        </w:pict>
      </w:r>
      <w:r>
        <w:tab/>
      </w:r>
      <w:r>
        <w:tab/>
      </w:r>
      <w:r>
        <w:tab/>
      </w:r>
      <w:r>
        <w:tab/>
      </w:r>
      <w:r>
        <w:tab/>
        <w:t xml:space="preserve"> 41</w:t>
      </w:r>
    </w:p>
    <w:p w:rsidR="00000000" w:rsidRDefault="00000000">
      <w:pPr>
        <w:pStyle w:val="BodyText"/>
        <w:spacing w:line="360" w:lineRule="auto"/>
        <w:ind w:left="705"/>
        <w:jc w:val="both"/>
        <w:rPr>
          <w:sz w:val="20"/>
        </w:rPr>
      </w:pPr>
      <w:r>
        <w:pict>
          <v:rect id="_x0000_s2813" style="position:absolute;left:0;text-align:left;margin-left:188.9pt;margin-top:.4pt;width:18pt;height:45pt;z-index:12;mso-position-horizontal:absolute;mso-position-horizontal-relative:text;mso-position-vertical:absolute;mso-position-vertical-relative:text" o:allowincell="f"/>
        </w:pict>
      </w:r>
    </w:p>
    <w:p w:rsidR="00000000" w:rsidRDefault="00000000">
      <w:pPr>
        <w:pStyle w:val="BodyText"/>
        <w:spacing w:line="360" w:lineRule="auto"/>
        <w:ind w:left="705"/>
        <w:jc w:val="both"/>
        <w:rPr>
          <w:sz w:val="20"/>
        </w:rPr>
      </w:pPr>
    </w:p>
    <w:p w:rsidR="00000000" w:rsidRDefault="00000000">
      <w:pPr>
        <w:pStyle w:val="BodyText"/>
        <w:spacing w:line="360" w:lineRule="auto"/>
        <w:ind w:left="705"/>
        <w:jc w:val="both"/>
        <w:rPr>
          <w:sz w:val="20"/>
        </w:rPr>
      </w:pPr>
      <w:r>
        <w:rPr>
          <w:b/>
          <w:noProof/>
        </w:rPr>
        <w:pict>
          <v:line id="_x0000_s2821" style="position:absolute;left:0;text-align:left;flip:x y;z-index:20;mso-position-horizontal:absolute;mso-position-horizontal-relative:text;mso-position-vertical:absolute;mso-position-vertical-relative:text" from="74.25pt,14.95pt" to="301.65pt,15.2pt" o:allowincell="f"/>
        </w:pict>
      </w:r>
    </w:p>
    <w:p w:rsidR="00000000" w:rsidRDefault="00000000">
      <w:pPr>
        <w:pStyle w:val="BodyText"/>
        <w:spacing w:line="120" w:lineRule="exact"/>
        <w:ind w:left="705"/>
        <w:jc w:val="both"/>
        <w:rPr>
          <w:sz w:val="10"/>
        </w:rPr>
      </w:pPr>
    </w:p>
    <w:p w:rsidR="00000000" w:rsidRDefault="00000000">
      <w:pPr>
        <w:pStyle w:val="BodyText"/>
        <w:spacing w:line="360" w:lineRule="auto"/>
        <w:ind w:left="708"/>
        <w:jc w:val="both"/>
        <w:rPr>
          <w:sz w:val="20"/>
        </w:rPr>
      </w:pPr>
      <w:r>
        <w:rPr>
          <w:b/>
          <w:sz w:val="20"/>
        </w:rPr>
        <w:tab/>
      </w:r>
      <w:r>
        <w:rPr>
          <w:b/>
          <w:sz w:val="20"/>
        </w:rPr>
        <w:tab/>
      </w:r>
      <w:r>
        <w:rPr>
          <w:i/>
          <w:sz w:val="20"/>
        </w:rPr>
        <w:t>Fuente</w:t>
      </w:r>
      <w:r>
        <w:rPr>
          <w:sz w:val="20"/>
        </w:rPr>
        <w:t>: Informe SAA 2001.</w:t>
      </w:r>
    </w:p>
    <w:p w:rsidR="00000000" w:rsidRDefault="00000000">
      <w:pPr>
        <w:pStyle w:val="BodyText"/>
        <w:spacing w:line="120" w:lineRule="exact"/>
        <w:jc w:val="both"/>
        <w:rPr>
          <w:b/>
          <w:sz w:val="10"/>
        </w:rPr>
      </w:pPr>
    </w:p>
    <w:p w:rsidR="00000000" w:rsidRDefault="00000000">
      <w:pPr>
        <w:pStyle w:val="BodyText"/>
        <w:spacing w:line="120" w:lineRule="exact"/>
        <w:jc w:val="both"/>
        <w:rPr>
          <w:b/>
          <w:sz w:val="10"/>
        </w:rPr>
      </w:pPr>
    </w:p>
    <w:p w:rsidR="00000000" w:rsidRDefault="00000000">
      <w:pPr>
        <w:pStyle w:val="SingleTxt"/>
      </w:pPr>
      <w:r>
        <w:tab/>
        <w:t>Un desglose posterior de las cifras de alfabetización por zona, sector y edad muestra sistemáticamente tasas superiores de alfabetización en el caso de los ho</w:t>
      </w:r>
      <w:r>
        <w:t>m</w:t>
      </w:r>
      <w:r>
        <w:t>bres, como se ve en el cuadro 10.5.</w:t>
      </w:r>
    </w:p>
    <w:p w:rsidR="00000000" w:rsidRDefault="00000000">
      <w:pPr>
        <w:pStyle w:val="BodyText"/>
        <w:spacing w:line="120" w:lineRule="exact"/>
        <w:jc w:val="both"/>
        <w:rPr>
          <w:sz w:val="10"/>
        </w:rPr>
      </w:pPr>
    </w:p>
    <w:p w:rsidR="00000000" w:rsidRDefault="00000000">
      <w:pPr>
        <w:pStyle w:val="BodyText"/>
        <w:spacing w:line="120" w:lineRule="exact"/>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10.5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Tasa de alfabetización de adultos – 1999, porcentaje de la población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 15 años de edad o más (MICS)</w:t>
      </w:r>
    </w:p>
    <w:p w:rsidR="00000000" w:rsidRDefault="00000000">
      <w:pPr>
        <w:spacing w:line="120" w:lineRule="exact"/>
        <w:rPr>
          <w:sz w:val="10"/>
        </w:rPr>
      </w:pPr>
    </w:p>
    <w:tbl>
      <w:tblPr>
        <w:tblW w:w="0" w:type="auto"/>
        <w:tblInd w:w="1161" w:type="dxa"/>
        <w:tblLayout w:type="fixed"/>
        <w:tblLook w:val="0000" w:firstRow="0" w:lastRow="0" w:firstColumn="0" w:lastColumn="0" w:noHBand="0" w:noVBand="0"/>
      </w:tblPr>
      <w:tblGrid>
        <w:gridCol w:w="4961"/>
        <w:gridCol w:w="823"/>
        <w:gridCol w:w="887"/>
        <w:gridCol w:w="810"/>
      </w:tblGrid>
      <w:tr w:rsidR="00000000">
        <w:tblPrEx>
          <w:tblCellMar>
            <w:top w:w="0" w:type="dxa"/>
            <w:bottom w:w="0" w:type="dxa"/>
          </w:tblCellMar>
        </w:tblPrEx>
        <w:trPr>
          <w:tblHeader/>
        </w:trPr>
        <w:tc>
          <w:tcPr>
            <w:tcW w:w="4961" w:type="dxa"/>
            <w:tcBorders>
              <w:top w:val="single" w:sz="4" w:space="0" w:color="auto"/>
            </w:tcBorders>
            <w:vAlign w:val="bottom"/>
          </w:tcPr>
          <w:p w:rsidR="00000000" w:rsidRDefault="00000000">
            <w:pPr>
              <w:pStyle w:val="BodyText"/>
              <w:spacing w:before="80" w:after="80" w:line="160" w:lineRule="exact"/>
              <w:ind w:right="40"/>
              <w:jc w:val="both"/>
              <w:rPr>
                <w:i/>
                <w:sz w:val="14"/>
              </w:rPr>
            </w:pPr>
            <w:r>
              <w:rPr>
                <w:i/>
                <w:sz w:val="14"/>
              </w:rPr>
              <w:t>Zonas MICS</w:t>
            </w:r>
          </w:p>
        </w:tc>
        <w:tc>
          <w:tcPr>
            <w:tcW w:w="823" w:type="dxa"/>
            <w:tcBorders>
              <w:top w:val="single" w:sz="4" w:space="0" w:color="auto"/>
            </w:tcBorders>
            <w:vAlign w:val="bottom"/>
          </w:tcPr>
          <w:p w:rsidR="00000000" w:rsidRDefault="00000000">
            <w:pPr>
              <w:pStyle w:val="BodyText"/>
              <w:spacing w:before="80" w:after="80" w:line="160" w:lineRule="exact"/>
              <w:ind w:right="40"/>
              <w:jc w:val="right"/>
              <w:rPr>
                <w:b/>
                <w:i/>
                <w:sz w:val="14"/>
              </w:rPr>
            </w:pPr>
            <w:r>
              <w:rPr>
                <w:i/>
                <w:sz w:val="14"/>
              </w:rPr>
              <w:t>Alu</w:t>
            </w:r>
            <w:r>
              <w:rPr>
                <w:i/>
                <w:sz w:val="14"/>
              </w:rPr>
              <w:t>m</w:t>
            </w:r>
            <w:r>
              <w:rPr>
                <w:i/>
                <w:sz w:val="14"/>
              </w:rPr>
              <w:t>nos</w:t>
            </w:r>
          </w:p>
        </w:tc>
        <w:tc>
          <w:tcPr>
            <w:tcW w:w="887" w:type="dxa"/>
            <w:tcBorders>
              <w:top w:val="single" w:sz="4" w:space="0" w:color="auto"/>
            </w:tcBorders>
            <w:vAlign w:val="bottom"/>
          </w:tcPr>
          <w:p w:rsidR="00000000" w:rsidRDefault="00000000">
            <w:pPr>
              <w:pStyle w:val="BodyText"/>
              <w:spacing w:before="80" w:after="80" w:line="160" w:lineRule="exact"/>
              <w:ind w:right="40"/>
              <w:jc w:val="right"/>
              <w:rPr>
                <w:b/>
                <w:i/>
                <w:sz w:val="14"/>
              </w:rPr>
            </w:pPr>
            <w:r>
              <w:rPr>
                <w:i/>
                <w:sz w:val="14"/>
              </w:rPr>
              <w:t>Alumnas</w:t>
            </w:r>
          </w:p>
        </w:tc>
        <w:tc>
          <w:tcPr>
            <w:tcW w:w="810"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4961" w:type="dxa"/>
            <w:tcBorders>
              <w:top w:val="single" w:sz="12" w:space="0" w:color="auto"/>
            </w:tcBorders>
            <w:vAlign w:val="bottom"/>
          </w:tcPr>
          <w:p w:rsidR="00000000" w:rsidRDefault="00000000">
            <w:pPr>
              <w:pStyle w:val="BodyText"/>
              <w:spacing w:before="40" w:after="40" w:line="210" w:lineRule="exact"/>
              <w:ind w:right="40"/>
              <w:jc w:val="both"/>
              <w:rPr>
                <w:sz w:val="17"/>
              </w:rPr>
            </w:pPr>
          </w:p>
        </w:tc>
        <w:tc>
          <w:tcPr>
            <w:tcW w:w="823"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887"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810" w:type="dxa"/>
            <w:tcBorders>
              <w:top w:val="single" w:sz="12" w:space="0" w:color="auto"/>
            </w:tcBorders>
            <w:vAlign w:val="bottom"/>
          </w:tcPr>
          <w:p w:rsidR="00000000" w:rsidRDefault="00000000">
            <w:pPr>
              <w:pStyle w:val="BodyText"/>
              <w:spacing w:before="40" w:after="40" w:line="210" w:lineRule="exact"/>
              <w:ind w:right="40"/>
              <w:jc w:val="right"/>
              <w:rPr>
                <w:sz w:val="17"/>
              </w:rPr>
            </w:pPr>
          </w:p>
        </w:tc>
      </w:tr>
      <w:tr w:rsidR="00000000">
        <w:tblPrEx>
          <w:tblCellMar>
            <w:top w:w="0" w:type="dxa"/>
            <w:bottom w:w="0" w:type="dxa"/>
          </w:tblCellMar>
        </w:tblPrEx>
        <w:tc>
          <w:tcPr>
            <w:tcW w:w="4961" w:type="dxa"/>
            <w:vAlign w:val="bottom"/>
          </w:tcPr>
          <w:p w:rsidR="00000000" w:rsidRDefault="00000000">
            <w:pPr>
              <w:pStyle w:val="BodyText"/>
              <w:tabs>
                <w:tab w:val="left" w:pos="288"/>
                <w:tab w:val="left" w:pos="576"/>
                <w:tab w:val="left" w:pos="864"/>
                <w:tab w:val="left" w:leader="dot" w:pos="4700"/>
              </w:tabs>
              <w:spacing w:before="40" w:after="40" w:line="210" w:lineRule="exact"/>
              <w:ind w:right="40"/>
              <w:jc w:val="both"/>
              <w:rPr>
                <w:spacing w:val="60"/>
                <w:sz w:val="17"/>
              </w:rPr>
            </w:pPr>
            <w:r>
              <w:rPr>
                <w:sz w:val="17"/>
              </w:rPr>
              <w:t>Sudoccidental</w:t>
            </w:r>
            <w:r>
              <w:rPr>
                <w:spacing w:val="60"/>
                <w:sz w:val="17"/>
              </w:rPr>
              <w:tab/>
            </w:r>
          </w:p>
        </w:tc>
        <w:tc>
          <w:tcPr>
            <w:tcW w:w="82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74,2</w:t>
            </w:r>
          </w:p>
        </w:tc>
        <w:tc>
          <w:tcPr>
            <w:tcW w:w="8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55,4</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64,2</w:t>
            </w:r>
          </w:p>
        </w:tc>
      </w:tr>
      <w:tr w:rsidR="00000000">
        <w:tblPrEx>
          <w:tblCellMar>
            <w:top w:w="0" w:type="dxa"/>
            <w:bottom w:w="0" w:type="dxa"/>
          </w:tblCellMar>
        </w:tblPrEx>
        <w:tc>
          <w:tcPr>
            <w:tcW w:w="4961" w:type="dxa"/>
            <w:vAlign w:val="bottom"/>
          </w:tcPr>
          <w:p w:rsidR="00000000" w:rsidRDefault="00000000">
            <w:pPr>
              <w:pStyle w:val="BodyText"/>
              <w:tabs>
                <w:tab w:val="left" w:pos="288"/>
                <w:tab w:val="left" w:pos="576"/>
                <w:tab w:val="left" w:leader="dot" w:pos="4700"/>
              </w:tabs>
              <w:spacing w:before="40" w:after="40" w:line="210" w:lineRule="exact"/>
              <w:ind w:right="40"/>
              <w:jc w:val="both"/>
              <w:rPr>
                <w:spacing w:val="60"/>
                <w:sz w:val="17"/>
              </w:rPr>
            </w:pPr>
            <w:r>
              <w:rPr>
                <w:sz w:val="17"/>
              </w:rPr>
              <w:t>Sudoriental</w:t>
            </w:r>
            <w:r>
              <w:rPr>
                <w:spacing w:val="60"/>
                <w:sz w:val="17"/>
              </w:rPr>
              <w:tab/>
            </w:r>
          </w:p>
        </w:tc>
        <w:tc>
          <w:tcPr>
            <w:tcW w:w="82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74,4</w:t>
            </w:r>
          </w:p>
        </w:tc>
        <w:tc>
          <w:tcPr>
            <w:tcW w:w="8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59,5</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66,4</w:t>
            </w:r>
          </w:p>
        </w:tc>
      </w:tr>
      <w:tr w:rsidR="00000000">
        <w:tblPrEx>
          <w:tblCellMar>
            <w:top w:w="0" w:type="dxa"/>
            <w:bottom w:w="0" w:type="dxa"/>
          </w:tblCellMar>
        </w:tblPrEx>
        <w:tc>
          <w:tcPr>
            <w:tcW w:w="4961" w:type="dxa"/>
            <w:vAlign w:val="bottom"/>
          </w:tcPr>
          <w:p w:rsidR="00000000" w:rsidRDefault="00000000">
            <w:pPr>
              <w:pStyle w:val="BodyText"/>
              <w:tabs>
                <w:tab w:val="left" w:pos="288"/>
                <w:tab w:val="left" w:pos="576"/>
                <w:tab w:val="left" w:pos="864"/>
                <w:tab w:val="left" w:leader="dot" w:pos="4700"/>
              </w:tabs>
              <w:spacing w:before="40" w:after="40" w:line="210" w:lineRule="exact"/>
              <w:ind w:right="40"/>
              <w:jc w:val="both"/>
              <w:rPr>
                <w:spacing w:val="60"/>
                <w:sz w:val="17"/>
              </w:rPr>
            </w:pPr>
            <w:r>
              <w:rPr>
                <w:sz w:val="17"/>
              </w:rPr>
              <w:t>Noroccidental</w:t>
            </w:r>
            <w:r>
              <w:rPr>
                <w:spacing w:val="60"/>
                <w:sz w:val="17"/>
              </w:rPr>
              <w:tab/>
            </w:r>
          </w:p>
        </w:tc>
        <w:tc>
          <w:tcPr>
            <w:tcW w:w="82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40,3</w:t>
            </w:r>
          </w:p>
        </w:tc>
        <w:tc>
          <w:tcPr>
            <w:tcW w:w="8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22,1</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31,0</w:t>
            </w:r>
          </w:p>
        </w:tc>
      </w:tr>
      <w:tr w:rsidR="00000000">
        <w:tblPrEx>
          <w:tblCellMar>
            <w:top w:w="0" w:type="dxa"/>
            <w:bottom w:w="0" w:type="dxa"/>
          </w:tblCellMar>
        </w:tblPrEx>
        <w:tc>
          <w:tcPr>
            <w:tcW w:w="4961" w:type="dxa"/>
            <w:vAlign w:val="bottom"/>
          </w:tcPr>
          <w:p w:rsidR="00000000" w:rsidRDefault="00000000">
            <w:pPr>
              <w:pStyle w:val="BodyText"/>
              <w:tabs>
                <w:tab w:val="left" w:pos="288"/>
                <w:tab w:val="left" w:pos="576"/>
                <w:tab w:val="left" w:leader="dot" w:pos="4700"/>
              </w:tabs>
              <w:spacing w:before="40" w:after="40" w:line="210" w:lineRule="exact"/>
              <w:ind w:right="40"/>
              <w:jc w:val="both"/>
              <w:rPr>
                <w:spacing w:val="60"/>
                <w:sz w:val="17"/>
              </w:rPr>
            </w:pPr>
            <w:r>
              <w:rPr>
                <w:sz w:val="17"/>
              </w:rPr>
              <w:t>Nororiental</w:t>
            </w:r>
            <w:r>
              <w:rPr>
                <w:spacing w:val="60"/>
                <w:sz w:val="17"/>
              </w:rPr>
              <w:tab/>
            </w:r>
          </w:p>
        </w:tc>
        <w:tc>
          <w:tcPr>
            <w:tcW w:w="82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42,1</w:t>
            </w:r>
          </w:p>
        </w:tc>
        <w:tc>
          <w:tcPr>
            <w:tcW w:w="8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21,4</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31,6</w:t>
            </w:r>
          </w:p>
        </w:tc>
      </w:tr>
      <w:tr w:rsidR="00000000">
        <w:tblPrEx>
          <w:tblCellMar>
            <w:top w:w="0" w:type="dxa"/>
            <w:bottom w:w="0" w:type="dxa"/>
          </w:tblCellMar>
        </w:tblPrEx>
        <w:tc>
          <w:tcPr>
            <w:tcW w:w="4961" w:type="dxa"/>
            <w:vAlign w:val="bottom"/>
          </w:tcPr>
          <w:p w:rsidR="00000000" w:rsidRDefault="00000000">
            <w:pPr>
              <w:pStyle w:val="BodyText"/>
              <w:tabs>
                <w:tab w:val="left" w:pos="288"/>
                <w:tab w:val="left" w:leader="dot" w:pos="4700"/>
              </w:tabs>
              <w:spacing w:before="40" w:after="40" w:line="210" w:lineRule="exact"/>
              <w:ind w:right="40"/>
              <w:jc w:val="both"/>
              <w:rPr>
                <w:spacing w:val="60"/>
                <w:sz w:val="17"/>
              </w:rPr>
            </w:pPr>
            <w:r>
              <w:rPr>
                <w:sz w:val="17"/>
              </w:rPr>
              <w:t>Urbana</w:t>
            </w:r>
            <w:r>
              <w:rPr>
                <w:spacing w:val="60"/>
                <w:sz w:val="17"/>
              </w:rPr>
              <w:tab/>
            </w:r>
          </w:p>
        </w:tc>
        <w:tc>
          <w:tcPr>
            <w:tcW w:w="823"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75,4</w:t>
            </w:r>
          </w:p>
        </w:tc>
        <w:tc>
          <w:tcPr>
            <w:tcW w:w="88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59,0</w:t>
            </w:r>
          </w:p>
        </w:tc>
        <w:tc>
          <w:tcPr>
            <w:tcW w:w="81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67,0</w:t>
            </w:r>
          </w:p>
        </w:tc>
      </w:tr>
      <w:tr w:rsidR="00000000">
        <w:tblPrEx>
          <w:tblCellMar>
            <w:top w:w="0" w:type="dxa"/>
            <w:bottom w:w="0" w:type="dxa"/>
          </w:tblCellMar>
        </w:tblPrEx>
        <w:tc>
          <w:tcPr>
            <w:tcW w:w="4961" w:type="dxa"/>
            <w:tcBorders>
              <w:bottom w:val="single" w:sz="12" w:space="0" w:color="auto"/>
            </w:tcBorders>
            <w:vAlign w:val="bottom"/>
          </w:tcPr>
          <w:p w:rsidR="00000000" w:rsidRDefault="00000000">
            <w:pPr>
              <w:pStyle w:val="BodyText"/>
              <w:tabs>
                <w:tab w:val="left" w:pos="288"/>
                <w:tab w:val="left" w:leader="dot" w:pos="4700"/>
              </w:tabs>
              <w:spacing w:before="40" w:after="40" w:line="210" w:lineRule="exact"/>
              <w:ind w:right="40"/>
              <w:jc w:val="both"/>
              <w:rPr>
                <w:spacing w:val="60"/>
                <w:sz w:val="17"/>
              </w:rPr>
            </w:pPr>
            <w:r>
              <w:rPr>
                <w:sz w:val="17"/>
              </w:rPr>
              <w:t>Rural</w:t>
            </w:r>
            <w:r>
              <w:rPr>
                <w:spacing w:val="60"/>
                <w:sz w:val="17"/>
              </w:rPr>
              <w:tab/>
            </w:r>
          </w:p>
        </w:tc>
        <w:tc>
          <w:tcPr>
            <w:tcW w:w="823"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51,0</w:t>
            </w:r>
          </w:p>
        </w:tc>
        <w:tc>
          <w:tcPr>
            <w:tcW w:w="887"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33,6</w:t>
            </w:r>
          </w:p>
        </w:tc>
        <w:tc>
          <w:tcPr>
            <w:tcW w:w="81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41,7</w:t>
            </w:r>
          </w:p>
        </w:tc>
      </w:tr>
    </w:tbl>
    <w:p w:rsidR="00000000" w:rsidRDefault="00000000">
      <w:pPr>
        <w:pStyle w:val="SingleTxt"/>
        <w:spacing w:after="0" w:line="120" w:lineRule="exact"/>
        <w:rPr>
          <w:i/>
          <w:sz w:val="10"/>
        </w:rPr>
      </w:pPr>
    </w:p>
    <w:p w:rsidR="00000000" w:rsidRDefault="00000000">
      <w:pPr>
        <w:pStyle w:val="SingleTxt"/>
      </w:pPr>
      <w:r>
        <w:rPr>
          <w:i/>
        </w:rPr>
        <w:t>Fuente</w:t>
      </w:r>
      <w:r>
        <w:t>: SAA 2001.</w:t>
      </w:r>
    </w:p>
    <w:p w:rsidR="00000000" w:rsidRDefault="00000000">
      <w:pPr>
        <w:pStyle w:val="BodyText"/>
        <w:spacing w:line="120" w:lineRule="exact"/>
        <w:jc w:val="both"/>
        <w:rPr>
          <w:b/>
          <w:i/>
          <w:sz w:val="10"/>
        </w:rPr>
      </w:pPr>
    </w:p>
    <w:p w:rsidR="00000000" w:rsidRDefault="00000000">
      <w:pPr>
        <w:pStyle w:val="BodyText"/>
        <w:spacing w:line="120" w:lineRule="exact"/>
        <w:jc w:val="both"/>
        <w:rPr>
          <w:b/>
          <w:i/>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10.4.4</w:t>
      </w:r>
      <w:r>
        <w:tab/>
        <w:t>Porcentaje de maestras en escuelas de enseñanza primaria</w:t>
      </w:r>
    </w:p>
    <w:p w:rsidR="00000000" w:rsidRDefault="00000000">
      <w:pPr>
        <w:pStyle w:val="BodyText"/>
        <w:spacing w:line="120" w:lineRule="exact"/>
        <w:jc w:val="both"/>
        <w:rPr>
          <w:b/>
          <w:i/>
          <w:sz w:val="10"/>
        </w:rPr>
      </w:pPr>
    </w:p>
    <w:p w:rsidR="00000000" w:rsidRDefault="00000000">
      <w:pPr>
        <w:pStyle w:val="SingleTxt"/>
        <w:ind w:left="1742" w:hanging="475"/>
      </w:pPr>
      <w:r>
        <w:t>a)</w:t>
      </w:r>
      <w:r>
        <w:tab/>
        <w:t>En el cuadro 10.6 figura un gráfico con el bajo  nivel de maestras en escuelas de enseñanza primaria en el periodo comprendido entre 1985 y 1997. El núm</w:t>
      </w:r>
      <w:r>
        <w:t>e</w:t>
      </w:r>
      <w:r>
        <w:t>ro anual de titulados siempre fue inferior al 50 por ciento y resulta una prueba evidente de la desigualdad existente entre los sexos, que aún no se ha correg</w:t>
      </w:r>
      <w:r>
        <w:t>i</w:t>
      </w:r>
      <w:r>
        <w:t>do adecuad</w:t>
      </w:r>
      <w:r>
        <w:t>a</w:t>
      </w:r>
      <w:r>
        <w:t>mente.</w:t>
      </w:r>
    </w:p>
    <w:p w:rsidR="00000000" w:rsidRDefault="00000000">
      <w:pPr>
        <w:pStyle w:val="BodyText"/>
        <w:spacing w:line="360" w:lineRule="auto"/>
        <w:jc w:val="both"/>
        <w:rPr>
          <w:sz w:val="2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ab/>
      </w:r>
      <w:r>
        <w:rPr>
          <w:b w:val="0"/>
        </w:rPr>
        <w:tab/>
        <w:t>Cuadro 10.6</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Porcentaje de maestras en escuelas de enseñanza primaria 1984-1997</w:t>
      </w:r>
    </w:p>
    <w:p w:rsidR="00000000" w:rsidRDefault="00000000">
      <w:pPr>
        <w:pStyle w:val="BodyText"/>
        <w:spacing w:line="120" w:lineRule="exact"/>
        <w:jc w:val="both"/>
        <w:rPr>
          <w:b/>
          <w:i/>
          <w:sz w:val="10"/>
        </w:rPr>
      </w:pPr>
    </w:p>
    <w:tbl>
      <w:tblPr>
        <w:tblW w:w="0" w:type="auto"/>
        <w:tblInd w:w="1161" w:type="dxa"/>
        <w:tblLayout w:type="fixed"/>
        <w:tblLook w:val="0000" w:firstRow="0" w:lastRow="0" w:firstColumn="0" w:lastColumn="0" w:noHBand="0" w:noVBand="0"/>
      </w:tblPr>
      <w:tblGrid>
        <w:gridCol w:w="4421"/>
        <w:gridCol w:w="1449"/>
        <w:gridCol w:w="1450"/>
      </w:tblGrid>
      <w:tr w:rsidR="00000000">
        <w:tblPrEx>
          <w:tblCellMar>
            <w:top w:w="0" w:type="dxa"/>
            <w:bottom w:w="0" w:type="dxa"/>
          </w:tblCellMar>
        </w:tblPrEx>
        <w:trPr>
          <w:tblHeader/>
        </w:trPr>
        <w:tc>
          <w:tcPr>
            <w:tcW w:w="4421" w:type="dxa"/>
            <w:tcBorders>
              <w:top w:val="single" w:sz="4" w:space="0" w:color="auto"/>
            </w:tcBorders>
            <w:vAlign w:val="bottom"/>
          </w:tcPr>
          <w:p w:rsidR="00000000" w:rsidRDefault="00000000">
            <w:pPr>
              <w:pStyle w:val="BodyText"/>
              <w:spacing w:before="80" w:after="80" w:line="160" w:lineRule="exact"/>
              <w:ind w:right="43"/>
              <w:jc w:val="left"/>
              <w:rPr>
                <w:i/>
                <w:sz w:val="14"/>
                <w:lang w:val="es-ES_tradnl"/>
              </w:rPr>
            </w:pPr>
            <w:r>
              <w:rPr>
                <w:i/>
                <w:sz w:val="14"/>
              </w:rPr>
              <w:t>A</w:t>
            </w:r>
            <w:r>
              <w:rPr>
                <w:i/>
                <w:sz w:val="14"/>
                <w:lang w:val="es-ES_tradnl"/>
              </w:rPr>
              <w:t>ño</w:t>
            </w:r>
          </w:p>
        </w:tc>
        <w:tc>
          <w:tcPr>
            <w:tcW w:w="1449"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Número de mae</w:t>
            </w:r>
            <w:r>
              <w:rPr>
                <w:i/>
                <w:sz w:val="14"/>
              </w:rPr>
              <w:t>s</w:t>
            </w:r>
            <w:r>
              <w:rPr>
                <w:i/>
                <w:sz w:val="14"/>
              </w:rPr>
              <w:t>tras</w:t>
            </w:r>
          </w:p>
        </w:tc>
        <w:tc>
          <w:tcPr>
            <w:tcW w:w="1450"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Porcentaje</w:t>
            </w:r>
          </w:p>
        </w:tc>
      </w:tr>
      <w:tr w:rsidR="00000000">
        <w:tblPrEx>
          <w:tblCellMar>
            <w:top w:w="0" w:type="dxa"/>
            <w:bottom w:w="0" w:type="dxa"/>
          </w:tblCellMar>
        </w:tblPrEx>
        <w:trPr>
          <w:trHeight w:hRule="exact" w:val="115"/>
          <w:tblHeader/>
        </w:trPr>
        <w:tc>
          <w:tcPr>
            <w:tcW w:w="4421" w:type="dxa"/>
            <w:tcBorders>
              <w:top w:val="single" w:sz="12" w:space="0" w:color="auto"/>
            </w:tcBorders>
            <w:vAlign w:val="bottom"/>
          </w:tcPr>
          <w:p w:rsidR="00000000" w:rsidRDefault="00000000">
            <w:pPr>
              <w:pStyle w:val="BodyText"/>
              <w:spacing w:before="40" w:after="40" w:line="210" w:lineRule="exact"/>
              <w:ind w:right="43"/>
              <w:jc w:val="left"/>
              <w:rPr>
                <w:sz w:val="17"/>
              </w:rPr>
            </w:pPr>
          </w:p>
        </w:tc>
        <w:tc>
          <w:tcPr>
            <w:tcW w:w="1449"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1450" w:type="dxa"/>
            <w:tcBorders>
              <w:top w:val="single" w:sz="12" w:space="0" w:color="auto"/>
            </w:tcBorders>
            <w:vAlign w:val="bottom"/>
          </w:tcPr>
          <w:p w:rsidR="00000000" w:rsidRDefault="00000000">
            <w:pPr>
              <w:pStyle w:val="BodyText"/>
              <w:spacing w:before="40" w:after="40" w:line="210" w:lineRule="exact"/>
              <w:ind w:right="40"/>
              <w:jc w:val="right"/>
              <w:rPr>
                <w:sz w:val="17"/>
              </w:rPr>
            </w:pPr>
          </w:p>
        </w:tc>
      </w:tr>
      <w:tr w:rsidR="00000000">
        <w:tblPrEx>
          <w:tblCellMar>
            <w:top w:w="0" w:type="dxa"/>
            <w:bottom w:w="0" w:type="dxa"/>
          </w:tblCellMar>
        </w:tblPrEx>
        <w:tc>
          <w:tcPr>
            <w:tcW w:w="4421" w:type="dxa"/>
            <w:vAlign w:val="bottom"/>
          </w:tcPr>
          <w:p w:rsidR="00000000" w:rsidRDefault="00000000">
            <w:pPr>
              <w:pStyle w:val="BodyText"/>
              <w:tabs>
                <w:tab w:val="left" w:pos="288"/>
                <w:tab w:val="left" w:leader="dot" w:pos="4160"/>
              </w:tabs>
              <w:spacing w:before="40" w:after="40" w:line="210" w:lineRule="exact"/>
              <w:ind w:right="43"/>
              <w:jc w:val="left"/>
              <w:rPr>
                <w:spacing w:val="60"/>
                <w:sz w:val="17"/>
              </w:rPr>
            </w:pPr>
            <w:r>
              <w:rPr>
                <w:sz w:val="17"/>
              </w:rPr>
              <w:t>1984/85</w:t>
            </w:r>
            <w:r>
              <w:rPr>
                <w:spacing w:val="60"/>
                <w:sz w:val="17"/>
              </w:rPr>
              <w:tab/>
            </w:r>
          </w:p>
        </w:tc>
        <w:tc>
          <w:tcPr>
            <w:tcW w:w="144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125 628</w:t>
            </w:r>
          </w:p>
        </w:tc>
        <w:tc>
          <w:tcPr>
            <w:tcW w:w="14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40,8</w:t>
            </w:r>
          </w:p>
        </w:tc>
      </w:tr>
      <w:tr w:rsidR="00000000">
        <w:tblPrEx>
          <w:tblCellMar>
            <w:top w:w="0" w:type="dxa"/>
            <w:bottom w:w="0" w:type="dxa"/>
          </w:tblCellMar>
        </w:tblPrEx>
        <w:tc>
          <w:tcPr>
            <w:tcW w:w="4421" w:type="dxa"/>
            <w:vAlign w:val="bottom"/>
          </w:tcPr>
          <w:p w:rsidR="00000000" w:rsidRDefault="00000000">
            <w:pPr>
              <w:pStyle w:val="BodyText"/>
              <w:tabs>
                <w:tab w:val="left" w:pos="288"/>
                <w:tab w:val="left" w:leader="dot" w:pos="4160"/>
              </w:tabs>
              <w:spacing w:before="40" w:after="40" w:line="210" w:lineRule="exact"/>
              <w:ind w:right="43"/>
              <w:jc w:val="left"/>
              <w:rPr>
                <w:spacing w:val="60"/>
                <w:sz w:val="17"/>
              </w:rPr>
            </w:pPr>
            <w:r>
              <w:rPr>
                <w:sz w:val="17"/>
              </w:rPr>
              <w:t>1985/86</w:t>
            </w:r>
            <w:r>
              <w:rPr>
                <w:spacing w:val="60"/>
                <w:sz w:val="17"/>
              </w:rPr>
              <w:tab/>
            </w:r>
          </w:p>
        </w:tc>
        <w:tc>
          <w:tcPr>
            <w:tcW w:w="144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107 634</w:t>
            </w:r>
          </w:p>
        </w:tc>
        <w:tc>
          <w:tcPr>
            <w:tcW w:w="14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36,8</w:t>
            </w:r>
          </w:p>
        </w:tc>
      </w:tr>
      <w:tr w:rsidR="00000000">
        <w:tblPrEx>
          <w:tblCellMar>
            <w:top w:w="0" w:type="dxa"/>
            <w:bottom w:w="0" w:type="dxa"/>
          </w:tblCellMar>
        </w:tblPrEx>
        <w:tc>
          <w:tcPr>
            <w:tcW w:w="4421" w:type="dxa"/>
            <w:vAlign w:val="bottom"/>
          </w:tcPr>
          <w:p w:rsidR="00000000" w:rsidRDefault="00000000">
            <w:pPr>
              <w:pStyle w:val="BodyText"/>
              <w:tabs>
                <w:tab w:val="left" w:pos="288"/>
                <w:tab w:val="left" w:leader="dot" w:pos="4160"/>
              </w:tabs>
              <w:spacing w:before="40" w:after="40" w:line="210" w:lineRule="exact"/>
              <w:ind w:right="43"/>
              <w:jc w:val="left"/>
              <w:rPr>
                <w:spacing w:val="60"/>
                <w:sz w:val="17"/>
              </w:rPr>
            </w:pPr>
            <w:r>
              <w:rPr>
                <w:sz w:val="17"/>
              </w:rPr>
              <w:t>1987</w:t>
            </w:r>
            <w:r>
              <w:rPr>
                <w:spacing w:val="60"/>
                <w:sz w:val="17"/>
              </w:rPr>
              <w:tab/>
            </w:r>
          </w:p>
        </w:tc>
        <w:tc>
          <w:tcPr>
            <w:tcW w:w="144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122 634</w:t>
            </w:r>
          </w:p>
        </w:tc>
        <w:tc>
          <w:tcPr>
            <w:tcW w:w="14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39,7</w:t>
            </w:r>
          </w:p>
        </w:tc>
      </w:tr>
      <w:tr w:rsidR="00000000">
        <w:tblPrEx>
          <w:tblCellMar>
            <w:top w:w="0" w:type="dxa"/>
            <w:bottom w:w="0" w:type="dxa"/>
          </w:tblCellMar>
        </w:tblPrEx>
        <w:tc>
          <w:tcPr>
            <w:tcW w:w="4421" w:type="dxa"/>
            <w:vAlign w:val="bottom"/>
          </w:tcPr>
          <w:p w:rsidR="00000000" w:rsidRDefault="00000000">
            <w:pPr>
              <w:pStyle w:val="BodyText"/>
              <w:tabs>
                <w:tab w:val="left" w:pos="288"/>
                <w:tab w:val="left" w:leader="dot" w:pos="4160"/>
              </w:tabs>
              <w:spacing w:before="40" w:after="40" w:line="210" w:lineRule="exact"/>
              <w:ind w:right="43"/>
              <w:jc w:val="left"/>
              <w:rPr>
                <w:spacing w:val="60"/>
                <w:sz w:val="17"/>
              </w:rPr>
            </w:pPr>
            <w:r>
              <w:rPr>
                <w:sz w:val="17"/>
              </w:rPr>
              <w:t>1988</w:t>
            </w:r>
            <w:r>
              <w:rPr>
                <w:spacing w:val="60"/>
                <w:sz w:val="17"/>
              </w:rPr>
              <w:tab/>
            </w:r>
          </w:p>
        </w:tc>
        <w:tc>
          <w:tcPr>
            <w:tcW w:w="144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104 004</w:t>
            </w:r>
          </w:p>
        </w:tc>
        <w:tc>
          <w:tcPr>
            <w:tcW w:w="14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33,7</w:t>
            </w:r>
          </w:p>
        </w:tc>
      </w:tr>
      <w:tr w:rsidR="00000000">
        <w:tblPrEx>
          <w:tblCellMar>
            <w:top w:w="0" w:type="dxa"/>
            <w:bottom w:w="0" w:type="dxa"/>
          </w:tblCellMar>
        </w:tblPrEx>
        <w:tc>
          <w:tcPr>
            <w:tcW w:w="4421" w:type="dxa"/>
            <w:vAlign w:val="bottom"/>
          </w:tcPr>
          <w:p w:rsidR="00000000" w:rsidRDefault="00000000">
            <w:pPr>
              <w:pStyle w:val="BodyText"/>
              <w:tabs>
                <w:tab w:val="left" w:pos="288"/>
                <w:tab w:val="left" w:leader="dot" w:pos="4160"/>
              </w:tabs>
              <w:spacing w:before="40" w:after="40" w:line="210" w:lineRule="exact"/>
              <w:ind w:right="43"/>
              <w:jc w:val="left"/>
              <w:rPr>
                <w:spacing w:val="60"/>
                <w:sz w:val="17"/>
              </w:rPr>
            </w:pPr>
            <w:r>
              <w:rPr>
                <w:sz w:val="17"/>
              </w:rPr>
              <w:t>1989</w:t>
            </w:r>
            <w:r>
              <w:rPr>
                <w:spacing w:val="60"/>
                <w:sz w:val="17"/>
              </w:rPr>
              <w:tab/>
            </w:r>
          </w:p>
        </w:tc>
        <w:tc>
          <w:tcPr>
            <w:tcW w:w="144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153 242</w:t>
            </w:r>
          </w:p>
        </w:tc>
        <w:tc>
          <w:tcPr>
            <w:tcW w:w="14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44,5</w:t>
            </w:r>
          </w:p>
        </w:tc>
      </w:tr>
      <w:tr w:rsidR="00000000">
        <w:tblPrEx>
          <w:tblCellMar>
            <w:top w:w="0" w:type="dxa"/>
            <w:bottom w:w="0" w:type="dxa"/>
          </w:tblCellMar>
        </w:tblPrEx>
        <w:tc>
          <w:tcPr>
            <w:tcW w:w="4421" w:type="dxa"/>
            <w:vAlign w:val="bottom"/>
          </w:tcPr>
          <w:p w:rsidR="00000000" w:rsidRDefault="00000000">
            <w:pPr>
              <w:pStyle w:val="BodyText"/>
              <w:tabs>
                <w:tab w:val="left" w:pos="288"/>
                <w:tab w:val="left" w:leader="dot" w:pos="4160"/>
              </w:tabs>
              <w:spacing w:before="40" w:after="40" w:line="210" w:lineRule="exact"/>
              <w:ind w:right="43"/>
              <w:jc w:val="left"/>
              <w:rPr>
                <w:spacing w:val="60"/>
                <w:sz w:val="17"/>
              </w:rPr>
            </w:pPr>
            <w:r>
              <w:rPr>
                <w:sz w:val="17"/>
              </w:rPr>
              <w:t>1990</w:t>
            </w:r>
            <w:r>
              <w:rPr>
                <w:spacing w:val="60"/>
                <w:sz w:val="17"/>
              </w:rPr>
              <w:tab/>
            </w:r>
          </w:p>
        </w:tc>
        <w:tc>
          <w:tcPr>
            <w:tcW w:w="144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142 416</w:t>
            </w:r>
          </w:p>
        </w:tc>
        <w:tc>
          <w:tcPr>
            <w:tcW w:w="14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42,9</w:t>
            </w:r>
          </w:p>
        </w:tc>
      </w:tr>
      <w:tr w:rsidR="00000000">
        <w:tblPrEx>
          <w:tblCellMar>
            <w:top w:w="0" w:type="dxa"/>
            <w:bottom w:w="0" w:type="dxa"/>
          </w:tblCellMar>
        </w:tblPrEx>
        <w:tc>
          <w:tcPr>
            <w:tcW w:w="4421" w:type="dxa"/>
            <w:vAlign w:val="bottom"/>
          </w:tcPr>
          <w:p w:rsidR="00000000" w:rsidRDefault="00000000">
            <w:pPr>
              <w:pStyle w:val="BodyText"/>
              <w:tabs>
                <w:tab w:val="left" w:pos="288"/>
                <w:tab w:val="left" w:leader="dot" w:pos="4160"/>
              </w:tabs>
              <w:spacing w:before="40" w:after="40" w:line="210" w:lineRule="exact"/>
              <w:ind w:right="43"/>
              <w:jc w:val="left"/>
              <w:rPr>
                <w:spacing w:val="60"/>
                <w:sz w:val="17"/>
              </w:rPr>
            </w:pPr>
            <w:r>
              <w:rPr>
                <w:sz w:val="17"/>
              </w:rPr>
              <w:t>1991</w:t>
            </w:r>
            <w:r>
              <w:rPr>
                <w:spacing w:val="60"/>
                <w:sz w:val="17"/>
              </w:rPr>
              <w:tab/>
            </w:r>
          </w:p>
        </w:tc>
        <w:tc>
          <w:tcPr>
            <w:tcW w:w="144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150 847</w:t>
            </w:r>
          </w:p>
        </w:tc>
        <w:tc>
          <w:tcPr>
            <w:tcW w:w="14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42,7</w:t>
            </w:r>
          </w:p>
        </w:tc>
      </w:tr>
      <w:tr w:rsidR="00000000">
        <w:tblPrEx>
          <w:tblCellMar>
            <w:top w:w="0" w:type="dxa"/>
            <w:bottom w:w="0" w:type="dxa"/>
          </w:tblCellMar>
        </w:tblPrEx>
        <w:tc>
          <w:tcPr>
            <w:tcW w:w="4421" w:type="dxa"/>
            <w:vAlign w:val="bottom"/>
          </w:tcPr>
          <w:p w:rsidR="00000000" w:rsidRDefault="00000000">
            <w:pPr>
              <w:pStyle w:val="BodyText"/>
              <w:tabs>
                <w:tab w:val="left" w:pos="288"/>
                <w:tab w:val="left" w:leader="dot" w:pos="4160"/>
              </w:tabs>
              <w:spacing w:before="40" w:after="40" w:line="210" w:lineRule="exact"/>
              <w:ind w:right="43"/>
              <w:jc w:val="left"/>
              <w:rPr>
                <w:spacing w:val="60"/>
                <w:sz w:val="17"/>
              </w:rPr>
            </w:pPr>
            <w:r>
              <w:rPr>
                <w:sz w:val="17"/>
              </w:rPr>
              <w:t>1992</w:t>
            </w:r>
            <w:r>
              <w:rPr>
                <w:spacing w:val="60"/>
                <w:sz w:val="17"/>
              </w:rPr>
              <w:tab/>
            </w:r>
          </w:p>
        </w:tc>
        <w:tc>
          <w:tcPr>
            <w:tcW w:w="144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172 562</w:t>
            </w:r>
          </w:p>
        </w:tc>
        <w:tc>
          <w:tcPr>
            <w:tcW w:w="14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44,9</w:t>
            </w:r>
          </w:p>
        </w:tc>
      </w:tr>
      <w:tr w:rsidR="00000000">
        <w:tblPrEx>
          <w:tblCellMar>
            <w:top w:w="0" w:type="dxa"/>
            <w:bottom w:w="0" w:type="dxa"/>
          </w:tblCellMar>
        </w:tblPrEx>
        <w:tc>
          <w:tcPr>
            <w:tcW w:w="4421" w:type="dxa"/>
            <w:vAlign w:val="bottom"/>
          </w:tcPr>
          <w:p w:rsidR="00000000" w:rsidRDefault="00000000">
            <w:pPr>
              <w:pStyle w:val="BodyText"/>
              <w:tabs>
                <w:tab w:val="left" w:pos="288"/>
                <w:tab w:val="left" w:leader="dot" w:pos="4160"/>
              </w:tabs>
              <w:spacing w:before="40" w:after="40" w:line="210" w:lineRule="exact"/>
              <w:ind w:right="43"/>
              <w:jc w:val="left"/>
              <w:rPr>
                <w:spacing w:val="60"/>
                <w:sz w:val="17"/>
              </w:rPr>
            </w:pPr>
            <w:r>
              <w:rPr>
                <w:sz w:val="17"/>
              </w:rPr>
              <w:t>1993</w:t>
            </w:r>
            <w:r>
              <w:rPr>
                <w:spacing w:val="60"/>
                <w:sz w:val="17"/>
              </w:rPr>
              <w:tab/>
            </w:r>
          </w:p>
        </w:tc>
        <w:tc>
          <w:tcPr>
            <w:tcW w:w="144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191 831</w:t>
            </w:r>
          </w:p>
        </w:tc>
        <w:tc>
          <w:tcPr>
            <w:tcW w:w="14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44,8</w:t>
            </w:r>
          </w:p>
        </w:tc>
      </w:tr>
      <w:tr w:rsidR="00000000">
        <w:tblPrEx>
          <w:tblCellMar>
            <w:top w:w="0" w:type="dxa"/>
            <w:bottom w:w="0" w:type="dxa"/>
          </w:tblCellMar>
        </w:tblPrEx>
        <w:tc>
          <w:tcPr>
            <w:tcW w:w="4421" w:type="dxa"/>
            <w:vAlign w:val="bottom"/>
          </w:tcPr>
          <w:p w:rsidR="00000000" w:rsidRDefault="00000000">
            <w:pPr>
              <w:pStyle w:val="BodyText"/>
              <w:tabs>
                <w:tab w:val="left" w:pos="288"/>
                <w:tab w:val="left" w:leader="dot" w:pos="4160"/>
              </w:tabs>
              <w:spacing w:before="40" w:after="40" w:line="210" w:lineRule="exact"/>
              <w:ind w:right="43"/>
              <w:jc w:val="left"/>
              <w:rPr>
                <w:spacing w:val="60"/>
                <w:sz w:val="17"/>
              </w:rPr>
            </w:pPr>
            <w:r>
              <w:rPr>
                <w:sz w:val="17"/>
              </w:rPr>
              <w:t>1994</w:t>
            </w:r>
            <w:r>
              <w:rPr>
                <w:spacing w:val="60"/>
                <w:sz w:val="17"/>
              </w:rPr>
              <w:tab/>
            </w:r>
          </w:p>
        </w:tc>
        <w:tc>
          <w:tcPr>
            <w:tcW w:w="144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201 905</w:t>
            </w:r>
          </w:p>
        </w:tc>
        <w:tc>
          <w:tcPr>
            <w:tcW w:w="14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46,4</w:t>
            </w:r>
          </w:p>
        </w:tc>
      </w:tr>
      <w:tr w:rsidR="00000000">
        <w:tblPrEx>
          <w:tblCellMar>
            <w:top w:w="0" w:type="dxa"/>
            <w:bottom w:w="0" w:type="dxa"/>
          </w:tblCellMar>
        </w:tblPrEx>
        <w:tc>
          <w:tcPr>
            <w:tcW w:w="4421" w:type="dxa"/>
            <w:vAlign w:val="bottom"/>
          </w:tcPr>
          <w:p w:rsidR="00000000" w:rsidRDefault="00000000">
            <w:pPr>
              <w:pStyle w:val="BodyText"/>
              <w:tabs>
                <w:tab w:val="left" w:pos="288"/>
                <w:tab w:val="left" w:leader="dot" w:pos="4160"/>
              </w:tabs>
              <w:spacing w:before="40" w:after="40" w:line="210" w:lineRule="exact"/>
              <w:ind w:right="43"/>
              <w:jc w:val="left"/>
              <w:rPr>
                <w:spacing w:val="60"/>
                <w:sz w:val="17"/>
              </w:rPr>
            </w:pPr>
            <w:r>
              <w:rPr>
                <w:sz w:val="17"/>
              </w:rPr>
              <w:t>1995</w:t>
            </w:r>
            <w:r>
              <w:rPr>
                <w:spacing w:val="60"/>
                <w:sz w:val="17"/>
              </w:rPr>
              <w:tab/>
            </w:r>
          </w:p>
        </w:tc>
        <w:tc>
          <w:tcPr>
            <w:tcW w:w="144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207 332</w:t>
            </w:r>
          </w:p>
        </w:tc>
        <w:tc>
          <w:tcPr>
            <w:tcW w:w="14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47,4</w:t>
            </w:r>
          </w:p>
        </w:tc>
      </w:tr>
      <w:tr w:rsidR="00000000">
        <w:tblPrEx>
          <w:tblCellMar>
            <w:top w:w="0" w:type="dxa"/>
            <w:bottom w:w="0" w:type="dxa"/>
          </w:tblCellMar>
        </w:tblPrEx>
        <w:tc>
          <w:tcPr>
            <w:tcW w:w="4421" w:type="dxa"/>
            <w:vAlign w:val="bottom"/>
          </w:tcPr>
          <w:p w:rsidR="00000000" w:rsidRDefault="00000000">
            <w:pPr>
              <w:pStyle w:val="BodyText"/>
              <w:tabs>
                <w:tab w:val="left" w:pos="288"/>
                <w:tab w:val="left" w:leader="dot" w:pos="4160"/>
              </w:tabs>
              <w:spacing w:before="40" w:after="40" w:line="210" w:lineRule="exact"/>
              <w:ind w:right="43"/>
              <w:jc w:val="left"/>
              <w:rPr>
                <w:spacing w:val="60"/>
                <w:sz w:val="17"/>
              </w:rPr>
            </w:pPr>
            <w:r>
              <w:rPr>
                <w:sz w:val="17"/>
              </w:rPr>
              <w:t>1996</w:t>
            </w:r>
            <w:r>
              <w:rPr>
                <w:spacing w:val="60"/>
                <w:sz w:val="17"/>
              </w:rPr>
              <w:tab/>
            </w:r>
          </w:p>
        </w:tc>
        <w:tc>
          <w:tcPr>
            <w:tcW w:w="144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199 797</w:t>
            </w:r>
          </w:p>
        </w:tc>
        <w:tc>
          <w:tcPr>
            <w:tcW w:w="145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47,9</w:t>
            </w:r>
          </w:p>
        </w:tc>
      </w:tr>
      <w:tr w:rsidR="00000000">
        <w:tblPrEx>
          <w:tblCellMar>
            <w:top w:w="0" w:type="dxa"/>
            <w:bottom w:w="0" w:type="dxa"/>
          </w:tblCellMar>
        </w:tblPrEx>
        <w:tc>
          <w:tcPr>
            <w:tcW w:w="4421" w:type="dxa"/>
            <w:tcBorders>
              <w:bottom w:val="single" w:sz="12" w:space="0" w:color="auto"/>
            </w:tcBorders>
            <w:vAlign w:val="bottom"/>
          </w:tcPr>
          <w:p w:rsidR="00000000" w:rsidRDefault="00000000">
            <w:pPr>
              <w:pStyle w:val="BodyText"/>
              <w:tabs>
                <w:tab w:val="left" w:pos="288"/>
                <w:tab w:val="left" w:leader="dot" w:pos="4160"/>
              </w:tabs>
              <w:spacing w:before="40" w:after="40" w:line="210" w:lineRule="exact"/>
              <w:ind w:right="43"/>
              <w:jc w:val="left"/>
              <w:rPr>
                <w:spacing w:val="60"/>
                <w:sz w:val="17"/>
              </w:rPr>
            </w:pPr>
            <w:r>
              <w:rPr>
                <w:sz w:val="17"/>
              </w:rPr>
              <w:t>1997</w:t>
            </w:r>
            <w:r>
              <w:rPr>
                <w:spacing w:val="60"/>
                <w:sz w:val="17"/>
              </w:rPr>
              <w:tab/>
            </w:r>
          </w:p>
        </w:tc>
        <w:tc>
          <w:tcPr>
            <w:tcW w:w="1449"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201 531</w:t>
            </w:r>
          </w:p>
        </w:tc>
        <w:tc>
          <w:tcPr>
            <w:tcW w:w="145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47,0</w:t>
            </w:r>
          </w:p>
        </w:tc>
      </w:tr>
    </w:tbl>
    <w:p w:rsidR="00000000" w:rsidRDefault="00000000">
      <w:pPr>
        <w:pStyle w:val="BodyText"/>
        <w:spacing w:line="120" w:lineRule="exact"/>
        <w:jc w:val="both"/>
        <w:rPr>
          <w:b/>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Oficina Federal de Estadística, Resumen Anual de Estadísticas, 1999.</w:t>
      </w:r>
    </w:p>
    <w:p w:rsidR="00000000" w:rsidRDefault="00000000">
      <w:pPr>
        <w:pStyle w:val="BodyText"/>
        <w:spacing w:line="120" w:lineRule="exact"/>
        <w:ind w:left="705"/>
        <w:jc w:val="both"/>
        <w:rPr>
          <w:sz w:val="10"/>
        </w:rPr>
      </w:pPr>
    </w:p>
    <w:p w:rsidR="00000000" w:rsidRDefault="00000000">
      <w:pPr>
        <w:pStyle w:val="BodyText"/>
        <w:spacing w:line="120" w:lineRule="exact"/>
        <w:ind w:left="705"/>
        <w:jc w:val="both"/>
        <w:rPr>
          <w:sz w:val="10"/>
        </w:rPr>
      </w:pPr>
    </w:p>
    <w:p w:rsidR="00000000" w:rsidRDefault="00000000">
      <w:pPr>
        <w:pStyle w:val="SingleTxt"/>
        <w:ind w:left="1742" w:hanging="475"/>
      </w:pPr>
      <w:r>
        <w:t>b)</w:t>
      </w:r>
      <w:r>
        <w:tab/>
        <w:t>En la mayoría de las tres zonas septentrionales –noroccidental, nororiental y centro-septentrional- se han promulgado leyes para desalentar la deserción e</w:t>
      </w:r>
      <w:r>
        <w:t>s</w:t>
      </w:r>
      <w:r>
        <w:t>colar de las niñas por matrimonio. Además, existen algunas escuelas exclus</w:t>
      </w:r>
      <w:r>
        <w:t>i</w:t>
      </w:r>
      <w:r>
        <w:t>vamente para niñas, mientras que algunas sirven comidas al mediodía para alentar la asistencia a la escuela de las niñas. En el 70 por ciento de los Est</w:t>
      </w:r>
      <w:r>
        <w:t>a</w:t>
      </w:r>
      <w:r>
        <w:t>dos septentrionales existen becas para las estudiantes en todos los niveles. S</w:t>
      </w:r>
      <w:r>
        <w:t>i</w:t>
      </w:r>
      <w:r>
        <w:t>guen funcionando el programa de educación para niñas y los programas de educación para adultos y de enseñanza no e</w:t>
      </w:r>
      <w:r>
        <w:t>s</w:t>
      </w:r>
      <w:r>
        <w:t>tructurada.</w:t>
      </w:r>
    </w:p>
    <w:p w:rsidR="00000000" w:rsidRDefault="00000000">
      <w:pPr>
        <w:pStyle w:val="SingleTxt"/>
        <w:ind w:left="1742" w:hanging="475"/>
      </w:pPr>
      <w:r>
        <w:t>c)</w:t>
      </w:r>
      <w:r>
        <w:tab/>
        <w:t>En 1999, el gobierno actual, con el fin de poner fin al descenso de la calidad de la educación, lanzó la educación básica universal para brindar educación obl</w:t>
      </w:r>
      <w:r>
        <w:t>i</w:t>
      </w:r>
      <w:r>
        <w:t>gatoria y gratuita a todos los niños nigerianos en los niveles de la enseñanza primaria y la enseñanza secundaria de primer ciclo. Más adelante, en agosto de 2000, se celebró una consulta nacional a los interesados directos con miras a descubrir los problemas subyacentes al sistema educativo y ofrecer soluciones. Las deficiencias más importantes descubiertas se referían al programa de est</w:t>
      </w:r>
      <w:r>
        <w:t>u</w:t>
      </w:r>
      <w:r>
        <w:t>dios y su aplicación, infraestructura escolar inadecuada y clases atestadas, e</w:t>
      </w:r>
      <w:r>
        <w:t>s</w:t>
      </w:r>
      <w:r>
        <w:t>casa motivación por parte de los maestros, insistencia en los exámenes en lugar de en el desarrollo de las aptitudes e insuficiencias en materia de financiación, gestión y planificación y supervisión y ev</w:t>
      </w:r>
      <w:r>
        <w:t>a</w:t>
      </w:r>
      <w:r>
        <w:t>luación de estadísticas.</w:t>
      </w:r>
    </w:p>
    <w:p w:rsidR="00000000" w:rsidRDefault="00000000">
      <w:pPr>
        <w:pStyle w:val="SingleTxt"/>
        <w:ind w:left="1742" w:hanging="475"/>
      </w:pPr>
      <w:r>
        <w:t>d)</w:t>
      </w:r>
      <w:r>
        <w:tab/>
        <w:t>Ahora existe una nueva política encaminada a ofrecer educación gratuita a las mujeres en todos los niveles. Se espera que empiece a funcionar antes del fin de 2002.</w:t>
      </w:r>
    </w:p>
    <w:p w:rsidR="00000000" w:rsidRDefault="00000000">
      <w:pPr>
        <w:pStyle w:val="BodyText"/>
        <w:spacing w:line="120" w:lineRule="exact"/>
        <w:jc w:val="both"/>
        <w:rPr>
          <w:sz w:val="10"/>
        </w:rPr>
      </w:pPr>
    </w:p>
    <w:p w:rsidR="00000000" w:rsidRDefault="00000000">
      <w:pPr>
        <w:pStyle w:val="BodyText"/>
        <w:keepNext/>
        <w:keepLines/>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11.0</w:t>
      </w:r>
      <w:r>
        <w:tab/>
        <w:t>Artículo 11: Empleo</w:t>
      </w:r>
    </w:p>
    <w:p w:rsidR="00000000" w:rsidRDefault="00000000">
      <w:pPr>
        <w:pStyle w:val="BodyText"/>
        <w:keepNext/>
        <w:keepLines/>
        <w:spacing w:line="120" w:lineRule="exact"/>
        <w:jc w:val="both"/>
        <w:rPr>
          <w:b/>
          <w:sz w:val="10"/>
        </w:rPr>
      </w:pPr>
    </w:p>
    <w:p w:rsidR="00000000" w:rsidRDefault="00000000">
      <w:pPr>
        <w:pStyle w:val="BodyText"/>
        <w:keepNext/>
        <w:keepLines/>
        <w:spacing w:line="120" w:lineRule="exact"/>
        <w:jc w:val="both"/>
        <w:rPr>
          <w:b/>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11.1</w:t>
      </w:r>
      <w:r>
        <w:tab/>
        <w:t>Medidas legislativas</w:t>
      </w:r>
    </w:p>
    <w:p w:rsidR="00000000" w:rsidRDefault="00000000">
      <w:pPr>
        <w:pStyle w:val="BodyText"/>
        <w:keepNext/>
        <w:keepLines/>
        <w:spacing w:line="120" w:lineRule="exact"/>
        <w:jc w:val="both"/>
        <w:rPr>
          <w:b/>
          <w:i/>
          <w:sz w:val="10"/>
        </w:rPr>
      </w:pPr>
    </w:p>
    <w:p w:rsidR="00000000" w:rsidRDefault="00000000">
      <w:pPr>
        <w:pStyle w:val="BodyText"/>
        <w:keepNext/>
        <w:keepLines/>
        <w:spacing w:line="120" w:lineRule="exact"/>
        <w:jc w:val="both"/>
        <w:rPr>
          <w:b/>
          <w:i/>
          <w:sz w:val="10"/>
        </w:rPr>
      </w:pPr>
    </w:p>
    <w:p w:rsidR="00000000" w:rsidRDefault="00000000">
      <w:pPr>
        <w:pStyle w:val="SingleTxt"/>
      </w:pPr>
      <w:r>
        <w:tab/>
        <w:t>El artículo 11 dispone que las mujeres gozarán de iguales derechos que los hombres en materia de oportunidades de empleo, elección de profesiones, ascenso y remuneración.</w:t>
      </w:r>
    </w:p>
    <w:p w:rsidR="00000000" w:rsidRDefault="00000000">
      <w:pPr>
        <w:pStyle w:val="SingleTxt"/>
        <w:ind w:left="1742" w:hanging="475"/>
      </w:pPr>
      <w:r>
        <w:t>a)</w:t>
      </w:r>
      <w:r>
        <w:tab/>
        <w:t>La propia Constitución de Nigeria de 1999 contiene en germen las discrimin</w:t>
      </w:r>
      <w:r>
        <w:t>a</w:t>
      </w:r>
      <w:r>
        <w:t>ciones negativa y positiva en relación con el empleo de la mujer. Si bien prohíbe la discriminación, conforme a los párrafos 1 y 2 del artículo  42, por razones, entre otras, de sexo, permite disposiciones especiales a favor de gr</w:t>
      </w:r>
      <w:r>
        <w:t>u</w:t>
      </w:r>
      <w:r>
        <w:t>pos especiales por diversas razones, incluido el sexo, conforme al párrafo 3 del artículo 42: por ejemplo, respecto de cualquier nombramiento estatal o en el caso de los miembros de las Fuerzas Armadas o la Fuerza de Policía de Nig</w:t>
      </w:r>
      <w:r>
        <w:t>e</w:t>
      </w:r>
      <w:r>
        <w:t>ria, etc.</w:t>
      </w:r>
    </w:p>
    <w:p w:rsidR="00000000" w:rsidRDefault="00000000">
      <w:pPr>
        <w:pStyle w:val="SingleTxt"/>
        <w:ind w:left="1742" w:hanging="475"/>
      </w:pPr>
      <w:r>
        <w:t>b)</w:t>
      </w:r>
      <w:r>
        <w:tab/>
        <w:t>Así, pues, la ley que prohíbe el empleo nocturno y en obras subterráneas para las mujeres brinda a los empleadores un arma legítima contra la mujer o el grupo de interés de que se trate, excepto que la prohibición que figura en los artículos 54 y 55 del capítulo 50 de la Ley del Trabajo (Leyes de la Federación de Nigeria, 1990) no es aplicable a las mujeres que forman parte del personal directivo de los niveles m</w:t>
      </w:r>
      <w:r>
        <w:t>e</w:t>
      </w:r>
      <w:r>
        <w:t>dio y alto.</w:t>
      </w:r>
    </w:p>
    <w:p w:rsidR="00000000" w:rsidRDefault="00000000">
      <w:pPr>
        <w:pStyle w:val="SingleTxt"/>
        <w:ind w:left="1742" w:hanging="475"/>
      </w:pPr>
      <w:r>
        <w:t>c)</w:t>
      </w:r>
      <w:r>
        <w:tab/>
        <w:t>La Ley de Fábricas (capítulo 126 de las Leyes de la Federación de Nig</w:t>
      </w:r>
      <w:r>
        <w:t>e</w:t>
      </w:r>
      <w:r>
        <w:t>ria,1990), en la que figuran disposiciones detalladas sobre la salud, la segur</w:t>
      </w:r>
      <w:r>
        <w:t>i</w:t>
      </w:r>
      <w:r>
        <w:t>dad y el bienestar de los trabajadores, no tiene en cuenta la sensibilidad y la susceptibilidad de los derechos y funciones reproductivos de la mujer y la n</w:t>
      </w:r>
      <w:r>
        <w:t>e</w:t>
      </w:r>
      <w:r>
        <w:t>cesidad de proteger al niño nonato ni el efecto de las substancias tóxicas y los materiales radiactivos en las mujeres. Se han hecho pocas investigaciones o ninguna para conocer la gravedad de los peligros y la forma de eliminarlos.</w:t>
      </w:r>
    </w:p>
    <w:p w:rsidR="00000000" w:rsidRDefault="00000000">
      <w:pPr>
        <w:pStyle w:val="BodyText"/>
        <w:spacing w:line="120" w:lineRule="exact"/>
        <w:ind w:left="705"/>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11.2</w:t>
      </w:r>
      <w:r>
        <w:tab/>
        <w:t>Prácticas discriminatorias en el empleo</w:t>
      </w:r>
    </w:p>
    <w:p w:rsidR="00000000" w:rsidRDefault="00000000">
      <w:pPr>
        <w:pStyle w:val="BodyText"/>
        <w:spacing w:line="120" w:lineRule="exact"/>
        <w:jc w:val="both"/>
        <w:rPr>
          <w:b/>
          <w:i/>
          <w:sz w:val="10"/>
        </w:rPr>
      </w:pPr>
    </w:p>
    <w:p w:rsidR="00000000" w:rsidRDefault="00000000">
      <w:pPr>
        <w:pStyle w:val="SingleTxt"/>
      </w:pPr>
      <w:r>
        <w:tab/>
        <w:t>Aunque no hay prácticas discriminatorias manifiestas contra la mujer en mat</w:t>
      </w:r>
      <w:r>
        <w:t>e</w:t>
      </w:r>
      <w:r>
        <w:t>ria de reclutamiento y empleo, la realidad es que las mujeres nigerianas distan de disfrutar de igualdad de derechos en el mercado laboral, a causa principalmente de la pesada carga de trabajo doméstico, los bajos niveles de logros educativos, los prejuicios contra el empleo de las mujeres en ciertos sectores de la economía o est</w:t>
      </w:r>
      <w:r>
        <w:t>e</w:t>
      </w:r>
      <w:r>
        <w:t>reotipos en el lugar de trabajo y sistemas de asistencia social discriminatorios. R</w:t>
      </w:r>
      <w:r>
        <w:t>e</w:t>
      </w:r>
      <w:r>
        <w:t>sulta evidente en el sector privado, en particular entre los bancos de nueva gener</w:t>
      </w:r>
      <w:r>
        <w:t>a</w:t>
      </w:r>
      <w:r>
        <w:t>ción, en los que se exige a muchachas solteras que firmen un contrato por el que se comprometen a no casarse hasta tres años después de ingresar en el banco y a las c</w:t>
      </w:r>
      <w:r>
        <w:t>a</w:t>
      </w:r>
      <w:r>
        <w:t>sadas no se les permite tener un hijo hasta al menos tres años después de la fecha de su contrat</w:t>
      </w:r>
      <w:r>
        <w:t>a</w:t>
      </w:r>
      <w:r>
        <w:t>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rPr>
      </w:pPr>
      <w:r>
        <w:tab/>
      </w:r>
      <w:r>
        <w:rPr>
          <w:b w:val="0"/>
        </w:rPr>
        <w:t>11.3</w:t>
      </w:r>
      <w:r>
        <w:rPr>
          <w:b w:val="0"/>
        </w:rPr>
        <w:tab/>
        <w:t>También existe un fenómeno en aumento</w:t>
      </w:r>
      <w:r>
        <w:rPr>
          <w:b w:val="0"/>
          <w:i/>
        </w:rPr>
        <w:t xml:space="preserve"> </w:t>
      </w:r>
      <w:r>
        <w:rPr>
          <w:b w:val="0"/>
        </w:rPr>
        <w:t>en el panorama laboral del sector bancario por el cual se emplea a muchachas como agentes comerciales. Esas jóvenes cargan con el cometido de alcanzar metas elevadas en materia de obtención de clientes y fondos y, después de haber sido utilizadas óptimamente, con frecuencia quedan substituidas en sus funciones por otras más jóvenes, pues esos cargos no brindan perspectivas de carrera. Además, las mujeres que se casan con colegas que trabajan en el mismo banco tienen que abandonar su empleo. En vista de que los empleos en los bancos están muy bien pagados, la mayoría de las mujeres aceptan esas cond</w:t>
      </w:r>
      <w:r>
        <w:rPr>
          <w:b w:val="0"/>
        </w:rPr>
        <w:t>i</w:t>
      </w:r>
      <w:r>
        <w:rPr>
          <w:b w:val="0"/>
        </w:rPr>
        <w:t>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jc w:val="both"/>
        <w:rPr>
          <w:b w:val="0"/>
        </w:rPr>
      </w:pPr>
      <w:r>
        <w:tab/>
      </w:r>
      <w:r>
        <w:rPr>
          <w:b w:val="0"/>
        </w:rPr>
        <w:t>11.4</w:t>
      </w:r>
      <w:r>
        <w:rPr>
          <w:b w:val="0"/>
        </w:rPr>
        <w:tab/>
        <w:t>Aunque no hay diferencias en la fiscalidad aplicada a los trabajadores y las trabajadoras, las mujeres, dado el carácter patriarcal de la sociedad, están obligadas a demostrar que tienen hijos o personas a cargo. Se basa en la falsa idea de que las mujeres no están encargadas de mantener a los hijos y la familia. Otra discriminación evidente en materia de empleo entre hombres y mujeres es la de que las esposas y las familias de los hombres de los niveles de dirección tienen derecho a tratamientos médicos costeados por sus empleadores, mientras que no se aplica el mismo trato a los esposos y las familias de las mujeres del mismo nivel de dirección. Por otra parte, no se permite trabajar a los cónyuges de los funcionarios del Servicio Exterior cuando acompañan a sus maridos/esposas en sus destinos. Además, al regreso de sus destinos en el extranjero las trabajadoras pierden sus empleos o sus ascensos en el lugar de trabajo. Los esposos de mujeres que ocupan cargos políticos y de otras funcionarias no gubernamentales no tienen derecho a recibir pasaportes diplomáticos, a diferencia de las esposas de sus colegas.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hanging="1267"/>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jc w:val="both"/>
        <w:rPr>
          <w:b w:val="0"/>
        </w:rPr>
      </w:pPr>
      <w:r>
        <w:tab/>
      </w:r>
      <w:r>
        <w:rPr>
          <w:b w:val="0"/>
        </w:rPr>
        <w:t>11.5</w:t>
      </w:r>
      <w:r>
        <w:rPr>
          <w:b w:val="0"/>
        </w:rPr>
        <w:tab/>
        <w:t>Existe una</w:t>
      </w:r>
      <w:r>
        <w:rPr>
          <w:b w:val="0"/>
          <w:i/>
        </w:rPr>
        <w:t xml:space="preserve"> </w:t>
      </w:r>
      <w:r>
        <w:rPr>
          <w:b w:val="0"/>
        </w:rPr>
        <w:t>gran variación regional en las tasas de participación laboral correspondientes a las mujeres en el país, lo que está en correlación en gran medida con las bajas tasas de alfabetización y los altos porcentajes de pobreza en las mismas regiones. No cabe la menor duda de que las mujeres siguen representando una proporción muy pequeña de la mano de obra del sector estructurado de Nigeria, en particular en la industria, las profesiones liberales y la función pública.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i/>
        </w:rPr>
      </w:pPr>
      <w:r>
        <w:tab/>
      </w:r>
      <w:r>
        <w:rPr>
          <w:b w:val="0"/>
        </w:rPr>
        <w:t>11.6</w:t>
      </w:r>
      <w:r>
        <w:rPr>
          <w:b w:val="0"/>
        </w:rPr>
        <w:tab/>
        <w:t>Por otra parte, las mujeres constituyen el 95 por ciento de los jueces de paz</w:t>
      </w:r>
      <w:r>
        <w:rPr>
          <w:b w:val="0"/>
          <w:i/>
        </w:rPr>
        <w:t xml:space="preserve"> </w:t>
      </w:r>
      <w:r>
        <w:rPr>
          <w:b w:val="0"/>
        </w:rPr>
        <w:t>en las tres zonas geopolíticas de la parte meridional del país. Es una cifra tan elevada porque la remuneración correspondiente a esos cargos no es proporcional al riesgo y los peligros que entrañan.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b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i/>
        </w:rPr>
      </w:pPr>
      <w:r>
        <w:rPr>
          <w:b w:val="0"/>
        </w:rPr>
        <w:tab/>
        <w:t>11.7</w:t>
      </w:r>
      <w:r>
        <w:rPr>
          <w:b w:val="0"/>
        </w:rPr>
        <w:tab/>
        <w:t>La división del trabajo sobre la base del género está vinculada con la concepción tradicional de las funciones económicas de las mujeres, pues la mayoría de ellas trabajan en los sectores de oficinas (mecanógrafas), ventas y servicios (magisterio y enfermería). Un gran porcentaje de mujeres encuentran empleo en el sector agrícola, en el que no se tiene en cuenta</w:t>
      </w:r>
      <w:r>
        <w:rPr>
          <w:b w:val="0"/>
          <w:i/>
        </w:rPr>
        <w:t xml:space="preserve"> </w:t>
      </w:r>
      <w:r>
        <w:rPr>
          <w:b w:val="0"/>
        </w:rPr>
        <w:t>la participación de las mujeres en la agricultura y ganadería familiar y de subsistencia y la elaboración y la distribución de alimentos para la obtención de ingresos suplementarios de la familia. Una gran proporción de las mujeres económicamente “inactivas” desempeñan tareas domésticas.</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i/>
        </w:rPr>
      </w:pPr>
      <w:r>
        <w:rPr>
          <w:b w:val="0"/>
        </w:rPr>
        <w:tab/>
        <w:t>11.8</w:t>
      </w:r>
      <w:r>
        <w:rPr>
          <w:b w:val="0"/>
        </w:rPr>
        <w:tab/>
        <w:t>Según el Ministerio Federal de Asuntos de la Mujer y Desarrollo de la Juventud –Informe del país Beijing + 5 de 1999-, las mujeres representan el 18 por ciento de la mano de obra del sector estructurado y sólo el 3 por ciento de los cargos administrativos y directivos del país. La disparidad entre los sexos es mayor aún en profesiones como las correspondientes a la medicina, la ingeniería y la arquitectura, en las que siguen predominando los hombres de forma abrumadora. Sin embargo, hay alguna representación de las mujeres en la educación y la judicatura.</w:t>
      </w:r>
    </w:p>
    <w:p w:rsidR="00000000" w:rsidRDefault="00000000">
      <w:pPr>
        <w:pStyle w:val="BodyText"/>
        <w:spacing w:line="360" w:lineRule="auto"/>
        <w:jc w:val="both"/>
        <w:rPr>
          <w:b/>
          <w:i/>
          <w:sz w:val="2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11.9</w:t>
      </w:r>
      <w:r>
        <w:tab/>
        <w:t>Consecuencias del cuidado de los hijos y del desempleo para las mujeres</w:t>
      </w:r>
    </w:p>
    <w:p w:rsidR="00000000" w:rsidRDefault="00000000">
      <w:pPr>
        <w:pStyle w:val="BodyText"/>
        <w:spacing w:line="120" w:lineRule="exact"/>
        <w:jc w:val="both"/>
        <w:rPr>
          <w:sz w:val="10"/>
        </w:rPr>
      </w:pPr>
    </w:p>
    <w:p w:rsidR="00000000" w:rsidRDefault="00000000">
      <w:pPr>
        <w:pStyle w:val="SingleTxt"/>
      </w:pPr>
      <w:r>
        <w:tab/>
        <w:t>Nigeria tuvo tasas muy elevadas de desempleo -en particular, el juvenil- d</w:t>
      </w:r>
      <w:r>
        <w:t>u</w:t>
      </w:r>
      <w:r>
        <w:t>rante la época militar y sus efectos persisten aún y afectan negativamente a las m</w:t>
      </w:r>
      <w:r>
        <w:t>u</w:t>
      </w:r>
      <w:r>
        <w:t>jeres. A consecuencia de ello ha habido muchas jóvenes que han tenido que recurrir a la prostitución y muchas han sido víctimas de la trata y de abusos. Ahora ha mej</w:t>
      </w:r>
      <w:r>
        <w:t>o</w:t>
      </w:r>
      <w:r>
        <w:t>rado la adquisición de instrucción y aptitudes básicas para el comercio por parte de las jóvenes. Son las primeras condiciones para encontrar un empleo remunerado, p</w:t>
      </w:r>
      <w:r>
        <w:t>e</w:t>
      </w:r>
      <w:r>
        <w:t>ro, en cuanto se casan y empiezan a cuidar de sus hijos, se suspenden sus ascensos profesionales como sacrificio por sus responsabilidades maternas. De modo que el empleo de las mujeres resulta afectado en gran medida por la carga representada por las tareas de cría de los hijos, consideradas exclusivamente femeninas. Las insuf</w:t>
      </w:r>
      <w:r>
        <w:t>i</w:t>
      </w:r>
      <w:r>
        <w:t>ciencias de los servicios de guardería afectan en gran medida a la participación de las mujeres en la fuerza laboral. Pese a esos problemas, el desarrollo económico en los cuatro últimos años ha propiciado un aumento en la participación de las mujeres en la fuerza laboral.</w:t>
      </w: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11.10</w:t>
      </w:r>
      <w:r>
        <w:tab/>
        <w:t>Discriminación sexual en el nombramiento para cargos estratégicos y delicados</w:t>
      </w:r>
    </w:p>
    <w:p w:rsidR="00000000" w:rsidRDefault="00000000">
      <w:pPr>
        <w:pStyle w:val="BodyText"/>
        <w:spacing w:line="120" w:lineRule="exact"/>
        <w:jc w:val="both"/>
        <w:rPr>
          <w:b/>
          <w:i/>
          <w:sz w:val="10"/>
        </w:rPr>
      </w:pPr>
    </w:p>
    <w:p w:rsidR="00000000" w:rsidRDefault="00000000">
      <w:pPr>
        <w:pStyle w:val="SingleTxt"/>
      </w:pPr>
      <w:r>
        <w:tab/>
        <w:t>No hay profesiones principales reservadas específicamente a hombres o muj</w:t>
      </w:r>
      <w:r>
        <w:t>e</w:t>
      </w:r>
      <w:r>
        <w:t>res. Sin embargo, hay casos en los que se favorece a los hombres en los nombr</w:t>
      </w:r>
      <w:r>
        <w:t>a</w:t>
      </w:r>
      <w:r>
        <w:t>mientos y en la distribución de los empleos o puestos considerados estratégicos o delicados. Entre esos empleos figuran los relativos a la inmigración, cargos intern</w:t>
      </w:r>
      <w:r>
        <w:t>a</w:t>
      </w:r>
      <w:r>
        <w:t>cionales, fuerzas armadas y de seguridad, operaciones de mantenimiento de la paz, nombramientos políticos para ministerios y organismos estratégicos, misiones de protocolo y nombramientos para comisiones presidenciales. Las razones aducidas para esa situación son las siguientes: naturaleza del empleo, que con frecuencia e</w:t>
      </w:r>
      <w:r>
        <w:t>n</w:t>
      </w:r>
      <w:r>
        <w:t>traña movilidad, traslados frecuentes y viajes muy frecuentes a menudo sin aviso previo o con poco antelación, machismo, indisponibilidad de las mujeres o ausencia de mujeres que soliciten esos empleos, horarios irregulares, estado civil y respons</w:t>
      </w:r>
      <w:r>
        <w:t>a</w:t>
      </w:r>
      <w:r>
        <w:t>bilidades consiguientes. Se puede observar una sutil discriminación sexual en los nombramientos para cargos estratégicos y delicados oculta tras las alegaciones de supuesta falta de capacidad o de méritos (mediante exámenes y entrevistas), ant</w:t>
      </w:r>
      <w:r>
        <w:t>i</w:t>
      </w:r>
      <w:r>
        <w:t>güedad y a veces consideraciones relativas a la representación de los dos sexos. Sin embargo, la situación está cambiando gradualmente, porque actualmente el Inte</w:t>
      </w:r>
      <w:r>
        <w:t>r</w:t>
      </w:r>
      <w:r>
        <w:t>ventor General de Inmigración es una mujer, el Ministro de Estado de Defensa es una mujer y ya existe una comisaria de policía.</w:t>
      </w: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11.11</w:t>
      </w:r>
      <w:r>
        <w:tab/>
        <w:t>Limitaciones de la seguridad y la salud de las mujeres embarazadas</w:t>
      </w:r>
    </w:p>
    <w:p w:rsidR="00000000" w:rsidRDefault="00000000">
      <w:pPr>
        <w:pStyle w:val="BodyText"/>
        <w:spacing w:line="120" w:lineRule="exact"/>
        <w:jc w:val="both"/>
        <w:rPr>
          <w:b/>
          <w:i/>
          <w:sz w:val="10"/>
        </w:rPr>
      </w:pPr>
    </w:p>
    <w:p w:rsidR="00000000" w:rsidRDefault="00000000">
      <w:pPr>
        <w:pStyle w:val="SingleTxt"/>
      </w:pPr>
      <w:r>
        <w:tab/>
        <w:t>Las observaciones y los hallazgos en el terreno indican que siguen existiendo límites en materia de seguridad y salud de las mujeres embarazadas, las madres y las mujeres en sus lugares de trabajo. Las más afectadas son las del sector privado, en particular en las industrias manufactureras expuestas a substancias químicas noc</w:t>
      </w:r>
      <w:r>
        <w:t>i</w:t>
      </w:r>
      <w:r>
        <w:t>vas. No se documentan los frecuentes casos de acoso sexual denunciados, por lo que no se dispone de estadísticas al respecto. No hay una ley en vigor que brinde med</w:t>
      </w:r>
      <w:r>
        <w:t>i</w:t>
      </w:r>
      <w:r>
        <w:t>das de protección en esos lugares; no existen textos, leyes, ordenanzas ni reglame</w:t>
      </w:r>
      <w:r>
        <w:t>n</w:t>
      </w:r>
      <w:r>
        <w:t>tos que garanticen la protección de esas mujeres embarazadas contra los peligros de su puesto de trabajo. Esas limitaciones se deben fundamentalmente a su nivel de p</w:t>
      </w:r>
      <w:r>
        <w:t>o</w:t>
      </w:r>
      <w:r>
        <w:t>br</w:t>
      </w:r>
      <w:r>
        <w:t>e</w:t>
      </w:r>
      <w:r>
        <w:t>za e ignorancia.</w:t>
      </w:r>
    </w:p>
    <w:p w:rsidR="00000000" w:rsidRDefault="00000000">
      <w:pPr>
        <w:pStyle w:val="BodyText"/>
        <w:spacing w:line="120" w:lineRule="exact"/>
        <w:jc w:val="both"/>
        <w:rPr>
          <w:sz w:val="10"/>
        </w:rPr>
      </w:pP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11.12</w:t>
      </w:r>
      <w:r>
        <w:tab/>
        <w:t>Factores causantes de los cambios en la situación de las mujeres en materia de empleo</w:t>
      </w:r>
    </w:p>
    <w:p w:rsidR="00000000" w:rsidRDefault="00000000">
      <w:pPr>
        <w:pStyle w:val="BodyText"/>
        <w:spacing w:line="120" w:lineRule="exact"/>
        <w:jc w:val="both"/>
        <w:rPr>
          <w:b/>
          <w:i/>
          <w:sz w:val="10"/>
        </w:rPr>
      </w:pPr>
    </w:p>
    <w:p w:rsidR="00000000" w:rsidRDefault="00000000">
      <w:pPr>
        <w:pStyle w:val="SingleTxt"/>
      </w:pPr>
      <w:r>
        <w:tab/>
        <w:t>Pese a los problemas señalados, desde la presentación del informe anterior se han registrado cambios importantes en el carácter y la calidad del empleo de las mujeres. Se deben a los siguientes factores:</w:t>
      </w:r>
    </w:p>
    <w:p w:rsidR="00000000" w:rsidRDefault="00000000">
      <w:pPr>
        <w:pStyle w:val="SingleTxt"/>
      </w:pPr>
      <w:r>
        <w:tab/>
        <w:t>-</w:t>
      </w:r>
      <w:r>
        <w:tab/>
        <w:t>Aumento del ingreso de mujeres en diversas categorías de empleo</w:t>
      </w:r>
    </w:p>
    <w:p w:rsidR="00000000" w:rsidRDefault="00000000">
      <w:pPr>
        <w:pStyle w:val="SingleTxt"/>
        <w:ind w:left="2218" w:hanging="951"/>
      </w:pPr>
      <w:r>
        <w:tab/>
        <w:t>-</w:t>
      </w:r>
      <w:r>
        <w:tab/>
        <w:t>Revisión actual de las legislaciones laborales con la consideración debida a la nec</w:t>
      </w:r>
      <w:r>
        <w:t>e</w:t>
      </w:r>
      <w:r>
        <w:t>sidad de igualdad sexual</w:t>
      </w:r>
    </w:p>
    <w:p w:rsidR="00000000" w:rsidRDefault="00000000">
      <w:pPr>
        <w:pStyle w:val="SingleTxt"/>
        <w:ind w:left="2218" w:hanging="951"/>
      </w:pPr>
      <w:r>
        <w:tab/>
        <w:t>-</w:t>
      </w:r>
      <w:r>
        <w:tab/>
        <w:t>Actividades en pro de la aplicación de medidas positivas mediante visitas de promoción, programas de sensibilización y concienciación del Mini</w:t>
      </w:r>
      <w:r>
        <w:t>s</w:t>
      </w:r>
      <w:r>
        <w:t>terio de Asuntos de la Mujer y Desarrollo de la Juventud, junto con ONG y copartíc</w:t>
      </w:r>
      <w:r>
        <w:t>i</w:t>
      </w:r>
      <w:r>
        <w:t>pes en las actividades en pro del desarrollo</w:t>
      </w:r>
    </w:p>
    <w:p w:rsidR="00000000" w:rsidRDefault="00000000">
      <w:pPr>
        <w:pStyle w:val="SingleTxt"/>
        <w:ind w:left="2218" w:hanging="951"/>
      </w:pPr>
      <w:r>
        <w:tab/>
        <w:t>-</w:t>
      </w:r>
      <w:r>
        <w:tab/>
        <w:t>El Programa Nacional para la Erradicación de la Pobreza, que imparte capacitación para la a</w:t>
      </w:r>
      <w:r>
        <w:t>d</w:t>
      </w:r>
      <w:r>
        <w:t>quisición de aptitudes a hombres y mujeres.</w:t>
      </w:r>
    </w:p>
    <w:p w:rsidR="00000000" w:rsidRDefault="00000000">
      <w:pPr>
        <w:pStyle w:val="SingleTxt"/>
        <w:ind w:left="2218" w:hanging="951"/>
      </w:pPr>
      <w:r>
        <w:tab/>
        <w:t>-</w:t>
      </w:r>
      <w:r>
        <w:tab/>
        <w:t>Capacitación en materia de aptitudes profesionales impartida por centros de des</w:t>
      </w:r>
      <w:r>
        <w:t>a</w:t>
      </w:r>
      <w:r>
        <w:t>rrollo de la mujer a escala nacional</w:t>
      </w:r>
    </w:p>
    <w:p w:rsidR="00000000" w:rsidRDefault="00000000">
      <w:pPr>
        <w:pStyle w:val="SingleTxt"/>
        <w:ind w:left="2218" w:hanging="793"/>
      </w:pPr>
      <w:r>
        <w:tab/>
        <w:t>-</w:t>
      </w:r>
      <w:r>
        <w:tab/>
        <w:t>Investigación y documentación por parte del Centro Nacional para el D</w:t>
      </w:r>
      <w:r>
        <w:t>e</w:t>
      </w:r>
      <w:r>
        <w:t>s</w:t>
      </w:r>
      <w:r>
        <w:t>a</w:t>
      </w:r>
      <w:r>
        <w:t>rrollo de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jc w:val="both"/>
        <w:rPr>
          <w:b w:val="0"/>
        </w:rPr>
      </w:pPr>
      <w:r>
        <w:tab/>
      </w:r>
      <w:r>
        <w:rPr>
          <w:b w:val="0"/>
        </w:rPr>
        <w:t>11.13</w:t>
      </w:r>
      <w:r>
        <w:rPr>
          <w:b w:val="0"/>
        </w:rPr>
        <w:tab/>
        <w:t>Varios programas de</w:t>
      </w:r>
      <w:r>
        <w:rPr>
          <w:b w:val="0"/>
          <w:i/>
        </w:rPr>
        <w:t xml:space="preserve"> </w:t>
      </w:r>
      <w:r>
        <w:rPr>
          <w:b w:val="0"/>
        </w:rPr>
        <w:t>sensibilización ejecutados por el Gobierno, las ONG y otros organismos pertinentes están teniendo repercusiones positivas en el empleo femenino del país. Las ONG han contribuido a la capacitación de las personas que ejercen la prostitución para que consigan un empleo válido. La aplicación de la Convención y de la Plataforma de Acción de Beijing ha mejorado considerablemente la condición de la mujer, ha sensibilizado sobre las cuestiones relativas a la mujer en organizaciones y también instituciones dominadas por los hombres. A consecuencia de ello, ahora se está centrando la atención en la lucha contra los obstáculos restantes para aumentar la participación femenina en la fuerza laboral.</w:t>
      </w:r>
    </w:p>
    <w:p w:rsidR="00000000" w:rsidRDefault="00000000">
      <w:pPr>
        <w:pStyle w:val="BodyText"/>
        <w:spacing w:line="120" w:lineRule="exact"/>
        <w:jc w:val="both"/>
        <w:rPr>
          <w:sz w:val="10"/>
        </w:rPr>
      </w:pPr>
    </w:p>
    <w:p w:rsidR="00000000" w:rsidRDefault="00000000">
      <w:pPr>
        <w:pStyle w:val="BodyText"/>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12.0</w:t>
      </w:r>
      <w:r>
        <w:tab/>
        <w:t>Artículo 12: Igualdad en el acceso a la atención médica</w:t>
      </w:r>
    </w:p>
    <w:p w:rsidR="00000000" w:rsidRDefault="00000000">
      <w:pPr>
        <w:pStyle w:val="BodyText"/>
        <w:spacing w:line="120" w:lineRule="exact"/>
        <w:jc w:val="both"/>
        <w:rPr>
          <w:b/>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12.1</w:t>
      </w:r>
      <w:r>
        <w:tab/>
        <w:t xml:space="preserve">Medidas adoptadas, legislativas y de otra índole </w:t>
      </w:r>
    </w:p>
    <w:p w:rsidR="00000000" w:rsidRDefault="00000000">
      <w:pPr>
        <w:pStyle w:val="BodyText"/>
        <w:spacing w:line="120" w:lineRule="exact"/>
        <w:jc w:val="both"/>
        <w:rPr>
          <w:b/>
          <w:i/>
          <w:sz w:val="10"/>
        </w:rPr>
      </w:pPr>
    </w:p>
    <w:p w:rsidR="00000000" w:rsidRDefault="00000000">
      <w:pPr>
        <w:pStyle w:val="SingleTxt"/>
      </w:pPr>
      <w:r>
        <w:tab/>
        <w:t>El artículo 12 ordena a los Estados Partes que adopten todas las medidas apr</w:t>
      </w:r>
      <w:r>
        <w:t>o</w:t>
      </w:r>
      <w:r>
        <w:t>piadas para eliminar la discriminación contra la mujer en la esfera de los servicios de atención médica, incluida la planificación de la familia. El inciso c) del párrafo 3 del artículo 17 de la Constitución de 1999 de la República Federal de Nigeria disp</w:t>
      </w:r>
      <w:r>
        <w:t>o</w:t>
      </w:r>
      <w:r>
        <w:t>ne lo s</w:t>
      </w:r>
      <w:r>
        <w:t>i</w:t>
      </w:r>
      <w:r>
        <w:t>guiente:</w:t>
      </w:r>
    </w:p>
    <w:p w:rsidR="00000000" w:rsidRDefault="00000000">
      <w:pPr>
        <w:pStyle w:val="SingleTxt"/>
        <w:ind w:left="1742"/>
      </w:pPr>
      <w:r>
        <w:t>“La política del Estado irá encaminada a asegurar la salvaguardia de la salud, la seguridad y el bienestar de todas las personas que trabajan, su protección contra toda práctica abusiva o peligrosa y la prestación de servicios médicos y sanitarios ad</w:t>
      </w:r>
      <w:r>
        <w:t>e</w:t>
      </w:r>
      <w:r>
        <w:t>cuados para todas las personas”</w:t>
      </w:r>
    </w:p>
    <w:p w:rsidR="00000000" w:rsidRDefault="00000000">
      <w:pPr>
        <w:pStyle w:val="SingleTxt"/>
      </w:pPr>
      <w:r>
        <w:tab/>
        <w:t>De conformidad con lo dispuesto en la Constitución y en la Convención en materia de salud, el Ministerio Federal de Salud, en colaboración con otros organi</w:t>
      </w:r>
      <w:r>
        <w:t>s</w:t>
      </w:r>
      <w:r>
        <w:t>mos que laboran en pro del desarrollo, ha ejecutado con ahínco programas para el adelanto de las causas de las mujeres nigerianas.</w:t>
      </w:r>
    </w:p>
    <w:p w:rsidR="00000000" w:rsidRDefault="00000000">
      <w:pPr>
        <w:pStyle w:val="SingleTxt"/>
        <w:keepNext/>
        <w:keepLines/>
      </w:pPr>
      <w:r>
        <w:tab/>
        <w:t>En el pasado reciente ha habido varias reformas de la atención médica favor</w:t>
      </w:r>
      <w:r>
        <w:t>a</w:t>
      </w:r>
      <w:r>
        <w:t>bles para las mujeres. Entre ellas, la Política Nacional de Salud Reproductiva y la Política Nacional de Alimentación y Nutrición, aprobadas en 1998, para mejorar la nutrición general y en particular la de las mujeres embarazadas y los niños. En la Política Nacional de Salud se fijó también la meta de lograr “un nivel de salud que permita a todos los nigerianos lograr vidas social y económicamente productivas”. Figuran en ella disposiciones relativas a un sistema de salud con tres niveles: prim</w:t>
      </w:r>
      <w:r>
        <w:t>a</w:t>
      </w:r>
      <w:r>
        <w:t>rio, secundario y terciario. El nivel primario se compone de centros de salud y di</w:t>
      </w:r>
      <w:r>
        <w:t>s</w:t>
      </w:r>
      <w:r>
        <w:t>pensarios, además de servicios periféricos. El nivel secundario, compuesto princ</w:t>
      </w:r>
      <w:r>
        <w:t>i</w:t>
      </w:r>
      <w:r>
        <w:t>palmente por hospitales generales, presta servicios curativos y algunos servicios preventivos, mientras que el nivel terciario presta servicios curativos más especial</w:t>
      </w:r>
      <w:r>
        <w:t>i</w:t>
      </w:r>
      <w:r>
        <w:t>zados, serv</w:t>
      </w:r>
      <w:r>
        <w:t>i</w:t>
      </w:r>
      <w:r>
        <w:t>cios de rehabilitación y reconstructivos.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jc w:val="both"/>
        <w:rPr>
          <w:b w:val="0"/>
        </w:rPr>
      </w:pPr>
      <w:r>
        <w:tab/>
      </w:r>
      <w:r>
        <w:rPr>
          <w:b w:val="0"/>
        </w:rPr>
        <w:t>12.2</w:t>
      </w:r>
      <w:r>
        <w:rPr>
          <w:b w:val="0"/>
        </w:rPr>
        <w:tab/>
        <w:t>Con el advenimiento de la gestión democrática de los asuntos públicos en mayo de 1999, el Ministerio Federal de Salud inició un proceso consultivo de formación de consenso, en el que participó una gran diversidad de interesados directos a fin de formular una estrategia para la reforma del sector de la salud. El resultado fue un plan de acción de mediano plazo para la reforma del sector de la salud en el período 2001 – 2003, encaminado a emplear una combinación de planteamientos prácticos, aumento de la financiación y movilización de recursos suplementarios procedentes de donantes para lograr mejoras tangibles en siete sectores principales, tales como atención primaria de salud, lucha contra las enfermedades, salud reproductiva y sexual (incluidos el VIH/SIDA y las enfermedades de transmisión sexual), producción de medicamentos para la asistencia secundaria y terciaria, coordinación de la gestión con los copartícipes en las tareas de desarrollo y organ</w:t>
      </w:r>
      <w:r>
        <w:rPr>
          <w:b w:val="0"/>
        </w:rPr>
        <w:t>i</w:t>
      </w:r>
      <w:r>
        <w:rPr>
          <w:b w:val="0"/>
        </w:rPr>
        <w:t>zación y gestión.</w:t>
      </w: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12.3</w:t>
      </w:r>
      <w:r>
        <w:tab/>
        <w:t xml:space="preserve">Avances reales logrados para garantizar la eliminación de la discriminación </w:t>
      </w: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contra la mujer en el sector de la salud</w:t>
      </w:r>
    </w:p>
    <w:p w:rsidR="00000000" w:rsidRDefault="00000000">
      <w:pPr>
        <w:pStyle w:val="BodyText"/>
        <w:spacing w:line="120" w:lineRule="exact"/>
        <w:jc w:val="both"/>
        <w:rPr>
          <w:b/>
          <w:i/>
          <w:sz w:val="10"/>
        </w:rPr>
      </w:pPr>
    </w:p>
    <w:p w:rsidR="00000000" w:rsidRDefault="00000000">
      <w:pPr>
        <w:pStyle w:val="SingleTxt"/>
      </w:pPr>
      <w:r>
        <w:tab/>
        <w:t>Los datos globales indican que en 1999 había 18.258 servicios de atención primaria de salud en todo el país, 3.275 servicios de asistencia secundaria y 29 se</w:t>
      </w:r>
      <w:r>
        <w:t>r</w:t>
      </w:r>
      <w:r>
        <w:t>vicios de asistencia terciaria. El sector público representaba el 67 por ciento de los servicios de atención primaria de salud, el 25 por ciento de los servicios secundarios y todos los servicios terciarios menos uno. Sin embargo, ese número es insuficiente, dada la población del país y su crec</w:t>
      </w:r>
      <w:r>
        <w:t>i</w:t>
      </w:r>
      <w:r>
        <w:t>miento.</w:t>
      </w: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12.4</w:t>
      </w:r>
      <w:r>
        <w:tab/>
        <w:t>Mortalidad y morbilidad maternas</w:t>
      </w:r>
    </w:p>
    <w:p w:rsidR="00000000" w:rsidRDefault="00000000">
      <w:pPr>
        <w:pStyle w:val="BodyText"/>
        <w:spacing w:line="120" w:lineRule="exact"/>
        <w:jc w:val="both"/>
        <w:rPr>
          <w:b/>
          <w:i/>
          <w:sz w:val="10"/>
        </w:rPr>
      </w:pPr>
    </w:p>
    <w:p w:rsidR="00000000" w:rsidRDefault="00000000">
      <w:pPr>
        <w:pStyle w:val="SingleTxt"/>
      </w:pPr>
      <w:r>
        <w:tab/>
        <w:t>Las relaciones de mortalidad y morbilidad maternas son los indicadores princ</w:t>
      </w:r>
      <w:r>
        <w:t>i</w:t>
      </w:r>
      <w:r>
        <w:t>pales para la evaluación de la supervivencia de las mujeres. La relación de mortal</w:t>
      </w:r>
      <w:r>
        <w:t>i</w:t>
      </w:r>
      <w:r>
        <w:t>dad materna es el número de defunciones maternas por 100.000 nacidos vivos. En el cuadro 12.1, según la encuesta agrupada de indicadores múltiples de 1999, se ca</w:t>
      </w:r>
      <w:r>
        <w:t>l</w:t>
      </w:r>
      <w:r>
        <w:t>cula la relación de maternidad materna en 704 por 100.000 nacidos vivos.  Eso si</w:t>
      </w:r>
      <w:r>
        <w:t>g</w:t>
      </w:r>
      <w:r>
        <w:t>nifica que cada tres minutos, aproximadamente, muere una mujer en Nigeria a co</w:t>
      </w:r>
      <w:r>
        <w:t>n</w:t>
      </w:r>
      <w:r>
        <w:t>secuencia de complicaciones del parto. El cuadro revela también enormes disparid</w:t>
      </w:r>
      <w:r>
        <w:t>a</w:t>
      </w:r>
      <w:r>
        <w:t>des en materia de relación de mortalidad materna entre las zonas urbanas y rurales y entre las zonas geopolíticas y que en las zonas rurales la relación de mortalidad m</w:t>
      </w:r>
      <w:r>
        <w:t>a</w:t>
      </w:r>
      <w:r>
        <w:t>terna es más del doble (828 por 100.000 nacidos vivos) de la de las zonas urbanas (351 por 100.000 nacidos vivos).</w:t>
      </w:r>
    </w:p>
    <w:p w:rsidR="00000000" w:rsidRDefault="00000000">
      <w:pPr>
        <w:pStyle w:val="BodyText"/>
        <w:spacing w:line="120" w:lineRule="exact"/>
        <w:ind w:left="705"/>
        <w:jc w:val="both"/>
        <w:rPr>
          <w:sz w:val="10"/>
        </w:rPr>
      </w:pPr>
    </w:p>
    <w:p w:rsidR="00000000" w:rsidRDefault="00000000">
      <w:pPr>
        <w:pStyle w:val="BodyText"/>
        <w:spacing w:line="120" w:lineRule="exact"/>
        <w:ind w:left="705"/>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ab/>
      </w:r>
      <w:r>
        <w:rPr>
          <w:b w:val="0"/>
        </w:rPr>
        <w:tab/>
        <w:t xml:space="preserve">Cuadro 12.1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Relación de mortalidad materna en determinadas zonas de Nigeria</w:t>
      </w:r>
    </w:p>
    <w:p w:rsidR="00000000" w:rsidRDefault="00000000">
      <w:pPr>
        <w:pStyle w:val="BodyText"/>
        <w:spacing w:line="120" w:lineRule="exact"/>
        <w:ind w:left="705"/>
        <w:jc w:val="both"/>
        <w:rPr>
          <w:b/>
          <w:sz w:val="10"/>
          <w:u w:val="single"/>
        </w:rPr>
      </w:pPr>
    </w:p>
    <w:tbl>
      <w:tblPr>
        <w:tblW w:w="0" w:type="auto"/>
        <w:tblInd w:w="1161" w:type="dxa"/>
        <w:tblLayout w:type="fixed"/>
        <w:tblLook w:val="0000" w:firstRow="0" w:lastRow="0" w:firstColumn="0" w:lastColumn="0" w:noHBand="0" w:noVBand="0"/>
      </w:tblPr>
      <w:tblGrid>
        <w:gridCol w:w="5231"/>
        <w:gridCol w:w="2089"/>
      </w:tblGrid>
      <w:tr w:rsidR="00000000">
        <w:tblPrEx>
          <w:tblCellMar>
            <w:top w:w="0" w:type="dxa"/>
            <w:bottom w:w="0" w:type="dxa"/>
          </w:tblCellMar>
        </w:tblPrEx>
        <w:trPr>
          <w:tblHeader/>
        </w:trPr>
        <w:tc>
          <w:tcPr>
            <w:tcW w:w="5231" w:type="dxa"/>
            <w:tcBorders>
              <w:top w:val="single" w:sz="4" w:space="0" w:color="auto"/>
            </w:tcBorders>
            <w:vAlign w:val="bottom"/>
          </w:tcPr>
          <w:p w:rsidR="00000000" w:rsidRDefault="00000000">
            <w:pPr>
              <w:pStyle w:val="BodyText"/>
              <w:spacing w:before="80" w:after="80" w:line="160" w:lineRule="exact"/>
              <w:ind w:right="40"/>
              <w:jc w:val="left"/>
              <w:rPr>
                <w:i/>
                <w:sz w:val="14"/>
              </w:rPr>
            </w:pPr>
            <w:r>
              <w:rPr>
                <w:i/>
                <w:sz w:val="14"/>
              </w:rPr>
              <w:t>Ubicación</w:t>
            </w:r>
          </w:p>
        </w:tc>
        <w:tc>
          <w:tcPr>
            <w:tcW w:w="2089"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 xml:space="preserve">Relación de mortalidad materna </w:t>
            </w:r>
            <w:r>
              <w:rPr>
                <w:i/>
                <w:sz w:val="14"/>
              </w:rPr>
              <w:br/>
              <w:t>(por 1000.000 nacidos vivos)</w:t>
            </w:r>
          </w:p>
        </w:tc>
      </w:tr>
      <w:tr w:rsidR="00000000">
        <w:tblPrEx>
          <w:tblCellMar>
            <w:top w:w="0" w:type="dxa"/>
            <w:bottom w:w="0" w:type="dxa"/>
          </w:tblCellMar>
        </w:tblPrEx>
        <w:trPr>
          <w:trHeight w:hRule="exact" w:val="115"/>
          <w:tblHeader/>
        </w:trPr>
        <w:tc>
          <w:tcPr>
            <w:tcW w:w="5231" w:type="dxa"/>
            <w:tcBorders>
              <w:top w:val="single" w:sz="12" w:space="0" w:color="auto"/>
            </w:tcBorders>
            <w:vAlign w:val="bottom"/>
          </w:tcPr>
          <w:p w:rsidR="00000000" w:rsidRDefault="00000000">
            <w:pPr>
              <w:pStyle w:val="BodyText"/>
              <w:spacing w:before="40" w:after="40" w:line="210" w:lineRule="exact"/>
              <w:ind w:right="40"/>
              <w:jc w:val="both"/>
              <w:rPr>
                <w:sz w:val="17"/>
              </w:rPr>
            </w:pPr>
          </w:p>
        </w:tc>
        <w:tc>
          <w:tcPr>
            <w:tcW w:w="2089" w:type="dxa"/>
            <w:tcBorders>
              <w:top w:val="single" w:sz="12" w:space="0" w:color="auto"/>
            </w:tcBorders>
            <w:vAlign w:val="bottom"/>
          </w:tcPr>
          <w:p w:rsidR="00000000" w:rsidRDefault="00000000">
            <w:pPr>
              <w:pStyle w:val="BodyText"/>
              <w:spacing w:before="40" w:after="40" w:line="210" w:lineRule="exact"/>
              <w:ind w:right="40"/>
              <w:jc w:val="right"/>
              <w:rPr>
                <w:sz w:val="17"/>
              </w:rPr>
            </w:pPr>
          </w:p>
        </w:tc>
      </w:tr>
      <w:tr w:rsidR="00000000">
        <w:tblPrEx>
          <w:tblCellMar>
            <w:top w:w="0" w:type="dxa"/>
            <w:bottom w:w="0" w:type="dxa"/>
          </w:tblCellMar>
        </w:tblPrEx>
        <w:tc>
          <w:tcPr>
            <w:tcW w:w="5231"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Nacional</w:t>
            </w:r>
          </w:p>
        </w:tc>
        <w:tc>
          <w:tcPr>
            <w:tcW w:w="208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 xml:space="preserve">   707</w:t>
            </w:r>
          </w:p>
        </w:tc>
      </w:tr>
      <w:tr w:rsidR="00000000">
        <w:tblPrEx>
          <w:tblCellMar>
            <w:top w:w="0" w:type="dxa"/>
            <w:bottom w:w="0" w:type="dxa"/>
          </w:tblCellMar>
        </w:tblPrEx>
        <w:tc>
          <w:tcPr>
            <w:tcW w:w="5231"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Zona sudoccidental</w:t>
            </w:r>
          </w:p>
        </w:tc>
        <w:tc>
          <w:tcPr>
            <w:tcW w:w="208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 xml:space="preserve">   165</w:t>
            </w:r>
          </w:p>
        </w:tc>
      </w:tr>
      <w:tr w:rsidR="00000000">
        <w:tblPrEx>
          <w:tblCellMar>
            <w:top w:w="0" w:type="dxa"/>
            <w:bottom w:w="0" w:type="dxa"/>
          </w:tblCellMar>
        </w:tblPrEx>
        <w:tc>
          <w:tcPr>
            <w:tcW w:w="5231"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Zona Sudoriental</w:t>
            </w:r>
          </w:p>
        </w:tc>
        <w:tc>
          <w:tcPr>
            <w:tcW w:w="208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 xml:space="preserve">   286</w:t>
            </w:r>
          </w:p>
        </w:tc>
      </w:tr>
      <w:tr w:rsidR="00000000">
        <w:tblPrEx>
          <w:tblCellMar>
            <w:top w:w="0" w:type="dxa"/>
            <w:bottom w:w="0" w:type="dxa"/>
          </w:tblCellMar>
        </w:tblPrEx>
        <w:tc>
          <w:tcPr>
            <w:tcW w:w="5231"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Zona noroccidental</w:t>
            </w:r>
          </w:p>
        </w:tc>
        <w:tc>
          <w:tcPr>
            <w:tcW w:w="208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1 025</w:t>
            </w:r>
          </w:p>
        </w:tc>
      </w:tr>
      <w:tr w:rsidR="00000000">
        <w:tblPrEx>
          <w:tblCellMar>
            <w:top w:w="0" w:type="dxa"/>
            <w:bottom w:w="0" w:type="dxa"/>
          </w:tblCellMar>
        </w:tblPrEx>
        <w:tc>
          <w:tcPr>
            <w:tcW w:w="5231"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Zona nororiental</w:t>
            </w:r>
          </w:p>
        </w:tc>
        <w:tc>
          <w:tcPr>
            <w:tcW w:w="208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1 549</w:t>
            </w:r>
          </w:p>
        </w:tc>
      </w:tr>
      <w:tr w:rsidR="00000000">
        <w:tblPrEx>
          <w:tblCellMar>
            <w:top w:w="0" w:type="dxa"/>
            <w:bottom w:w="0" w:type="dxa"/>
          </w:tblCellMar>
        </w:tblPrEx>
        <w:tc>
          <w:tcPr>
            <w:tcW w:w="5231"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Urbana</w:t>
            </w:r>
          </w:p>
        </w:tc>
        <w:tc>
          <w:tcPr>
            <w:tcW w:w="2089"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 xml:space="preserve">   351</w:t>
            </w:r>
          </w:p>
        </w:tc>
      </w:tr>
      <w:tr w:rsidR="00000000">
        <w:tblPrEx>
          <w:tblCellMar>
            <w:top w:w="0" w:type="dxa"/>
            <w:bottom w:w="0" w:type="dxa"/>
          </w:tblCellMar>
        </w:tblPrEx>
        <w:tc>
          <w:tcPr>
            <w:tcW w:w="5231"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Rural</w:t>
            </w:r>
          </w:p>
        </w:tc>
        <w:tc>
          <w:tcPr>
            <w:tcW w:w="2089"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 xml:space="preserve">   828</w:t>
            </w:r>
          </w:p>
        </w:tc>
      </w:tr>
    </w:tbl>
    <w:p w:rsidR="00000000" w:rsidRDefault="00000000">
      <w:pPr>
        <w:pStyle w:val="BodyText"/>
        <w:spacing w:line="120" w:lineRule="exact"/>
        <w:ind w:left="708"/>
        <w:jc w:val="both"/>
        <w:rPr>
          <w:b/>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MICS, 1999 Oficina Federal de Estadística/UNICEF.</w:t>
      </w:r>
    </w:p>
    <w:p w:rsidR="00000000" w:rsidRDefault="00000000">
      <w:pPr>
        <w:pStyle w:val="BodyText"/>
        <w:spacing w:line="120" w:lineRule="exact"/>
        <w:ind w:left="1416"/>
        <w:jc w:val="both"/>
        <w:rPr>
          <w:sz w:val="10"/>
        </w:rPr>
      </w:pPr>
    </w:p>
    <w:p w:rsidR="00000000" w:rsidRDefault="00000000">
      <w:pPr>
        <w:pStyle w:val="BodyText"/>
        <w:spacing w:line="120" w:lineRule="exact"/>
        <w:ind w:left="1416"/>
        <w:jc w:val="both"/>
        <w:rPr>
          <w:sz w:val="10"/>
        </w:rPr>
      </w:pPr>
    </w:p>
    <w:p w:rsidR="00000000" w:rsidRDefault="00000000">
      <w:pPr>
        <w:pStyle w:val="SingleTxt"/>
      </w:pPr>
      <w:r>
        <w:tab/>
        <w:t>Las causas principales de la mortalidad materna, mostradas en la figura 12.1, son las hemorragias (23 por ciento),  la septicemia (17 por ciento), el paludismo, la anemia, el aborto, CDP y la toximia (representan el 11 por ciento cada uno) y otras (5 por ciento). En esta figura se ven también las causas principales de las muertes mate</w:t>
      </w:r>
      <w:r>
        <w:t>r</w:t>
      </w:r>
      <w:r>
        <w:t>nas.</w:t>
      </w:r>
    </w:p>
    <w:p w:rsidR="00000000" w:rsidRDefault="00000000">
      <w:pPr>
        <w:pStyle w:val="BodyText"/>
        <w:spacing w:line="120" w:lineRule="exact"/>
        <w:ind w:left="1416"/>
        <w:jc w:val="both"/>
        <w:rPr>
          <w:sz w:val="10"/>
        </w:rPr>
      </w:pPr>
    </w:p>
    <w:p w:rsidR="00000000" w:rsidRDefault="00000000">
      <w:pPr>
        <w:pStyle w:val="BodyText"/>
        <w:spacing w:line="120" w:lineRule="exact"/>
        <w:ind w:left="1416"/>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ab/>
      </w:r>
      <w:r>
        <w:rPr>
          <w:b w:val="0"/>
        </w:rPr>
        <w:tab/>
        <w:t xml:space="preserve">Figura 12.1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Causas principales de mortalidad materna</w:t>
      </w:r>
    </w:p>
    <w:p w:rsidR="00000000" w:rsidRDefault="00000000">
      <w:pPr>
        <w:pStyle w:val="BodyText"/>
        <w:spacing w:line="120" w:lineRule="exact"/>
        <w:ind w:left="708"/>
        <w:jc w:val="both"/>
        <w:rPr>
          <w:sz w:val="10"/>
        </w:rPr>
      </w:pPr>
      <w:r>
        <w:rPr>
          <w:noProof/>
          <w:sz w:val="20"/>
        </w:rPr>
        <w:pict>
          <v:group id="_x0000_s2768" style="position:absolute;left:0;text-align:left;margin-left:62.7pt;margin-top:4.8pt;width:320.2pt;height:147.9pt;z-index:5" coordorigin="2449,8928" coordsize="6404,2958" o:allowincell="f">
            <v:rect id="_x0000_s2706" style="position:absolute;left:2449;top:8928;width:6404;height:2925" fillcolor="#b8b8b8" strokeweight="0">
              <v:fill color2="black"/>
              <v:stroke color2="black"/>
              <v:textbox inset=",.72pt,,.72pt"/>
            </v:rect>
            <v:rect id="_x0000_s2707" style="position:absolute;left:2989;top:9426;width:4859;height:1110" fillcolor="silver" stroked="f">
              <v:fill color2="black"/>
            </v:rect>
            <v:line id="_x0000_s2708" style="position:absolute" from="2989,10311" to="7848,10312" strokeweight="0">
              <v:stroke color2="#b8b8b8"/>
            </v:line>
            <v:line id="_x0000_s2709" style="position:absolute" from="2989,10086" to="7848,10087" strokeweight="0">
              <v:stroke color2="#b8b8b8"/>
            </v:line>
            <v:line id="_x0000_s2710" style="position:absolute" from="2989,9876" to="7848,9877" strokeweight="0">
              <v:stroke color2="#b8b8b8"/>
            </v:line>
            <v:line id="_x0000_s2711" style="position:absolute" from="2989,9651" to="7848,9652" strokeweight="0">
              <v:stroke color2="#b8b8b8"/>
            </v:line>
            <v:line id="_x0000_s2712" style="position:absolute" from="2989,9426" to="7848,9427" strokeweight="0">
              <v:stroke color2="#b8b8b8"/>
            </v:line>
            <v:rect id="_x0000_s2713" style="position:absolute;left:2989;top:9426;width:4859;height:1110" filled="f" strokecolor="gray">
              <v:stroke color2="#b8b8b8"/>
            </v:rect>
            <v:line id="_x0000_s2714" style="position:absolute" from="2989,9426" to="2990,10536" strokeweight="0">
              <v:stroke color2="#b8b8b8"/>
            </v:line>
            <v:line id="_x0000_s2715" style="position:absolute" from="2929,10536" to="2989,10537" strokeweight="0">
              <v:stroke color2="#b8b8b8"/>
            </v:line>
            <v:line id="_x0000_s2716" style="position:absolute" from="2929,10311" to="2989,10312" strokeweight="0">
              <v:stroke color2="#b8b8b8"/>
            </v:line>
            <v:line id="_x0000_s2717" style="position:absolute" from="2929,10086" to="2989,10087" strokeweight="0">
              <v:stroke color2="#b8b8b8"/>
            </v:line>
            <v:line id="_x0000_s2718" style="position:absolute" from="2929,9876" to="2989,9877" strokeweight="0">
              <v:stroke color2="#b8b8b8"/>
            </v:line>
            <v:line id="_x0000_s2719" style="position:absolute" from="2929,9651" to="2989,9652" strokeweight="0">
              <v:stroke color2="#b8b8b8"/>
            </v:line>
            <v:line id="_x0000_s2720" style="position:absolute" from="2929,9426" to="2989,9427" strokeweight="0">
              <v:stroke color2="#b8b8b8"/>
            </v:line>
            <v:line id="_x0000_s2721" style="position:absolute" from="2989,10536" to="7848,10537" strokeweight="0">
              <v:stroke color2="#b8b8b8"/>
            </v:line>
            <v:line id="_x0000_s2722" style="position:absolute;flip:y" from="2989,10536" to="2990,10596" strokeweight="0">
              <v:stroke color2="#b8b8b8"/>
            </v:line>
            <v:line id="_x0000_s2723" style="position:absolute;flip:y" from="3604,10536" to="3605,10596" strokeweight="0">
              <v:stroke color2="#b8b8b8"/>
            </v:line>
            <v:line id="_x0000_s2724" style="position:absolute;flip:y" from="4204,10536" to="4205,10596" strokeweight="0">
              <v:stroke color2="#b8b8b8"/>
            </v:line>
            <v:line id="_x0000_s2725" style="position:absolute;flip:y" from="4819,10536" to="4820,10596" strokeweight="0">
              <v:stroke color2="#b8b8b8"/>
            </v:line>
            <v:line id="_x0000_s2726" style="position:absolute;flip:y" from="5419,10536" to="5420,10596" strokeweight="0">
              <v:stroke color2="#b8b8b8"/>
            </v:line>
            <v:line id="_x0000_s2727" style="position:absolute;flip:y" from="6033,10536" to="6034,10596" strokeweight="0">
              <v:stroke color2="#b8b8b8"/>
            </v:line>
            <v:line id="_x0000_s2728" style="position:absolute;flip:y" from="6633,10536" to="6634,10596" strokeweight="0">
              <v:stroke color2="#b8b8b8"/>
            </v:line>
            <v:line id="_x0000_s2729" style="position:absolute;flip:y" from="7248,10536" to="7249,10596" strokeweight="0">
              <v:stroke color2="#b8b8b8"/>
            </v:line>
            <v:line id="_x0000_s2730" style="position:absolute;flip:y" from="7848,10536" to="7849,10596" strokeweight="0">
              <v:stroke color2="#b8b8b8"/>
            </v:line>
            <v:line id="_x0000_s2731" style="position:absolute" from="3289,9516" to="3904,9786" strokecolor="fuchsia">
              <v:stroke color2="#b8b8b8"/>
            </v:line>
            <v:line id="_x0000_s2732" style="position:absolute" from="3904,9786" to="4504,10041" strokecolor="fuchsia">
              <v:stroke color2="#b8b8b8"/>
            </v:line>
            <v:line id="_x0000_s2733" style="position:absolute" from="4504,10041" to="5119,10042" strokecolor="fuchsia">
              <v:stroke color2="#b8b8b8"/>
            </v:line>
            <v:line id="_x0000_s2734" style="position:absolute" from="5119,10041" to="5718,10042" strokecolor="fuchsia">
              <v:stroke color2="#b8b8b8"/>
            </v:line>
            <v:line id="_x0000_s2735" style="position:absolute" from="5718,10041" to="6333,10042" strokecolor="fuchsia">
              <v:stroke color2="#b8b8b8"/>
            </v:line>
            <v:line id="_x0000_s2736" style="position:absolute" from="6333,10041" to="6933,10042" strokecolor="fuchsia">
              <v:stroke color2="#b8b8b8"/>
            </v:line>
            <v:line id="_x0000_s2737" style="position:absolute" from="6933,10041" to="7548,10311" strokecolor="fuchsia">
              <v:stroke color2="#b8b8b8"/>
            </v:line>
            <v:rect id="_x0000_s2738" style="position:absolute;left:3244;top:9471;width:90;height:90" fillcolor="fuchsia" strokecolor="fuchsia">
              <v:fill color2="black"/>
              <v:stroke color2="black"/>
            </v:rect>
            <v:rect id="_x0000_s2739" style="position:absolute;left:3859;top:9741;width:90;height:90" fillcolor="fuchsia" strokecolor="fuchsia">
              <v:fill color2="black"/>
              <v:stroke color2="black"/>
            </v:rect>
            <v:rect id="_x0000_s2740" style="position:absolute;left:4459;top:9996;width:90;height:90" fillcolor="fuchsia" strokecolor="fuchsia">
              <v:fill color2="black"/>
              <v:stroke color2="black"/>
            </v:rect>
            <v:rect id="_x0000_s2741" style="position:absolute;left:5074;top:9996;width:90;height:90" fillcolor="fuchsia" strokecolor="fuchsia">
              <v:fill color2="black"/>
              <v:stroke color2="black"/>
            </v:rect>
            <v:rect id="_x0000_s2742" style="position:absolute;left:5673;top:9996;width:90;height:90" fillcolor="fuchsia" strokecolor="fuchsia">
              <v:fill color2="black"/>
              <v:stroke color2="black"/>
            </v:rect>
            <v:rect id="_x0000_s2743" style="position:absolute;left:6288;top:9996;width:90;height:90" fillcolor="fuchsia" strokecolor="fuchsia">
              <v:fill color2="black"/>
              <v:stroke color2="black"/>
            </v:rect>
            <v:rect id="_x0000_s2744" style="position:absolute;left:6888;top:9996;width:90;height:90" fillcolor="fuchsia" strokecolor="fuchsia">
              <v:fill color2="black"/>
              <v:stroke color2="black"/>
            </v:rect>
            <v:rect id="_x0000_s2745" style="position:absolute;left:7503;top:10266;width:90;height:90" fillcolor="fuchsia" strokecolor="fuchsia">
              <v:fill color2="black"/>
              <v:stroke color2="black"/>
            </v:rect>
            <v:rect id="_x0000_s2746" style="position:absolute;left:2734;top:10416;width:180;height:270" filled="f" stroked="f">
              <v:textbox style="mso-next-textbox:#_x0000_s2746;mso-rotate-with-shape:t" inset="0,0,0,0">
                <w:txbxContent>
                  <w:p w:rsidR="00000000" w:rsidRDefault="00000000">
                    <w:r>
                      <w:rPr>
                        <w:rFonts w:ascii="Arial" w:hAnsi="Arial"/>
                        <w:snapToGrid w:val="0"/>
                        <w:color w:val="000000"/>
                        <w:sz w:val="18"/>
                        <w:lang w:val="en-US" w:eastAsia="en-US"/>
                      </w:rPr>
                      <w:t>0</w:t>
                    </w:r>
                  </w:p>
                </w:txbxContent>
              </v:textbox>
            </v:rect>
            <v:rect id="_x0000_s2747" style="position:absolute;left:2734;top:10191;width:180;height:270" filled="f" stroked="f">
              <v:textbox style="mso-next-textbox:#_x0000_s2747;mso-rotate-with-shape:t" inset="0,0,0,0">
                <w:txbxContent>
                  <w:p w:rsidR="00000000" w:rsidRDefault="00000000">
                    <w:r>
                      <w:rPr>
                        <w:rFonts w:ascii="Arial" w:hAnsi="Arial"/>
                        <w:snapToGrid w:val="0"/>
                        <w:color w:val="000000"/>
                        <w:sz w:val="18"/>
                        <w:lang w:val="en-US" w:eastAsia="en-US"/>
                      </w:rPr>
                      <w:t>5</w:t>
                    </w:r>
                  </w:p>
                </w:txbxContent>
              </v:textbox>
            </v:rect>
            <v:rect id="_x0000_s2748" style="position:absolute;left:2629;top:9966;width:285;height:270" filled="f" stroked="f">
              <v:textbox style="mso-next-textbox:#_x0000_s2748;mso-rotate-with-shape:t" inset="0,0,0,0">
                <w:txbxContent>
                  <w:p w:rsidR="00000000" w:rsidRDefault="00000000">
                    <w:r>
                      <w:rPr>
                        <w:rFonts w:ascii="Arial" w:hAnsi="Arial"/>
                        <w:snapToGrid w:val="0"/>
                        <w:color w:val="000000"/>
                        <w:sz w:val="18"/>
                        <w:lang w:val="en-US" w:eastAsia="en-US"/>
                      </w:rPr>
                      <w:t>10</w:t>
                    </w:r>
                  </w:p>
                </w:txbxContent>
              </v:textbox>
            </v:rect>
            <v:rect id="_x0000_s2749" style="position:absolute;left:2629;top:9756;width:285;height:270" filled="f" stroked="f">
              <v:textbox style="mso-next-textbox:#_x0000_s2749;mso-rotate-with-shape:t" inset="0,0,0,0">
                <w:txbxContent>
                  <w:p w:rsidR="00000000" w:rsidRDefault="00000000">
                    <w:r>
                      <w:rPr>
                        <w:rFonts w:ascii="Arial" w:hAnsi="Arial"/>
                        <w:snapToGrid w:val="0"/>
                        <w:color w:val="000000"/>
                        <w:sz w:val="18"/>
                        <w:lang w:val="en-US" w:eastAsia="en-US"/>
                      </w:rPr>
                      <w:t>15</w:t>
                    </w:r>
                  </w:p>
                </w:txbxContent>
              </v:textbox>
            </v:rect>
            <v:rect id="_x0000_s2750" style="position:absolute;left:2629;top:9531;width:285;height:270" filled="f" stroked="f">
              <v:textbox style="mso-next-textbox:#_x0000_s2750;mso-rotate-with-shape:t" inset="0,0,0,0">
                <w:txbxContent>
                  <w:p w:rsidR="00000000" w:rsidRDefault="00000000">
                    <w:r>
                      <w:rPr>
                        <w:rFonts w:ascii="Arial" w:hAnsi="Arial"/>
                        <w:snapToGrid w:val="0"/>
                        <w:color w:val="000000"/>
                        <w:sz w:val="18"/>
                        <w:lang w:val="en-US" w:eastAsia="en-US"/>
                      </w:rPr>
                      <w:t>20</w:t>
                    </w:r>
                  </w:p>
                </w:txbxContent>
              </v:textbox>
            </v:rect>
            <v:rect id="_x0000_s2751" style="position:absolute;left:2629;top:9306;width:285;height:270" filled="f" stroked="f">
              <v:textbox style="mso-next-textbox:#_x0000_s2751;mso-rotate-with-shape:t" inset="0,0,0,0">
                <w:txbxContent>
                  <w:p w:rsidR="00000000" w:rsidRDefault="00000000">
                    <w:r>
                      <w:rPr>
                        <w:rFonts w:ascii="Arial" w:hAnsi="Arial"/>
                        <w:snapToGrid w:val="0"/>
                        <w:color w:val="000000"/>
                        <w:sz w:val="18"/>
                        <w:lang w:val="en-US" w:eastAsia="en-US"/>
                      </w:rPr>
                      <w:t>25</w:t>
                    </w:r>
                  </w:p>
                </w:txbxContent>
              </v:textbox>
            </v:rect>
            <v:rect id="_x0000_s2752" style="position:absolute;left:2688;top:10953;width:1230;height:270;rotation:270" filled="f" stroked="f">
              <v:textbox style="layout-flow:vertical;mso-layout-flow-alt:bottom-to-top;mso-next-textbox:#_x0000_s2752;mso-rotate-with-shape:t" inset="0,.72pt,0,.72pt">
                <w:txbxContent>
                  <w:p w:rsidR="00000000" w:rsidRDefault="00000000">
                    <w:pPr>
                      <w:jc w:val="right"/>
                    </w:pPr>
                    <w:r>
                      <w:rPr>
                        <w:rFonts w:ascii="Arial" w:hAnsi="Arial"/>
                        <w:snapToGrid w:val="0"/>
                        <w:color w:val="000000"/>
                        <w:sz w:val="18"/>
                        <w:lang w:val="en-US" w:eastAsia="en-US"/>
                      </w:rPr>
                      <w:t>Hemorragias</w:t>
                    </w:r>
                  </w:p>
                </w:txbxContent>
              </v:textbox>
            </v:rect>
            <v:rect id="_x0000_s2753" style="position:absolute;left:3305;top:10905;width:1241;height:286;rotation:270" filled="f" stroked="f">
              <v:textbox style="layout-flow:vertical;mso-layout-flow-alt:bottom-to-top;mso-next-textbox:#_x0000_s2753;mso-rotate-with-shape:t" inset="0,.72pt,0,.72pt">
                <w:txbxContent>
                  <w:p w:rsidR="00000000" w:rsidRDefault="00000000">
                    <w:pPr>
                      <w:jc w:val="right"/>
                    </w:pPr>
                    <w:r>
                      <w:rPr>
                        <w:rFonts w:ascii="Arial" w:hAnsi="Arial"/>
                        <w:snapToGrid w:val="0"/>
                        <w:color w:val="000000"/>
                        <w:sz w:val="18"/>
                        <w:lang w:val="en-US" w:eastAsia="en-US"/>
                      </w:rPr>
                      <w:t>Septicemia</w:t>
                    </w:r>
                  </w:p>
                </w:txbxContent>
              </v:textbox>
            </v:rect>
            <v:rect id="_x0000_s2754" style="position:absolute;left:3833;top:10960;width:1199;height:225;rotation:270" filled="f" stroked="f">
              <v:textbox style="layout-flow:vertical;mso-layout-flow-alt:bottom-to-top;mso-next-textbox:#_x0000_s2754;mso-rotate-with-shape:t" inset="0,.72pt,0,.72pt">
                <w:txbxContent>
                  <w:p w:rsidR="00000000" w:rsidRDefault="00000000">
                    <w:pPr>
                      <w:jc w:val="right"/>
                    </w:pPr>
                    <w:r>
                      <w:rPr>
                        <w:rFonts w:ascii="Arial" w:hAnsi="Arial"/>
                        <w:snapToGrid w:val="0"/>
                        <w:color w:val="000000"/>
                        <w:sz w:val="18"/>
                        <w:lang w:val="en-US" w:eastAsia="en-US"/>
                      </w:rPr>
                      <w:t>Paludismo</w:t>
                    </w:r>
                  </w:p>
                </w:txbxContent>
              </v:textbox>
            </v:rect>
            <v:rect id="_x0000_s2755" style="position:absolute;left:4770;top:10743;width:810;height:270;rotation:270" filled="f" stroked="f">
              <v:textbox style="layout-flow:vertical;mso-layout-flow-alt:bottom-to-top;mso-next-textbox:#_x0000_s2755;mso-rotate-with-shape:t" inset="0,.72pt,0,.72pt">
                <w:txbxContent>
                  <w:p w:rsidR="00000000" w:rsidRDefault="00000000">
                    <w:r>
                      <w:rPr>
                        <w:rFonts w:ascii="Arial" w:hAnsi="Arial"/>
                        <w:snapToGrid w:val="0"/>
                        <w:color w:val="000000"/>
                        <w:sz w:val="18"/>
                        <w:lang w:val="en-US" w:eastAsia="en-US"/>
                      </w:rPr>
                      <w:t>Anemia</w:t>
                    </w:r>
                  </w:p>
                </w:txbxContent>
              </v:textbox>
            </v:rect>
            <v:rect id="_x0000_s2756" style="position:absolute;left:5518;top:10571;width:465;height:270;rotation:270" filled="f" stroked="f">
              <v:textbox style="layout-flow:vertical;mso-layout-flow-alt:bottom-to-top;mso-next-textbox:#_x0000_s2756;mso-rotate-with-shape:t" inset="0,.72pt,0,.72pt">
                <w:txbxContent>
                  <w:p w:rsidR="00000000" w:rsidRDefault="00000000">
                    <w:r>
                      <w:rPr>
                        <w:rFonts w:ascii="Arial" w:hAnsi="Arial"/>
                        <w:snapToGrid w:val="0"/>
                        <w:color w:val="000000"/>
                        <w:sz w:val="18"/>
                        <w:lang w:val="en-US" w:eastAsia="en-US"/>
                      </w:rPr>
                      <w:t>CPD</w:t>
                    </w:r>
                  </w:p>
                </w:txbxContent>
              </v:textbox>
            </v:rect>
            <v:rect id="_x0000_s2757" style="position:absolute;left:5633;top:10817;width:1296;height:607;rotation:270" filled="f" stroked="f">
              <v:textbox style="layout-flow:vertical;mso-layout-flow-alt:bottom-to-top;mso-next-textbox:#_x0000_s2757;mso-rotate-with-shape:t" inset="0,.72pt,0,.72pt">
                <w:txbxContent>
                  <w:p w:rsidR="00000000" w:rsidRDefault="00000000">
                    <w:pPr>
                      <w:spacing w:line="240" w:lineRule="auto"/>
                      <w:jc w:val="right"/>
                    </w:pPr>
                    <w:r>
                      <w:rPr>
                        <w:rFonts w:ascii="Arial" w:hAnsi="Arial"/>
                        <w:snapToGrid w:val="0"/>
                        <w:color w:val="000000"/>
                        <w:sz w:val="18"/>
                        <w:lang w:val="en-US" w:eastAsia="en-US"/>
                      </w:rPr>
                      <w:t>Toximia/ Eclampsia gravídica</w:t>
                    </w:r>
                  </w:p>
                </w:txbxContent>
              </v:textbox>
            </v:rect>
            <v:rect id="_x0000_s2759" style="position:absolute;left:6590;top:10758;width:826;height:305;rotation:270" filled="f" stroked="f">
              <v:textbox style="layout-flow:vertical;mso-layout-flow-alt:bottom-to-top;mso-next-textbox:#_x0000_s2759;mso-rotate-with-shape:t" inset="0,.72pt,0,.72pt">
                <w:txbxContent>
                  <w:p w:rsidR="00000000" w:rsidRDefault="00000000">
                    <w:pPr>
                      <w:jc w:val="right"/>
                    </w:pPr>
                    <w:r>
                      <w:rPr>
                        <w:rFonts w:ascii="Arial" w:hAnsi="Arial"/>
                        <w:snapToGrid w:val="0"/>
                        <w:color w:val="000000"/>
                        <w:sz w:val="18"/>
                        <w:lang w:val="en-US" w:eastAsia="en-US"/>
                      </w:rPr>
                      <w:t>Aborto</w:t>
                    </w:r>
                  </w:p>
                </w:txbxContent>
              </v:textbox>
            </v:rect>
            <v:rect id="_x0000_s2760" style="position:absolute;left:7247;top:10607;width:630;height:270;rotation:270" filled="f" stroked="f">
              <v:textbox style="layout-flow:vertical;mso-layout-flow-alt:bottom-to-top;mso-next-textbox:#_x0000_s2760;mso-rotate-with-shape:t" inset="0,.72pt,0,.72pt">
                <w:txbxContent>
                  <w:p w:rsidR="00000000" w:rsidRDefault="00000000">
                    <w:r>
                      <w:rPr>
                        <w:rFonts w:ascii="Arial" w:hAnsi="Arial"/>
                        <w:snapToGrid w:val="0"/>
                        <w:color w:val="000000"/>
                        <w:sz w:val="18"/>
                        <w:lang w:val="en-US" w:eastAsia="en-US"/>
                      </w:rPr>
                      <w:t>Otras</w:t>
                    </w:r>
                  </w:p>
                </w:txbxContent>
              </v:textbox>
            </v:rect>
            <v:rect id="_x0000_s2761" style="position:absolute;left:7293;top:11215;width:750;height:615" fillcolor="#b8b8b8" strokeweight="0">
              <v:fill color2="black"/>
              <v:stroke color2="black"/>
            </v:rect>
            <v:line id="_x0000_s2762" style="position:absolute" from="7368,11436" to="7773,11437" strokecolor="navy">
              <v:stroke color2="#b8b8b8"/>
            </v:line>
            <v:shape id="_x0000_s2763" style="position:absolute;left:7518;top:11391;width:90;height:90" coordsize="90,90" path="m45,l90,45,45,90,,45,45,xe" fillcolor="navy" strokecolor="navy">
              <v:fill color2="black"/>
              <v:stroke color2="black"/>
              <v:path arrowok="t"/>
            </v:shape>
            <v:line id="_x0000_s2764" style="position:absolute" from="7368,11736" to="7773,11737" strokecolor="fuchsia">
              <v:stroke color2="#b8b8b8"/>
            </v:line>
            <v:rect id="_x0000_s2765" style="position:absolute;left:7518;top:11691;width:90;height:90" fillcolor="fuchsia" strokecolor="fuchsia">
              <v:fill color2="black"/>
              <v:stroke color2="black"/>
            </v:rect>
            <v:rect id="_x0000_s2766" style="position:absolute;left:7818;top:11616;width:240;height:270" filled="f" stroked="f">
              <v:textbox style="mso-next-textbox:#_x0000_s2766;mso-rotate-with-shape:t" inset="0,0,0,0">
                <w:txbxContent>
                  <w:p w:rsidR="00000000" w:rsidRDefault="00000000">
                    <w:r>
                      <w:rPr>
                        <w:rFonts w:ascii="Arial" w:hAnsi="Arial"/>
                        <w:snapToGrid w:val="0"/>
                        <w:color w:val="000000"/>
                        <w:sz w:val="18"/>
                        <w:lang w:val="en-US" w:eastAsia="en-US"/>
                      </w:rPr>
                      <w:t>%</w:t>
                    </w:r>
                  </w:p>
                </w:txbxContent>
              </v:textbox>
            </v:rect>
            <v:rect id="_x0000_s2767" style="position:absolute;left:2449;top:8928;width:6404;height:2925" filled="f" strokeweight="0">
              <v:stroke color2="black"/>
              <v:textbox inset=",.72pt,,.72pt"/>
            </v:rect>
          </v:group>
        </w:pict>
      </w:r>
    </w:p>
    <w:p w:rsidR="00000000" w:rsidRDefault="00000000">
      <w:pPr>
        <w:pStyle w:val="BodyText"/>
        <w:spacing w:line="120" w:lineRule="exact"/>
        <w:ind w:left="708"/>
        <w:jc w:val="both"/>
        <w:rPr>
          <w:sz w:val="10"/>
        </w:rPr>
      </w:pPr>
    </w:p>
    <w:p w:rsidR="00000000" w:rsidRDefault="00000000">
      <w:pPr>
        <w:pStyle w:val="BodyText"/>
        <w:spacing w:line="360" w:lineRule="auto"/>
        <w:ind w:left="708"/>
        <w:jc w:val="both"/>
        <w:rPr>
          <w:sz w:val="20"/>
        </w:rPr>
      </w:pPr>
    </w:p>
    <w:p w:rsidR="00000000" w:rsidRDefault="00000000">
      <w:pPr>
        <w:pStyle w:val="BodyText"/>
        <w:spacing w:line="360" w:lineRule="auto"/>
        <w:ind w:left="708"/>
        <w:jc w:val="both"/>
        <w:rPr>
          <w:sz w:val="20"/>
        </w:rPr>
      </w:pPr>
    </w:p>
    <w:p w:rsidR="00000000" w:rsidRDefault="00000000">
      <w:pPr>
        <w:pStyle w:val="BodyText"/>
        <w:spacing w:line="360" w:lineRule="auto"/>
        <w:ind w:left="708"/>
        <w:jc w:val="both"/>
        <w:rPr>
          <w:sz w:val="20"/>
        </w:rPr>
      </w:pPr>
    </w:p>
    <w:p w:rsidR="00000000" w:rsidRDefault="00000000">
      <w:pPr>
        <w:pStyle w:val="BodyText"/>
        <w:spacing w:line="360" w:lineRule="auto"/>
        <w:ind w:left="708"/>
        <w:jc w:val="both"/>
        <w:rPr>
          <w:sz w:val="20"/>
        </w:rPr>
      </w:pPr>
    </w:p>
    <w:p w:rsidR="00000000" w:rsidRDefault="00000000">
      <w:pPr>
        <w:pStyle w:val="BodyText"/>
        <w:spacing w:line="360" w:lineRule="auto"/>
        <w:ind w:left="708"/>
        <w:jc w:val="both"/>
        <w:rPr>
          <w:sz w:val="20"/>
        </w:rPr>
      </w:pPr>
    </w:p>
    <w:p w:rsidR="00000000" w:rsidRDefault="00000000">
      <w:pPr>
        <w:pStyle w:val="BodyText"/>
        <w:spacing w:line="360" w:lineRule="auto"/>
        <w:ind w:left="708"/>
        <w:jc w:val="both"/>
        <w:rPr>
          <w:sz w:val="20"/>
        </w:rPr>
      </w:pPr>
    </w:p>
    <w:p w:rsidR="00000000" w:rsidRDefault="00000000">
      <w:pPr>
        <w:pStyle w:val="BodyText"/>
        <w:spacing w:line="360" w:lineRule="auto"/>
        <w:ind w:left="708"/>
        <w:jc w:val="both"/>
        <w:rPr>
          <w:sz w:val="20"/>
        </w:rPr>
      </w:pPr>
    </w:p>
    <w:p w:rsidR="00000000" w:rsidRDefault="00000000">
      <w:pPr>
        <w:pStyle w:val="BodyText"/>
        <w:spacing w:line="360" w:lineRule="auto"/>
        <w:ind w:left="708"/>
        <w:jc w:val="both"/>
        <w:rPr>
          <w:sz w:val="20"/>
        </w:rPr>
      </w:pPr>
    </w:p>
    <w:p w:rsidR="00000000" w:rsidRDefault="00000000">
      <w:pPr>
        <w:pStyle w:val="BodyText"/>
        <w:spacing w:line="360" w:lineRule="auto"/>
        <w:ind w:left="708"/>
        <w:jc w:val="both"/>
        <w:rPr>
          <w:sz w:val="20"/>
        </w:rPr>
      </w:pPr>
    </w:p>
    <w:p w:rsidR="00000000" w:rsidRDefault="00000000">
      <w:pPr>
        <w:pStyle w:val="BodyText"/>
        <w:spacing w:line="360" w:lineRule="auto"/>
        <w:ind w:left="708"/>
        <w:jc w:val="both"/>
        <w:rPr>
          <w:sz w:val="16"/>
        </w:rPr>
      </w:pPr>
      <w:r>
        <w:rPr>
          <w:i/>
          <w:sz w:val="20"/>
        </w:rPr>
        <w:tab/>
      </w:r>
      <w:r>
        <w:rPr>
          <w:i/>
          <w:sz w:val="20"/>
        </w:rPr>
        <w:tab/>
      </w:r>
      <w:r>
        <w:rPr>
          <w:i/>
          <w:sz w:val="16"/>
        </w:rPr>
        <w:t>Fuente</w:t>
      </w:r>
      <w:r>
        <w:rPr>
          <w:sz w:val="16"/>
        </w:rPr>
        <w:t>: Oficina Federal de Estadística.</w:t>
      </w:r>
    </w:p>
    <w:p w:rsidR="00000000" w:rsidRDefault="00000000">
      <w:pPr>
        <w:pStyle w:val="BodyText"/>
        <w:spacing w:line="120" w:lineRule="exact"/>
        <w:jc w:val="both"/>
        <w:rPr>
          <w:sz w:val="10"/>
        </w:rPr>
      </w:pPr>
    </w:p>
    <w:p w:rsidR="00000000" w:rsidRDefault="00000000">
      <w:pPr>
        <w:pStyle w:val="BodyText"/>
        <w:spacing w:line="120" w:lineRule="exact"/>
        <w:jc w:val="both"/>
        <w:rPr>
          <w:sz w:val="10"/>
        </w:rPr>
      </w:pPr>
    </w:p>
    <w:p w:rsidR="00000000" w:rsidRDefault="00000000">
      <w:pPr>
        <w:pStyle w:val="SingleTxt"/>
      </w:pPr>
      <w:r>
        <w:tab/>
        <w:t>Las diferencias entre zonas revelan que la Nororiental tiene la mayor relación de mortalidad materna (1.549 por 100.000 nacidos vivos), casi diez veces mayor que la de la sudoccidental (165 por 100.000 nacidos vivos). La tasa en la noroccidental (1.025 por 100.000 nacidos vivos) es seis veces mayor que la de la sudoccidental. Sin embargo, la actuación del actual gobierno democrático mediante la reactivación y el aumento de los dispensarios y los servicios de atención primaria de salud en las zonas rurales y urbanas ha contribuido notablemente a la reducción de las relaciones de mortalidad y morbilidad maternas en el país.</w:t>
      </w:r>
    </w:p>
    <w:p w:rsidR="00000000" w:rsidRDefault="00000000">
      <w:pPr>
        <w:pStyle w:val="BodyText"/>
        <w:spacing w:line="120" w:lineRule="exact"/>
        <w:jc w:val="both"/>
        <w:rPr>
          <w:sz w:val="10"/>
        </w:rPr>
      </w:pP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12.5</w:t>
      </w:r>
      <w:r>
        <w:tab/>
        <w:t>Tasas de mortalidad infantil y de los niños menores de cinco años de edad</w:t>
      </w:r>
    </w:p>
    <w:p w:rsidR="00000000" w:rsidRDefault="00000000">
      <w:pPr>
        <w:pStyle w:val="BodyText"/>
        <w:spacing w:line="120" w:lineRule="exact"/>
        <w:jc w:val="both"/>
        <w:rPr>
          <w:b/>
          <w:i/>
          <w:sz w:val="10"/>
        </w:rPr>
      </w:pPr>
    </w:p>
    <w:p w:rsidR="00000000" w:rsidRDefault="00000000">
      <w:pPr>
        <w:pStyle w:val="SingleTxt"/>
      </w:pPr>
      <w:r>
        <w:tab/>
        <w:t>Las tasas de mortalidad infantil y de los niños menores de cinco años de edad son indicadores adecuados para calibrar la situación de los niños en materia de mortalidad. En el cuadro 12.2 se ve la triste realidad de las tasas de mortalidad i</w:t>
      </w:r>
      <w:r>
        <w:t>n</w:t>
      </w:r>
      <w:r>
        <w:t>fantil y de los niños menores de cinco años de edad en Nigeria. Según la MICS de 1999, existen pocas diferencias entre los sexos en materia de mortalidad infantil, que es de 105 por 1.000 nacidos vivos en ambos casos, mientras que la tasa de mo</w:t>
      </w:r>
      <w:r>
        <w:t>r</w:t>
      </w:r>
      <w:r>
        <w:t>talidad de los niños menores de cinco años sí que revela diferencias entre los sexos (148 por 1.000 nacidos vivos en el caso de los varones y 167 por 1.000 nacidos v</w:t>
      </w:r>
      <w:r>
        <w:t>i</w:t>
      </w:r>
      <w:r>
        <w:t>vos en el caso de las hembras). Las cifras correspondientes a la tasas de mortalidad infantil y de los niños menores de cinco años de edad siguen siendo elevadas tanto en el caso de la encuesta demográfica y sanitaria (NDHS) de 1999 como en el de la MICS de 1999. Nigeria dista de haber alcanzado las metas recomendadas correspo</w:t>
      </w:r>
      <w:r>
        <w:t>n</w:t>
      </w:r>
      <w:r>
        <w:rPr>
          <w:spacing w:val="2"/>
        </w:rPr>
        <w:t>dientes a los dos indicadores. Aún debe avanzar en gran medida en materia de redu</w:t>
      </w:r>
      <w:r>
        <w:rPr>
          <w:spacing w:val="2"/>
        </w:rPr>
        <w:t>c</w:t>
      </w:r>
      <w:r>
        <w:rPr>
          <w:spacing w:val="2"/>
        </w:rPr>
        <w:t>ción de las tasas de mortalidad infantil y de los niños menores de cinco años de edad. La situación en las zonas rurales es mucho peor que en las urbanas. Sin embargo, se han logrado avances apreciables en materia de erradicación de la poli</w:t>
      </w:r>
      <w:r>
        <w:rPr>
          <w:spacing w:val="2"/>
        </w:rPr>
        <w:t>o</w:t>
      </w:r>
      <w:r>
        <w:rPr>
          <w:spacing w:val="2"/>
        </w:rPr>
        <w:t>mielitis.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 xml:space="preserve">Cuadro 12.2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Tasas de mortalidad infantil y de niños menores de cinco años de edad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 (por 1.000 nacidos vivos)</w:t>
      </w:r>
    </w:p>
    <w:p w:rsidR="00000000" w:rsidRDefault="00000000">
      <w:pPr>
        <w:pStyle w:val="BodyText"/>
        <w:spacing w:line="120" w:lineRule="exact"/>
        <w:ind w:left="706"/>
        <w:jc w:val="both"/>
        <w:rPr>
          <w:b/>
          <w:sz w:val="10"/>
        </w:rPr>
      </w:pPr>
    </w:p>
    <w:p w:rsidR="00000000" w:rsidRDefault="00000000">
      <w:pPr>
        <w:pStyle w:val="BodyText"/>
        <w:spacing w:line="120" w:lineRule="exact"/>
        <w:ind w:left="706"/>
        <w:jc w:val="both"/>
        <w:rPr>
          <w:b/>
          <w:sz w:val="10"/>
        </w:rPr>
      </w:pPr>
    </w:p>
    <w:tbl>
      <w:tblPr>
        <w:tblW w:w="0" w:type="auto"/>
        <w:tblInd w:w="1161" w:type="dxa"/>
        <w:tblLayout w:type="fixed"/>
        <w:tblLook w:val="0000" w:firstRow="0" w:lastRow="0" w:firstColumn="0" w:lastColumn="0" w:noHBand="0" w:noVBand="0"/>
      </w:tblPr>
      <w:tblGrid>
        <w:gridCol w:w="5411"/>
        <w:gridCol w:w="954"/>
        <w:gridCol w:w="955"/>
      </w:tblGrid>
      <w:tr w:rsidR="00000000">
        <w:tblPrEx>
          <w:tblCellMar>
            <w:top w:w="0" w:type="dxa"/>
            <w:bottom w:w="0" w:type="dxa"/>
          </w:tblCellMar>
        </w:tblPrEx>
        <w:trPr>
          <w:tblHeader/>
        </w:trPr>
        <w:tc>
          <w:tcPr>
            <w:tcW w:w="5411" w:type="dxa"/>
            <w:tcBorders>
              <w:top w:val="single" w:sz="4" w:space="0" w:color="auto"/>
            </w:tcBorders>
            <w:vAlign w:val="bottom"/>
          </w:tcPr>
          <w:p w:rsidR="00000000" w:rsidRDefault="00000000">
            <w:pPr>
              <w:pStyle w:val="BodyText"/>
              <w:tabs>
                <w:tab w:val="left" w:leader="dot" w:pos="5160"/>
              </w:tabs>
              <w:spacing w:before="80" w:after="80" w:line="160" w:lineRule="exact"/>
              <w:ind w:right="40"/>
              <w:jc w:val="both"/>
              <w:rPr>
                <w:i/>
                <w:spacing w:val="60"/>
                <w:sz w:val="17"/>
              </w:rPr>
            </w:pPr>
          </w:p>
        </w:tc>
        <w:tc>
          <w:tcPr>
            <w:tcW w:w="954"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NDHS 1999</w:t>
            </w:r>
          </w:p>
        </w:tc>
        <w:tc>
          <w:tcPr>
            <w:tcW w:w="955"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MICS 1999</w:t>
            </w:r>
          </w:p>
        </w:tc>
      </w:tr>
      <w:tr w:rsidR="00000000">
        <w:tblPrEx>
          <w:tblCellMar>
            <w:top w:w="0" w:type="dxa"/>
            <w:bottom w:w="0" w:type="dxa"/>
          </w:tblCellMar>
        </w:tblPrEx>
        <w:trPr>
          <w:trHeight w:hRule="exact" w:val="115"/>
          <w:tblHeader/>
        </w:trPr>
        <w:tc>
          <w:tcPr>
            <w:tcW w:w="5411" w:type="dxa"/>
            <w:tcBorders>
              <w:top w:val="single" w:sz="12" w:space="0" w:color="auto"/>
            </w:tcBorders>
            <w:vAlign w:val="bottom"/>
          </w:tcPr>
          <w:p w:rsidR="00000000" w:rsidRDefault="00000000">
            <w:pPr>
              <w:pStyle w:val="BodyText"/>
              <w:tabs>
                <w:tab w:val="left" w:leader="dot" w:pos="5160"/>
              </w:tabs>
              <w:spacing w:before="40" w:after="40" w:line="210" w:lineRule="exact"/>
              <w:ind w:right="40"/>
              <w:jc w:val="both"/>
              <w:rPr>
                <w:b/>
                <w:spacing w:val="60"/>
                <w:sz w:val="17"/>
              </w:rPr>
            </w:pPr>
          </w:p>
        </w:tc>
        <w:tc>
          <w:tcPr>
            <w:tcW w:w="954"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955" w:type="dxa"/>
            <w:tcBorders>
              <w:top w:val="single" w:sz="12" w:space="0" w:color="auto"/>
            </w:tcBorders>
            <w:vAlign w:val="bottom"/>
          </w:tcPr>
          <w:p w:rsidR="00000000" w:rsidRDefault="00000000">
            <w:pPr>
              <w:pStyle w:val="BodyText"/>
              <w:spacing w:before="40" w:after="40" w:line="210" w:lineRule="exact"/>
              <w:ind w:right="40"/>
              <w:jc w:val="right"/>
              <w:rPr>
                <w:sz w:val="17"/>
              </w:rPr>
            </w:pPr>
          </w:p>
        </w:tc>
      </w:tr>
      <w:tr w:rsidR="00000000">
        <w:tblPrEx>
          <w:tblCellMar>
            <w:top w:w="0" w:type="dxa"/>
            <w:bottom w:w="0" w:type="dxa"/>
          </w:tblCellMar>
        </w:tblPrEx>
        <w:tc>
          <w:tcPr>
            <w:tcW w:w="5411" w:type="dxa"/>
            <w:vAlign w:val="bottom"/>
          </w:tcPr>
          <w:p w:rsidR="00000000" w:rsidRDefault="00000000">
            <w:pPr>
              <w:pStyle w:val="BodyText"/>
              <w:tabs>
                <w:tab w:val="left" w:pos="288"/>
                <w:tab w:val="left" w:pos="576"/>
                <w:tab w:val="left" w:pos="864"/>
                <w:tab w:val="left" w:pos="1152"/>
                <w:tab w:val="left" w:leader="dot" w:pos="5160"/>
              </w:tabs>
              <w:spacing w:before="40" w:after="40" w:line="210" w:lineRule="exact"/>
              <w:ind w:right="40"/>
              <w:jc w:val="both"/>
              <w:rPr>
                <w:b/>
                <w:spacing w:val="60"/>
                <w:sz w:val="17"/>
              </w:rPr>
            </w:pPr>
            <w:r>
              <w:rPr>
                <w:b/>
                <w:sz w:val="17"/>
              </w:rPr>
              <w:t>Tasa de mortalidad infantil</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5411" w:type="dxa"/>
            <w:vAlign w:val="bottom"/>
          </w:tcPr>
          <w:p w:rsidR="00000000" w:rsidRDefault="00000000">
            <w:pPr>
              <w:pStyle w:val="BodyText"/>
              <w:tabs>
                <w:tab w:val="left" w:pos="288"/>
                <w:tab w:val="left" w:pos="576"/>
                <w:tab w:val="left" w:leader="dot" w:pos="5160"/>
              </w:tabs>
              <w:spacing w:before="40" w:after="40" w:line="210" w:lineRule="exact"/>
              <w:ind w:right="40"/>
              <w:jc w:val="both"/>
              <w:rPr>
                <w:spacing w:val="60"/>
                <w:sz w:val="17"/>
              </w:rPr>
            </w:pPr>
            <w:r>
              <w:rPr>
                <w:sz w:val="17"/>
              </w:rPr>
              <w:t>Nacional</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70,8</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105</w:t>
            </w:r>
          </w:p>
        </w:tc>
      </w:tr>
      <w:tr w:rsidR="00000000">
        <w:tblPrEx>
          <w:tblCellMar>
            <w:top w:w="0" w:type="dxa"/>
            <w:bottom w:w="0" w:type="dxa"/>
          </w:tblCellMar>
        </w:tblPrEx>
        <w:tc>
          <w:tcPr>
            <w:tcW w:w="5411" w:type="dxa"/>
            <w:vAlign w:val="bottom"/>
          </w:tcPr>
          <w:p w:rsidR="00000000" w:rsidRDefault="00000000">
            <w:pPr>
              <w:pStyle w:val="BodyText"/>
              <w:tabs>
                <w:tab w:val="left" w:pos="288"/>
                <w:tab w:val="left" w:pos="576"/>
                <w:tab w:val="left" w:leader="dot" w:pos="5160"/>
              </w:tabs>
              <w:spacing w:before="40" w:after="40" w:line="210" w:lineRule="exact"/>
              <w:ind w:right="40"/>
              <w:jc w:val="both"/>
              <w:rPr>
                <w:spacing w:val="60"/>
                <w:sz w:val="17"/>
              </w:rPr>
            </w:pPr>
            <w:r>
              <w:rPr>
                <w:b/>
                <w:sz w:val="17"/>
              </w:rPr>
              <w:t>Residencia</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5411" w:type="dxa"/>
            <w:vAlign w:val="bottom"/>
          </w:tcPr>
          <w:p w:rsidR="00000000" w:rsidRDefault="00000000">
            <w:pPr>
              <w:pStyle w:val="BodyText"/>
              <w:tabs>
                <w:tab w:val="left" w:pos="288"/>
                <w:tab w:val="left" w:leader="dot" w:pos="5160"/>
              </w:tabs>
              <w:spacing w:before="40" w:after="40" w:line="210" w:lineRule="exact"/>
              <w:ind w:right="40"/>
              <w:jc w:val="both"/>
              <w:rPr>
                <w:spacing w:val="60"/>
                <w:sz w:val="17"/>
              </w:rPr>
            </w:pPr>
            <w:r>
              <w:rPr>
                <w:sz w:val="17"/>
              </w:rPr>
              <w:t>Urbana</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59,3</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 xml:space="preserve">  83</w:t>
            </w:r>
          </w:p>
        </w:tc>
      </w:tr>
      <w:tr w:rsidR="00000000">
        <w:tblPrEx>
          <w:tblCellMar>
            <w:top w:w="0" w:type="dxa"/>
            <w:bottom w:w="0" w:type="dxa"/>
          </w:tblCellMar>
        </w:tblPrEx>
        <w:tc>
          <w:tcPr>
            <w:tcW w:w="5411" w:type="dxa"/>
            <w:vAlign w:val="bottom"/>
          </w:tcPr>
          <w:p w:rsidR="00000000" w:rsidRDefault="00000000">
            <w:pPr>
              <w:pStyle w:val="BodyText"/>
              <w:tabs>
                <w:tab w:val="left" w:pos="288"/>
                <w:tab w:val="left" w:leader="dot" w:pos="5160"/>
              </w:tabs>
              <w:spacing w:before="40" w:after="40" w:line="210" w:lineRule="exact"/>
              <w:ind w:right="40"/>
              <w:jc w:val="both"/>
              <w:rPr>
                <w:spacing w:val="60"/>
                <w:sz w:val="17"/>
              </w:rPr>
            </w:pPr>
            <w:r>
              <w:rPr>
                <w:sz w:val="17"/>
              </w:rPr>
              <w:t>Rural</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75,0</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113</w:t>
            </w:r>
          </w:p>
        </w:tc>
      </w:tr>
      <w:tr w:rsidR="00000000">
        <w:tblPrEx>
          <w:tblCellMar>
            <w:top w:w="0" w:type="dxa"/>
            <w:bottom w:w="0" w:type="dxa"/>
          </w:tblCellMar>
        </w:tblPrEx>
        <w:tc>
          <w:tcPr>
            <w:tcW w:w="5411" w:type="dxa"/>
            <w:vAlign w:val="bottom"/>
          </w:tcPr>
          <w:p w:rsidR="00000000" w:rsidRDefault="00000000">
            <w:pPr>
              <w:pStyle w:val="BodyText"/>
              <w:tabs>
                <w:tab w:val="left" w:pos="288"/>
                <w:tab w:val="left" w:leader="dot" w:pos="5160"/>
              </w:tabs>
              <w:spacing w:before="40" w:after="40" w:line="210" w:lineRule="exact"/>
              <w:ind w:right="40"/>
              <w:jc w:val="both"/>
              <w:rPr>
                <w:spacing w:val="60"/>
                <w:sz w:val="17"/>
              </w:rPr>
            </w:pPr>
            <w:r>
              <w:rPr>
                <w:b/>
                <w:sz w:val="17"/>
              </w:rPr>
              <w:t>Zonas</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5411" w:type="dxa"/>
            <w:vAlign w:val="bottom"/>
          </w:tcPr>
          <w:p w:rsidR="00000000" w:rsidRDefault="00000000">
            <w:pPr>
              <w:pStyle w:val="BodyText"/>
              <w:tabs>
                <w:tab w:val="left" w:pos="288"/>
                <w:tab w:val="left" w:pos="576"/>
                <w:tab w:val="left" w:pos="864"/>
                <w:tab w:val="left" w:leader="dot" w:pos="5160"/>
              </w:tabs>
              <w:spacing w:before="40" w:after="40" w:line="210" w:lineRule="exact"/>
              <w:ind w:right="40"/>
              <w:jc w:val="both"/>
              <w:rPr>
                <w:spacing w:val="60"/>
                <w:sz w:val="17"/>
              </w:rPr>
            </w:pPr>
            <w:r>
              <w:rPr>
                <w:sz w:val="17"/>
              </w:rPr>
              <w:t>Sudoccidental</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69,9</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 xml:space="preserve">  45</w:t>
            </w:r>
          </w:p>
        </w:tc>
      </w:tr>
      <w:tr w:rsidR="00000000">
        <w:tblPrEx>
          <w:tblCellMar>
            <w:top w:w="0" w:type="dxa"/>
            <w:bottom w:w="0" w:type="dxa"/>
          </w:tblCellMar>
        </w:tblPrEx>
        <w:tc>
          <w:tcPr>
            <w:tcW w:w="5411" w:type="dxa"/>
            <w:vAlign w:val="bottom"/>
          </w:tcPr>
          <w:p w:rsidR="00000000" w:rsidRDefault="00000000">
            <w:pPr>
              <w:pStyle w:val="BodyText"/>
              <w:tabs>
                <w:tab w:val="left" w:pos="288"/>
                <w:tab w:val="left" w:pos="576"/>
                <w:tab w:val="left" w:leader="dot" w:pos="5160"/>
              </w:tabs>
              <w:spacing w:before="40" w:after="40" w:line="210" w:lineRule="exact"/>
              <w:ind w:right="40"/>
              <w:jc w:val="both"/>
              <w:rPr>
                <w:spacing w:val="60"/>
                <w:sz w:val="17"/>
              </w:rPr>
            </w:pPr>
            <w:r>
              <w:rPr>
                <w:sz w:val="17"/>
              </w:rPr>
              <w:t>Sudoriental</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74,3</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bottom w:w="0" w:type="dxa"/>
          </w:tblCellMar>
        </w:tblPrEx>
        <w:tc>
          <w:tcPr>
            <w:tcW w:w="5411" w:type="dxa"/>
            <w:vAlign w:val="bottom"/>
          </w:tcPr>
          <w:p w:rsidR="00000000" w:rsidRDefault="00000000">
            <w:pPr>
              <w:pStyle w:val="BodyText"/>
              <w:tabs>
                <w:tab w:val="left" w:pos="288"/>
                <w:tab w:val="left" w:pos="576"/>
                <w:tab w:val="left" w:pos="864"/>
                <w:tab w:val="left" w:leader="dot" w:pos="5160"/>
              </w:tabs>
              <w:spacing w:before="40" w:after="40" w:line="210" w:lineRule="exact"/>
              <w:ind w:right="40"/>
              <w:jc w:val="both"/>
              <w:rPr>
                <w:spacing w:val="60"/>
                <w:sz w:val="17"/>
              </w:rPr>
            </w:pPr>
            <w:r>
              <w:rPr>
                <w:sz w:val="17"/>
              </w:rPr>
              <w:t>Noroccidental</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82,6</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114</w:t>
            </w:r>
          </w:p>
        </w:tc>
      </w:tr>
      <w:tr w:rsidR="00000000">
        <w:tblPrEx>
          <w:tblCellMar>
            <w:top w:w="0" w:type="dxa"/>
            <w:bottom w:w="0" w:type="dxa"/>
          </w:tblCellMar>
        </w:tblPrEx>
        <w:tc>
          <w:tcPr>
            <w:tcW w:w="5411" w:type="dxa"/>
            <w:vAlign w:val="bottom"/>
          </w:tcPr>
          <w:p w:rsidR="00000000" w:rsidRDefault="00000000">
            <w:pPr>
              <w:pStyle w:val="BodyText"/>
              <w:tabs>
                <w:tab w:val="left" w:pos="288"/>
                <w:tab w:val="left" w:pos="576"/>
                <w:tab w:val="left" w:leader="dot" w:pos="5160"/>
              </w:tabs>
              <w:spacing w:before="40" w:after="40" w:line="210" w:lineRule="exact"/>
              <w:ind w:right="40"/>
              <w:jc w:val="both"/>
              <w:rPr>
                <w:spacing w:val="60"/>
                <w:sz w:val="17"/>
              </w:rPr>
            </w:pPr>
            <w:r>
              <w:rPr>
                <w:sz w:val="17"/>
              </w:rPr>
              <w:t>Nororiental</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79,4</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117</w:t>
            </w:r>
          </w:p>
        </w:tc>
      </w:tr>
      <w:tr w:rsidR="00000000">
        <w:tblPrEx>
          <w:tblCellMar>
            <w:top w:w="0" w:type="dxa"/>
            <w:bottom w:w="0" w:type="dxa"/>
          </w:tblCellMar>
        </w:tblPrEx>
        <w:tc>
          <w:tcPr>
            <w:tcW w:w="5411" w:type="dxa"/>
            <w:vAlign w:val="bottom"/>
          </w:tcPr>
          <w:p w:rsidR="00000000" w:rsidRDefault="00000000">
            <w:pPr>
              <w:pStyle w:val="BodyText"/>
              <w:tabs>
                <w:tab w:val="left" w:pos="288"/>
                <w:tab w:val="left" w:pos="576"/>
                <w:tab w:val="left" w:pos="864"/>
                <w:tab w:val="left" w:pos="1152"/>
                <w:tab w:val="left" w:leader="dot" w:pos="5160"/>
              </w:tabs>
              <w:spacing w:before="40" w:after="40" w:line="210" w:lineRule="exact"/>
              <w:ind w:right="40"/>
              <w:jc w:val="both"/>
              <w:rPr>
                <w:spacing w:val="60"/>
                <w:sz w:val="17"/>
              </w:rPr>
            </w:pPr>
            <w:r>
              <w:rPr>
                <w:sz w:val="17"/>
              </w:rPr>
              <w:t>Centro-septentrional</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50,7</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NA</w:t>
            </w:r>
          </w:p>
        </w:tc>
      </w:tr>
      <w:tr w:rsidR="00000000">
        <w:tblPrEx>
          <w:tblCellMar>
            <w:top w:w="0" w:type="dxa"/>
            <w:bottom w:w="0" w:type="dxa"/>
          </w:tblCellMar>
        </w:tblPrEx>
        <w:tc>
          <w:tcPr>
            <w:tcW w:w="5411" w:type="dxa"/>
            <w:vAlign w:val="bottom"/>
          </w:tcPr>
          <w:p w:rsidR="00000000" w:rsidRDefault="00000000">
            <w:pPr>
              <w:pStyle w:val="BodyText"/>
              <w:tabs>
                <w:tab w:val="left" w:pos="288"/>
                <w:tab w:val="left" w:leader="dot" w:pos="5160"/>
              </w:tabs>
              <w:spacing w:before="40" w:after="40" w:line="210" w:lineRule="exact"/>
              <w:ind w:right="40"/>
              <w:jc w:val="both"/>
              <w:rPr>
                <w:spacing w:val="60"/>
                <w:sz w:val="17"/>
              </w:rPr>
            </w:pPr>
            <w:r>
              <w:rPr>
                <w:b/>
                <w:sz w:val="17"/>
              </w:rPr>
              <w:t>Sexo</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5411" w:type="dxa"/>
            <w:vAlign w:val="bottom"/>
          </w:tcPr>
          <w:p w:rsidR="00000000" w:rsidRDefault="00000000">
            <w:pPr>
              <w:pStyle w:val="BodyText"/>
              <w:tabs>
                <w:tab w:val="left" w:pos="288"/>
                <w:tab w:val="left" w:pos="576"/>
                <w:tab w:val="left" w:leader="dot" w:pos="5160"/>
              </w:tabs>
              <w:spacing w:before="40" w:after="40" w:line="210" w:lineRule="exact"/>
              <w:ind w:right="40"/>
              <w:jc w:val="both"/>
              <w:rPr>
                <w:spacing w:val="60"/>
                <w:sz w:val="17"/>
              </w:rPr>
            </w:pPr>
            <w:r>
              <w:rPr>
                <w:sz w:val="17"/>
              </w:rPr>
              <w:t>Varones</w:t>
            </w:r>
            <w:r>
              <w:rPr>
                <w:spacing w:val="60"/>
                <w:sz w:val="17"/>
              </w:rPr>
              <w:tab/>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 xml:space="preserve">   73,2</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105</w:t>
            </w:r>
          </w:p>
        </w:tc>
      </w:tr>
      <w:tr w:rsidR="00000000">
        <w:tblPrEx>
          <w:tblCellMar>
            <w:top w:w="0" w:type="dxa"/>
            <w:bottom w:w="0" w:type="dxa"/>
          </w:tblCellMar>
        </w:tblPrEx>
        <w:tc>
          <w:tcPr>
            <w:tcW w:w="5411" w:type="dxa"/>
            <w:vAlign w:val="bottom"/>
          </w:tcPr>
          <w:p w:rsidR="00000000" w:rsidRDefault="00000000">
            <w:pPr>
              <w:pStyle w:val="BodyText"/>
              <w:tabs>
                <w:tab w:val="left" w:pos="288"/>
                <w:tab w:val="left" w:pos="576"/>
                <w:tab w:val="left" w:leader="dot" w:pos="5160"/>
              </w:tabs>
              <w:spacing w:before="40" w:after="40" w:line="210" w:lineRule="exact"/>
              <w:ind w:right="40"/>
              <w:jc w:val="both"/>
              <w:rPr>
                <w:spacing w:val="60"/>
                <w:sz w:val="17"/>
              </w:rPr>
            </w:pPr>
            <w:r>
              <w:rPr>
                <w:sz w:val="17"/>
              </w:rPr>
              <w:t>Hembras</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 xml:space="preserve">   68,2</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105</w:t>
            </w:r>
          </w:p>
        </w:tc>
      </w:tr>
      <w:tr w:rsidR="00000000">
        <w:tblPrEx>
          <w:tblCellMar>
            <w:top w:w="0" w:type="dxa"/>
            <w:bottom w:w="0" w:type="dxa"/>
          </w:tblCellMar>
        </w:tblPrEx>
        <w:tc>
          <w:tcPr>
            <w:tcW w:w="5411" w:type="dxa"/>
            <w:vAlign w:val="bottom"/>
          </w:tcPr>
          <w:p w:rsidR="00000000" w:rsidRDefault="00000000">
            <w:pPr>
              <w:pStyle w:val="BodyText"/>
              <w:keepNext/>
              <w:keepLines/>
              <w:tabs>
                <w:tab w:val="left" w:pos="288"/>
                <w:tab w:val="left" w:pos="576"/>
                <w:tab w:val="left" w:pos="864"/>
                <w:tab w:val="left" w:pos="1152"/>
                <w:tab w:val="left" w:leader="dot" w:pos="5160"/>
              </w:tabs>
              <w:spacing w:before="40" w:after="40" w:line="210" w:lineRule="exact"/>
              <w:ind w:right="43"/>
              <w:jc w:val="both"/>
              <w:rPr>
                <w:spacing w:val="60"/>
                <w:sz w:val="17"/>
              </w:rPr>
            </w:pPr>
            <w:r>
              <w:rPr>
                <w:b/>
                <w:sz w:val="17"/>
              </w:rPr>
              <w:t>Tasa de mortalidad de menores de cinco años</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5411" w:type="dxa"/>
            <w:vAlign w:val="bottom"/>
          </w:tcPr>
          <w:p w:rsidR="00000000" w:rsidRDefault="00000000">
            <w:pPr>
              <w:pStyle w:val="BodyText"/>
              <w:keepNext/>
              <w:keepLines/>
              <w:tabs>
                <w:tab w:val="left" w:pos="288"/>
                <w:tab w:val="left" w:pos="576"/>
                <w:tab w:val="left" w:leader="dot" w:pos="5160"/>
              </w:tabs>
              <w:spacing w:before="40" w:after="40" w:line="210" w:lineRule="exact"/>
              <w:ind w:right="43"/>
              <w:jc w:val="both"/>
              <w:rPr>
                <w:spacing w:val="60"/>
                <w:sz w:val="17"/>
              </w:rPr>
            </w:pPr>
            <w:r>
              <w:rPr>
                <w:sz w:val="17"/>
              </w:rPr>
              <w:t>Nacional</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133,4</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178</w:t>
            </w:r>
          </w:p>
        </w:tc>
      </w:tr>
      <w:tr w:rsidR="00000000">
        <w:tblPrEx>
          <w:tblCellMar>
            <w:top w:w="0" w:type="dxa"/>
            <w:bottom w:w="0" w:type="dxa"/>
          </w:tblCellMar>
        </w:tblPrEx>
        <w:tc>
          <w:tcPr>
            <w:tcW w:w="5411" w:type="dxa"/>
            <w:vAlign w:val="bottom"/>
          </w:tcPr>
          <w:p w:rsidR="00000000" w:rsidRDefault="00000000">
            <w:pPr>
              <w:pStyle w:val="BodyText"/>
              <w:keepNext/>
              <w:keepLines/>
              <w:tabs>
                <w:tab w:val="left" w:pos="288"/>
                <w:tab w:val="left" w:pos="576"/>
                <w:tab w:val="left" w:leader="dot" w:pos="5160"/>
              </w:tabs>
              <w:spacing w:before="40" w:after="40" w:line="210" w:lineRule="exact"/>
              <w:ind w:right="43"/>
              <w:jc w:val="both"/>
              <w:rPr>
                <w:b/>
                <w:spacing w:val="60"/>
                <w:sz w:val="17"/>
              </w:rPr>
            </w:pPr>
            <w:r>
              <w:rPr>
                <w:b/>
                <w:sz w:val="17"/>
              </w:rPr>
              <w:t>Residencia</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5411" w:type="dxa"/>
            <w:vAlign w:val="bottom"/>
          </w:tcPr>
          <w:p w:rsidR="00000000" w:rsidRDefault="00000000">
            <w:pPr>
              <w:pStyle w:val="BodyText"/>
              <w:tabs>
                <w:tab w:val="left" w:pos="288"/>
                <w:tab w:val="left" w:leader="dot" w:pos="5160"/>
              </w:tabs>
              <w:spacing w:before="40" w:after="40" w:line="210" w:lineRule="exact"/>
              <w:ind w:right="40"/>
              <w:jc w:val="both"/>
              <w:rPr>
                <w:spacing w:val="60"/>
                <w:sz w:val="17"/>
              </w:rPr>
            </w:pPr>
            <w:r>
              <w:rPr>
                <w:sz w:val="17"/>
              </w:rPr>
              <w:t>Urbana</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107,8</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129</w:t>
            </w:r>
          </w:p>
        </w:tc>
      </w:tr>
      <w:tr w:rsidR="00000000">
        <w:tblPrEx>
          <w:tblCellMar>
            <w:top w:w="0" w:type="dxa"/>
            <w:bottom w:w="0" w:type="dxa"/>
          </w:tblCellMar>
        </w:tblPrEx>
        <w:tc>
          <w:tcPr>
            <w:tcW w:w="5411" w:type="dxa"/>
            <w:vAlign w:val="bottom"/>
          </w:tcPr>
          <w:p w:rsidR="00000000" w:rsidRDefault="00000000">
            <w:pPr>
              <w:pStyle w:val="BodyText"/>
              <w:tabs>
                <w:tab w:val="left" w:pos="288"/>
                <w:tab w:val="left" w:leader="dot" w:pos="5160"/>
              </w:tabs>
              <w:spacing w:before="40" w:after="40" w:line="210" w:lineRule="exact"/>
              <w:ind w:right="40"/>
              <w:jc w:val="both"/>
              <w:rPr>
                <w:spacing w:val="60"/>
                <w:sz w:val="17"/>
              </w:rPr>
            </w:pPr>
            <w:r>
              <w:rPr>
                <w:sz w:val="17"/>
              </w:rPr>
              <w:t>Rural</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142,9</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192</w:t>
            </w:r>
          </w:p>
        </w:tc>
      </w:tr>
      <w:tr w:rsidR="00000000">
        <w:tblPrEx>
          <w:tblCellMar>
            <w:top w:w="0" w:type="dxa"/>
            <w:bottom w:w="0" w:type="dxa"/>
          </w:tblCellMar>
        </w:tblPrEx>
        <w:tc>
          <w:tcPr>
            <w:tcW w:w="5411" w:type="dxa"/>
            <w:vAlign w:val="bottom"/>
          </w:tcPr>
          <w:p w:rsidR="00000000" w:rsidRDefault="00000000">
            <w:pPr>
              <w:pStyle w:val="BodyText"/>
              <w:keepNext/>
              <w:keepLines/>
              <w:tabs>
                <w:tab w:val="left" w:pos="288"/>
                <w:tab w:val="left" w:leader="dot" w:pos="5160"/>
              </w:tabs>
              <w:spacing w:before="40" w:after="40" w:line="210" w:lineRule="exact"/>
              <w:ind w:right="43"/>
              <w:jc w:val="both"/>
              <w:rPr>
                <w:spacing w:val="60"/>
                <w:sz w:val="17"/>
              </w:rPr>
            </w:pPr>
            <w:r>
              <w:rPr>
                <w:b/>
                <w:sz w:val="17"/>
              </w:rPr>
              <w:t>Zonas</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5411" w:type="dxa"/>
            <w:vAlign w:val="bottom"/>
          </w:tcPr>
          <w:p w:rsidR="00000000" w:rsidRDefault="00000000">
            <w:pPr>
              <w:pStyle w:val="BodyText"/>
              <w:keepNext/>
              <w:keepLines/>
              <w:tabs>
                <w:tab w:val="left" w:pos="288"/>
                <w:tab w:val="left" w:pos="576"/>
                <w:tab w:val="left" w:pos="864"/>
                <w:tab w:val="left" w:leader="dot" w:pos="5160"/>
              </w:tabs>
              <w:spacing w:before="40" w:after="40" w:line="210" w:lineRule="exact"/>
              <w:ind w:right="43"/>
              <w:jc w:val="both"/>
              <w:rPr>
                <w:spacing w:val="60"/>
                <w:sz w:val="17"/>
              </w:rPr>
            </w:pPr>
            <w:r>
              <w:rPr>
                <w:sz w:val="17"/>
              </w:rPr>
              <w:t>Sudoccidental</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101,5</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119</w:t>
            </w:r>
          </w:p>
        </w:tc>
      </w:tr>
      <w:tr w:rsidR="00000000">
        <w:tblPrEx>
          <w:tblCellMar>
            <w:top w:w="0" w:type="dxa"/>
            <w:bottom w:w="0" w:type="dxa"/>
          </w:tblCellMar>
        </w:tblPrEx>
        <w:tc>
          <w:tcPr>
            <w:tcW w:w="5411" w:type="dxa"/>
            <w:vAlign w:val="bottom"/>
          </w:tcPr>
          <w:p w:rsidR="00000000" w:rsidRDefault="00000000">
            <w:pPr>
              <w:pStyle w:val="BodyText"/>
              <w:tabs>
                <w:tab w:val="left" w:pos="288"/>
                <w:tab w:val="left" w:pos="576"/>
                <w:tab w:val="left" w:leader="dot" w:pos="5160"/>
              </w:tabs>
              <w:spacing w:before="40" w:after="40" w:line="210" w:lineRule="exact"/>
              <w:ind w:right="40"/>
              <w:jc w:val="both"/>
              <w:rPr>
                <w:spacing w:val="60"/>
                <w:sz w:val="17"/>
              </w:rPr>
            </w:pPr>
            <w:r>
              <w:rPr>
                <w:sz w:val="17"/>
              </w:rPr>
              <w:t>Sudoriental</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135,0</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131</w:t>
            </w:r>
          </w:p>
        </w:tc>
      </w:tr>
      <w:tr w:rsidR="00000000">
        <w:tblPrEx>
          <w:tblCellMar>
            <w:top w:w="0" w:type="dxa"/>
            <w:bottom w:w="0" w:type="dxa"/>
          </w:tblCellMar>
        </w:tblPrEx>
        <w:tc>
          <w:tcPr>
            <w:tcW w:w="5411" w:type="dxa"/>
            <w:vAlign w:val="bottom"/>
          </w:tcPr>
          <w:p w:rsidR="00000000" w:rsidRDefault="00000000">
            <w:pPr>
              <w:pStyle w:val="BodyText"/>
              <w:tabs>
                <w:tab w:val="left" w:pos="288"/>
                <w:tab w:val="left" w:pos="576"/>
                <w:tab w:val="left" w:pos="864"/>
                <w:tab w:val="left" w:leader="dot" w:pos="5160"/>
              </w:tabs>
              <w:spacing w:before="40" w:after="40" w:line="210" w:lineRule="exact"/>
              <w:ind w:right="40"/>
              <w:jc w:val="both"/>
              <w:rPr>
                <w:spacing w:val="60"/>
                <w:sz w:val="17"/>
              </w:rPr>
            </w:pPr>
            <w:r>
              <w:rPr>
                <w:sz w:val="17"/>
              </w:rPr>
              <w:t>Noroccidental</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188,2</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217</w:t>
            </w:r>
          </w:p>
        </w:tc>
      </w:tr>
      <w:tr w:rsidR="00000000">
        <w:tblPrEx>
          <w:tblCellMar>
            <w:top w:w="0" w:type="dxa"/>
            <w:bottom w:w="0" w:type="dxa"/>
          </w:tblCellMar>
        </w:tblPrEx>
        <w:tc>
          <w:tcPr>
            <w:tcW w:w="5411" w:type="dxa"/>
            <w:vAlign w:val="bottom"/>
          </w:tcPr>
          <w:p w:rsidR="00000000" w:rsidRDefault="00000000">
            <w:pPr>
              <w:pStyle w:val="BodyText"/>
              <w:tabs>
                <w:tab w:val="left" w:pos="288"/>
                <w:tab w:val="left" w:pos="576"/>
                <w:tab w:val="left" w:leader="dot" w:pos="5160"/>
              </w:tabs>
              <w:spacing w:before="40" w:after="40" w:line="210" w:lineRule="exact"/>
              <w:ind w:right="40"/>
              <w:jc w:val="both"/>
              <w:rPr>
                <w:spacing w:val="60"/>
                <w:sz w:val="17"/>
              </w:rPr>
            </w:pPr>
            <w:r>
              <w:rPr>
                <w:sz w:val="17"/>
              </w:rPr>
              <w:t>Nororiental</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175,2</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199</w:t>
            </w:r>
          </w:p>
        </w:tc>
      </w:tr>
      <w:tr w:rsidR="00000000">
        <w:tblPrEx>
          <w:tblCellMar>
            <w:top w:w="0" w:type="dxa"/>
            <w:bottom w:w="0" w:type="dxa"/>
          </w:tblCellMar>
        </w:tblPrEx>
        <w:tc>
          <w:tcPr>
            <w:tcW w:w="5411" w:type="dxa"/>
            <w:vAlign w:val="bottom"/>
          </w:tcPr>
          <w:p w:rsidR="00000000" w:rsidRDefault="00000000">
            <w:pPr>
              <w:pStyle w:val="BodyText"/>
              <w:tabs>
                <w:tab w:val="left" w:pos="288"/>
                <w:tab w:val="left" w:pos="576"/>
                <w:tab w:val="left" w:pos="864"/>
                <w:tab w:val="left" w:pos="1152"/>
                <w:tab w:val="left" w:leader="dot" w:pos="5160"/>
              </w:tabs>
              <w:spacing w:before="40" w:after="40" w:line="210" w:lineRule="exact"/>
              <w:ind w:right="40"/>
              <w:jc w:val="both"/>
              <w:rPr>
                <w:spacing w:val="60"/>
                <w:sz w:val="17"/>
              </w:rPr>
            </w:pPr>
            <w:r>
              <w:rPr>
                <w:sz w:val="17"/>
              </w:rPr>
              <w:t>Centro-septentrional</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 xml:space="preserve">  84,4</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NA</w:t>
            </w:r>
          </w:p>
        </w:tc>
      </w:tr>
      <w:tr w:rsidR="00000000">
        <w:tblPrEx>
          <w:tblCellMar>
            <w:top w:w="0" w:type="dxa"/>
            <w:bottom w:w="0" w:type="dxa"/>
          </w:tblCellMar>
        </w:tblPrEx>
        <w:tc>
          <w:tcPr>
            <w:tcW w:w="5411" w:type="dxa"/>
            <w:vAlign w:val="bottom"/>
          </w:tcPr>
          <w:p w:rsidR="00000000" w:rsidRDefault="00000000">
            <w:pPr>
              <w:pStyle w:val="BodyText"/>
              <w:tabs>
                <w:tab w:val="left" w:pos="288"/>
                <w:tab w:val="left" w:leader="dot" w:pos="5160"/>
              </w:tabs>
              <w:spacing w:before="40" w:after="40" w:line="210" w:lineRule="exact"/>
              <w:ind w:right="40"/>
              <w:jc w:val="both"/>
              <w:rPr>
                <w:spacing w:val="60"/>
                <w:sz w:val="17"/>
              </w:rPr>
            </w:pPr>
            <w:r>
              <w:rPr>
                <w:b/>
                <w:sz w:val="17"/>
              </w:rPr>
              <w:t>Sexo</w:t>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5411" w:type="dxa"/>
            <w:vAlign w:val="bottom"/>
          </w:tcPr>
          <w:p w:rsidR="00000000" w:rsidRDefault="00000000">
            <w:pPr>
              <w:pStyle w:val="BodyText"/>
              <w:tabs>
                <w:tab w:val="left" w:pos="288"/>
                <w:tab w:val="left" w:pos="576"/>
                <w:tab w:val="left" w:leader="dot" w:pos="5160"/>
              </w:tabs>
              <w:spacing w:before="40" w:after="40" w:line="210" w:lineRule="exact"/>
              <w:ind w:right="40"/>
              <w:jc w:val="both"/>
              <w:rPr>
                <w:spacing w:val="60"/>
                <w:sz w:val="17"/>
              </w:rPr>
            </w:pPr>
            <w:r>
              <w:rPr>
                <w:sz w:val="17"/>
              </w:rPr>
              <w:t>Varones</w:t>
            </w:r>
            <w:r>
              <w:rPr>
                <w:spacing w:val="60"/>
                <w:sz w:val="17"/>
              </w:rPr>
              <w:tab/>
            </w:r>
          </w:p>
        </w:tc>
        <w:tc>
          <w:tcPr>
            <w:tcW w:w="954"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134,4</w:t>
            </w:r>
          </w:p>
        </w:tc>
        <w:tc>
          <w:tcPr>
            <w:tcW w:w="95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148</w:t>
            </w:r>
          </w:p>
        </w:tc>
      </w:tr>
      <w:tr w:rsidR="00000000">
        <w:tblPrEx>
          <w:tblCellMar>
            <w:top w:w="0" w:type="dxa"/>
            <w:bottom w:w="0" w:type="dxa"/>
          </w:tblCellMar>
        </w:tblPrEx>
        <w:tc>
          <w:tcPr>
            <w:tcW w:w="5411" w:type="dxa"/>
            <w:tcBorders>
              <w:bottom w:val="single" w:sz="12" w:space="0" w:color="auto"/>
            </w:tcBorders>
            <w:vAlign w:val="bottom"/>
          </w:tcPr>
          <w:p w:rsidR="00000000" w:rsidRDefault="00000000">
            <w:pPr>
              <w:pStyle w:val="BodyText"/>
              <w:tabs>
                <w:tab w:val="left" w:pos="288"/>
                <w:tab w:val="left" w:pos="576"/>
                <w:tab w:val="left" w:leader="dot" w:pos="5160"/>
              </w:tabs>
              <w:spacing w:before="40" w:after="40" w:line="210" w:lineRule="exact"/>
              <w:ind w:right="40"/>
              <w:jc w:val="both"/>
              <w:rPr>
                <w:spacing w:val="60"/>
                <w:sz w:val="17"/>
              </w:rPr>
            </w:pPr>
            <w:r>
              <w:rPr>
                <w:sz w:val="17"/>
              </w:rPr>
              <w:t>Hembras</w:t>
            </w:r>
          </w:p>
        </w:tc>
        <w:tc>
          <w:tcPr>
            <w:tcW w:w="954"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132,5</w:t>
            </w:r>
          </w:p>
        </w:tc>
        <w:tc>
          <w:tcPr>
            <w:tcW w:w="955"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167</w:t>
            </w:r>
          </w:p>
        </w:tc>
      </w:tr>
    </w:tbl>
    <w:p w:rsidR="00000000" w:rsidRDefault="00000000">
      <w:pPr>
        <w:pStyle w:val="BodyText"/>
        <w:spacing w:line="120" w:lineRule="exact"/>
        <w:ind w:left="708"/>
        <w:jc w:val="both"/>
        <w:rPr>
          <w:b/>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Informe SAA 2001.</w:t>
      </w:r>
    </w:p>
    <w:p w:rsidR="00000000" w:rsidRDefault="00000000">
      <w:pPr>
        <w:pStyle w:val="BodyText"/>
        <w:spacing w:line="120" w:lineRule="exact"/>
        <w:jc w:val="both"/>
        <w:rPr>
          <w:b/>
          <w:sz w:val="10"/>
        </w:rPr>
      </w:pPr>
    </w:p>
    <w:p w:rsidR="00000000" w:rsidRDefault="00000000">
      <w:pPr>
        <w:pStyle w:val="BodyText"/>
        <w:spacing w:line="120" w:lineRule="exact"/>
        <w:jc w:val="both"/>
        <w:rPr>
          <w:b/>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12.6</w:t>
      </w:r>
      <w:r>
        <w:tab/>
        <w:t>Prestación de</w:t>
      </w:r>
      <w:r>
        <w:rPr>
          <w:b/>
        </w:rPr>
        <w:t xml:space="preserve"> </w:t>
      </w:r>
      <w:r>
        <w:t>atención prenatal</w:t>
      </w:r>
    </w:p>
    <w:p w:rsidR="00000000" w:rsidRDefault="00000000">
      <w:pPr>
        <w:pStyle w:val="BodyText"/>
        <w:spacing w:line="120" w:lineRule="exact"/>
        <w:jc w:val="both"/>
        <w:rPr>
          <w:b/>
          <w:i/>
          <w:sz w:val="10"/>
        </w:rPr>
      </w:pPr>
    </w:p>
    <w:p w:rsidR="00000000" w:rsidRDefault="00000000">
      <w:pPr>
        <w:pStyle w:val="SingleTxt"/>
      </w:pPr>
      <w:r>
        <w:tab/>
        <w:t>En el cuadro 12.4 se muestra la distribución de los porcentajes de las mujeres que reciben atención prenatal por grupos de edad y personal médico. Las cifras r</w:t>
      </w:r>
      <w:r>
        <w:t>e</w:t>
      </w:r>
      <w:r>
        <w:t>velan que hace falta mucha atención en materia de salud reproductiva y asistencia tocol</w:t>
      </w:r>
      <w:r>
        <w:t>ó</w:t>
      </w:r>
      <w:r>
        <w:t>gica en Nigeria.</w:t>
      </w:r>
    </w:p>
    <w:p w:rsidR="00000000" w:rsidRDefault="00000000">
      <w:pPr>
        <w:pStyle w:val="SingleTxt"/>
      </w:pPr>
      <w:r>
        <w:tab/>
        <w:t>En el cuadro se ve que el 45 por ciento, aproximadamente, de las madres de menos de 20 años de edad no recibieron atención prenatal alguna, mientras que las cifras correspondientes a los grupos de edad comprendidos entre los 20 y los 34 años y de más de 35 años son 26,1 por ciento y 28,4 por ciento, respectivamente. Las enfermeras y parteras representan menos del 42 por ciento en los otros grupos de edad. Se trata de algo inaceptable, por lo que el Gobierno ha creado los mecani</w:t>
      </w:r>
      <w:r>
        <w:t>s</w:t>
      </w:r>
      <w:r>
        <w:t>mos necesarios para corregir los desequilibrios en el sistema de prestación de ate</w:t>
      </w:r>
      <w:r>
        <w:t>n</w:t>
      </w:r>
      <w:r>
        <w:t>ción médica en el país.</w:t>
      </w: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12.7</w:t>
      </w:r>
      <w:r>
        <w:tab/>
        <w:t>Servicios de planificación de la familia</w:t>
      </w:r>
    </w:p>
    <w:p w:rsidR="00000000" w:rsidRDefault="00000000">
      <w:pPr>
        <w:pStyle w:val="BodyText"/>
        <w:spacing w:line="120" w:lineRule="exact"/>
        <w:jc w:val="both"/>
        <w:rPr>
          <w:sz w:val="10"/>
        </w:rPr>
      </w:pPr>
    </w:p>
    <w:p w:rsidR="00000000" w:rsidRDefault="00000000">
      <w:pPr>
        <w:pStyle w:val="SingleTxt"/>
      </w:pPr>
      <w:r>
        <w:tab/>
        <w:t>Los servicios de planificación de la familia disponibles están infrautilizados (figura 12.2). Se necesitan reformas y concienciación para mejorar la salud de las mujeres en edad reproductiva. La actuación del Gobierno mediante la prestación de servicios (la mayoría de las veces) gratuitos de planificación de la familia no ha d</w:t>
      </w:r>
      <w:r>
        <w:t>a</w:t>
      </w:r>
      <w:r>
        <w:t>do aún los resultados esperados. Los resultados sobre la utilización de métodos ant</w:t>
      </w:r>
      <w:r>
        <w:t>i</w:t>
      </w:r>
      <w:r>
        <w:t>conceptivos son, como se ve en el cuadro 12.3, recientes y abundan las pruebas de que puede h</w:t>
      </w:r>
      <w:r>
        <w:t>a</w:t>
      </w:r>
      <w:r>
        <w:t>ber habido un retroceso.</w:t>
      </w:r>
    </w:p>
    <w:p w:rsidR="00000000" w:rsidRDefault="00000000">
      <w:pPr>
        <w:pStyle w:val="BodyText"/>
        <w:spacing w:line="120" w:lineRule="exact"/>
        <w:ind w:left="705"/>
        <w:jc w:val="both"/>
        <w:rPr>
          <w:sz w:val="10"/>
        </w:rPr>
      </w:pPr>
    </w:p>
    <w:p w:rsidR="00000000" w:rsidRDefault="00000000">
      <w:pPr>
        <w:pStyle w:val="BodyText"/>
        <w:spacing w:line="120" w:lineRule="exact"/>
        <w:ind w:left="705"/>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br w:type="page"/>
      </w:r>
      <w:r>
        <w:rPr>
          <w:b w:val="0"/>
        </w:rPr>
        <w:tab/>
      </w:r>
      <w:r>
        <w:rPr>
          <w:b w:val="0"/>
        </w:rPr>
        <w:tab/>
        <w:t xml:space="preserve">Figura 12.2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noProof/>
          <w:u w:val="single"/>
        </w:rPr>
        <w:pict>
          <v:shapetype id="_x0000_t202" coordsize="21600,21600" o:spt="202" path="m,l,21600r21600,l21600,xe">
            <v:stroke joinstyle="miter"/>
            <v:path gradientshapeok="t" o:connecttype="rect"/>
          </v:shapetype>
          <v:shape id="_x0000_s2770" type="#_x0000_t202" style="position:absolute;margin-left:336.25pt;margin-top:50.3pt;width:144.7pt;height:59.4pt;z-index:7;mso-position-horizontal:absolute;mso-position-horizontal-relative:text;mso-position-vertical:absolute;mso-position-vertical-relative:text" o:allowincell="f">
            <v:textbox style="mso-next-textbox:#_x0000_s2770">
              <w:txbxContent>
                <w:p w:rsidR="00000000" w:rsidRDefault="00000000">
                  <w:r>
                    <w:rPr>
                      <w:color w:val="0000FF"/>
                    </w:rPr>
                    <w:t>*</w:t>
                  </w:r>
                  <w:r>
                    <w:rPr>
                      <w:sz w:val="18"/>
                    </w:rPr>
                    <w:t xml:space="preserve"> Cualquier método</w:t>
                  </w:r>
                </w:p>
                <w:p w:rsidR="00000000" w:rsidRDefault="00000000">
                  <w:r>
                    <w:rPr>
                      <w:color w:val="FF00FF"/>
                    </w:rPr>
                    <w:t>*</w:t>
                  </w:r>
                  <w:r>
                    <w:rPr>
                      <w:sz w:val="18"/>
                    </w:rPr>
                    <w:t xml:space="preserve"> Cualquier método moderno</w:t>
                  </w:r>
                </w:p>
                <w:p w:rsidR="00000000" w:rsidRDefault="00000000">
                  <w:r>
                    <w:rPr>
                      <w:color w:val="FFFF00"/>
                    </w:rPr>
                    <w:t>*</w:t>
                  </w:r>
                  <w:r>
                    <w:rPr>
                      <w:sz w:val="18"/>
                    </w:rPr>
                    <w:t xml:space="preserve"> Cualquier método tradicional</w:t>
                  </w:r>
                </w:p>
                <w:p w:rsidR="00000000" w:rsidRDefault="00000000">
                  <w:pPr>
                    <w:rPr>
                      <w:sz w:val="22"/>
                    </w:rPr>
                  </w:pPr>
                  <w:r>
                    <w:rPr>
                      <w:color w:val="00FFFF"/>
                    </w:rPr>
                    <w:t>*</w:t>
                  </w:r>
                  <w:r>
                    <w:rPr>
                      <w:sz w:val="18"/>
                    </w:rPr>
                    <w:t xml:space="preserve"> Otros métodos</w:t>
                  </w:r>
                </w:p>
              </w:txbxContent>
            </v:textbox>
          </v:shape>
        </w:pict>
      </w:r>
      <w:r>
        <w:rPr>
          <w:noProof/>
          <w:u w:val="singl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69" type="#_x0000_t75" style="position:absolute;margin-left:59.85pt;margin-top:17.3pt;width:269.2pt;height:145.35pt;z-index:6;mso-position-horizontal:absolute;mso-position-horizontal-relative:text;mso-position-vertical:absolute;mso-position-vertical-relative:text" o:allowincell="f">
            <v:imagedata r:id="rId16" o:title=""/>
            <w10:wrap type="topAndBottom"/>
          </v:shape>
        </w:pict>
      </w:r>
      <w:r>
        <w:tab/>
      </w:r>
      <w:r>
        <w:tab/>
        <w:t>Servicios disponibles de planificación de la familia</w:t>
      </w:r>
    </w:p>
    <w:p w:rsidR="00000000" w:rsidRDefault="00000000">
      <w:pPr>
        <w:pStyle w:val="BodyText"/>
        <w:spacing w:line="120" w:lineRule="exact"/>
        <w:ind w:left="705"/>
        <w:jc w:val="both"/>
        <w:rPr>
          <w:sz w:val="10"/>
          <w:u w:val="single"/>
        </w:rPr>
      </w:pPr>
    </w:p>
    <w:p w:rsidR="00000000" w:rsidRDefault="00000000">
      <w:pPr>
        <w:pStyle w:val="FootnoteText"/>
        <w:tabs>
          <w:tab w:val="clear" w:pos="418"/>
          <w:tab w:val="right" w:pos="1476"/>
          <w:tab w:val="left" w:pos="1548"/>
          <w:tab w:val="right" w:pos="1836"/>
          <w:tab w:val="left" w:pos="1908"/>
        </w:tabs>
        <w:ind w:left="1548" w:hanging="288"/>
      </w:pPr>
      <w:r>
        <w:rPr>
          <w:i/>
        </w:rPr>
        <w:tab/>
        <w:t>Fuente</w:t>
      </w:r>
      <w:r>
        <w:t>: Ministerio Federal de Salud, 1999.</w:t>
      </w:r>
    </w:p>
    <w:p w:rsidR="00000000" w:rsidRDefault="00000000">
      <w:pPr>
        <w:pStyle w:val="BodyText"/>
        <w:spacing w:line="120" w:lineRule="exact"/>
        <w:jc w:val="both"/>
        <w:rPr>
          <w:b/>
          <w:sz w:val="10"/>
        </w:rPr>
      </w:pPr>
    </w:p>
    <w:p w:rsidR="00000000" w:rsidRDefault="00000000">
      <w:pPr>
        <w:pStyle w:val="SingleTxt"/>
      </w:pPr>
      <w:r>
        <w:tab/>
        <w:t>La tasa nacional global de utilización de los servicios de planificación de la familia es de 15,7 por ciento y se desglosa del modo siguiente: cualquier método moderno (8,6 por ciento), cualquier método tradicional (5,8 por ciento) y otros m</w:t>
      </w:r>
      <w:r>
        <w:t>é</w:t>
      </w:r>
      <w:r>
        <w:t>todos (1,0 por ciento), cifras correspondientes a todas las mujeres. Las cifras corre</w:t>
      </w:r>
      <w:r>
        <w:t>s</w:t>
      </w:r>
      <w:r>
        <w:t>pondientes a todas las mujeres actualmente casadas ofrecen un panorama similar. Sin embargo, en el caso de las mujeres solteras y sexualmente activas las tasas en el nivel nacional correspondientes a cualquier método moderno, cualquier método tr</w:t>
      </w:r>
      <w:r>
        <w:t>a</w:t>
      </w:r>
      <w:r>
        <w:t>dicional y otros métodos ascendían a 58,6 por ciento, 35,4 por ciento, 14,1 por ciento y 4,0 por ciento, respectivamente. En estos últimos casos eran mayores que las de los grupos anteriores.</w:t>
      </w:r>
    </w:p>
    <w:p w:rsidR="00000000" w:rsidRDefault="00000000">
      <w:pPr>
        <w:pStyle w:val="BodyText"/>
        <w:spacing w:line="120" w:lineRule="exact"/>
        <w:ind w:left="708"/>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ab/>
      </w:r>
      <w:r>
        <w:rPr>
          <w:b w:val="0"/>
        </w:rPr>
        <w:tab/>
        <w:t>Cuadro 12.3</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Tasa de utilización de la anticoncepción, por método</w:t>
      </w:r>
    </w:p>
    <w:p w:rsidR="00000000" w:rsidRDefault="00000000">
      <w:pPr>
        <w:spacing w:line="120" w:lineRule="exact"/>
        <w:rPr>
          <w:sz w:val="10"/>
        </w:rPr>
      </w:pPr>
    </w:p>
    <w:tbl>
      <w:tblPr>
        <w:tblW w:w="0" w:type="auto"/>
        <w:tblInd w:w="1161" w:type="dxa"/>
        <w:tblLayout w:type="fixed"/>
        <w:tblLook w:val="0000" w:firstRow="0" w:lastRow="0" w:firstColumn="0" w:lastColumn="0" w:noHBand="0" w:noVBand="0"/>
      </w:tblPr>
      <w:tblGrid>
        <w:gridCol w:w="1695"/>
        <w:gridCol w:w="1407"/>
        <w:gridCol w:w="1407"/>
        <w:gridCol w:w="1407"/>
        <w:gridCol w:w="1385"/>
        <w:gridCol w:w="22"/>
      </w:tblGrid>
      <w:tr w:rsidR="00000000">
        <w:tblPrEx>
          <w:tblCellMar>
            <w:top w:w="0" w:type="dxa"/>
            <w:bottom w:w="0" w:type="dxa"/>
          </w:tblCellMar>
        </w:tblPrEx>
        <w:trPr>
          <w:gridAfter w:val="1"/>
          <w:wAfter w:w="22" w:type="dxa"/>
          <w:tblHeader/>
        </w:trPr>
        <w:tc>
          <w:tcPr>
            <w:tcW w:w="1695" w:type="dxa"/>
            <w:tcBorders>
              <w:top w:val="single" w:sz="4" w:space="0" w:color="auto"/>
            </w:tcBorders>
            <w:vAlign w:val="bottom"/>
          </w:tcPr>
          <w:p w:rsidR="00000000" w:rsidRDefault="00000000">
            <w:pPr>
              <w:pStyle w:val="BodyText"/>
              <w:spacing w:before="80" w:after="80" w:line="160" w:lineRule="exact"/>
              <w:ind w:right="43"/>
              <w:jc w:val="left"/>
              <w:rPr>
                <w:i/>
                <w:sz w:val="14"/>
              </w:rPr>
            </w:pPr>
            <w:r>
              <w:rPr>
                <w:i/>
                <w:sz w:val="14"/>
              </w:rPr>
              <w:t>Edad</w:t>
            </w:r>
          </w:p>
        </w:tc>
        <w:tc>
          <w:tcPr>
            <w:tcW w:w="1407" w:type="dxa"/>
            <w:tcBorders>
              <w:top w:val="single" w:sz="4" w:space="0" w:color="auto"/>
            </w:tcBorders>
            <w:vAlign w:val="bottom"/>
          </w:tcPr>
          <w:p w:rsidR="00000000" w:rsidRDefault="00000000">
            <w:pPr>
              <w:pStyle w:val="BodyText"/>
              <w:spacing w:before="80" w:after="80" w:line="160" w:lineRule="exact"/>
              <w:ind w:right="40"/>
              <w:jc w:val="right"/>
              <w:rPr>
                <w:i/>
                <w:sz w:val="14"/>
                <w:lang w:val="es-ES_tradnl"/>
              </w:rPr>
            </w:pPr>
            <w:r>
              <w:rPr>
                <w:i/>
                <w:sz w:val="14"/>
              </w:rPr>
              <w:t>Cualquier</w:t>
            </w:r>
            <w:r>
              <w:rPr>
                <w:i/>
                <w:sz w:val="14"/>
                <w:lang w:val="es-ES_tradnl"/>
              </w:rPr>
              <w:t xml:space="preserve"> método</w:t>
            </w:r>
          </w:p>
        </w:tc>
        <w:tc>
          <w:tcPr>
            <w:tcW w:w="1407"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Cualquier método mo</w:t>
            </w:r>
            <w:r>
              <w:rPr>
                <w:i/>
                <w:sz w:val="14"/>
              </w:rPr>
              <w:t>n</w:t>
            </w:r>
            <w:r>
              <w:rPr>
                <w:i/>
                <w:sz w:val="14"/>
              </w:rPr>
              <w:t>derno</w:t>
            </w:r>
          </w:p>
        </w:tc>
        <w:tc>
          <w:tcPr>
            <w:tcW w:w="1407"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Cualquier método trad</w:t>
            </w:r>
            <w:r>
              <w:rPr>
                <w:i/>
                <w:sz w:val="14"/>
              </w:rPr>
              <w:t>i</w:t>
            </w:r>
            <w:r>
              <w:rPr>
                <w:i/>
                <w:sz w:val="14"/>
              </w:rPr>
              <w:t>cional</w:t>
            </w:r>
          </w:p>
        </w:tc>
        <w:tc>
          <w:tcPr>
            <w:tcW w:w="1385" w:type="dxa"/>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Otros métodos</w:t>
            </w:r>
          </w:p>
        </w:tc>
      </w:tr>
      <w:tr w:rsidR="00000000">
        <w:tblPrEx>
          <w:tblCellMar>
            <w:top w:w="0" w:type="dxa"/>
            <w:bottom w:w="0" w:type="dxa"/>
          </w:tblCellMar>
        </w:tblPrEx>
        <w:trPr>
          <w:gridAfter w:val="1"/>
          <w:wAfter w:w="22" w:type="dxa"/>
          <w:trHeight w:hRule="exact" w:val="115"/>
          <w:tblHeader/>
        </w:trPr>
        <w:tc>
          <w:tcPr>
            <w:tcW w:w="1695" w:type="dxa"/>
            <w:tcBorders>
              <w:top w:val="single" w:sz="12" w:space="0" w:color="auto"/>
            </w:tcBorders>
            <w:vAlign w:val="bottom"/>
          </w:tcPr>
          <w:p w:rsidR="00000000" w:rsidRDefault="00000000">
            <w:pPr>
              <w:pStyle w:val="BodyText"/>
              <w:spacing w:before="40" w:after="40" w:line="210" w:lineRule="exact"/>
              <w:ind w:right="43"/>
              <w:jc w:val="left"/>
              <w:rPr>
                <w:sz w:val="17"/>
              </w:rPr>
            </w:pPr>
          </w:p>
        </w:tc>
        <w:tc>
          <w:tcPr>
            <w:tcW w:w="1407"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1407"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1407" w:type="dxa"/>
            <w:tcBorders>
              <w:top w:val="single" w:sz="12" w:space="0" w:color="auto"/>
            </w:tcBorders>
            <w:vAlign w:val="bottom"/>
          </w:tcPr>
          <w:p w:rsidR="00000000" w:rsidRDefault="00000000">
            <w:pPr>
              <w:pStyle w:val="BodyText"/>
              <w:spacing w:before="40" w:after="40" w:line="210" w:lineRule="exact"/>
              <w:ind w:right="40"/>
              <w:jc w:val="right"/>
              <w:rPr>
                <w:sz w:val="17"/>
              </w:rPr>
            </w:pPr>
          </w:p>
        </w:tc>
        <w:tc>
          <w:tcPr>
            <w:tcW w:w="1385" w:type="dxa"/>
            <w:tcBorders>
              <w:top w:val="single" w:sz="12" w:space="0" w:color="auto"/>
            </w:tcBorders>
            <w:vAlign w:val="bottom"/>
          </w:tcPr>
          <w:p w:rsidR="00000000" w:rsidRDefault="00000000">
            <w:pPr>
              <w:pStyle w:val="BodyText"/>
              <w:spacing w:before="40" w:after="40" w:line="210" w:lineRule="exact"/>
              <w:ind w:right="40"/>
              <w:jc w:val="right"/>
              <w:rPr>
                <w:sz w:val="17"/>
              </w:rPr>
            </w:pPr>
          </w:p>
        </w:tc>
      </w:tr>
      <w:tr w:rsidR="00000000">
        <w:tblPrEx>
          <w:tblCellMar>
            <w:top w:w="0" w:type="dxa"/>
            <w:bottom w:w="0" w:type="dxa"/>
          </w:tblCellMar>
        </w:tblPrEx>
        <w:trPr>
          <w:gridAfter w:val="1"/>
          <w:wAfter w:w="22" w:type="dxa"/>
        </w:trPr>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15-19</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6,6</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3,2</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2,9</w:t>
            </w:r>
          </w:p>
        </w:tc>
        <w:tc>
          <w:tcPr>
            <w:tcW w:w="13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bottom w:w="0" w:type="dxa"/>
          </w:tblCellMar>
        </w:tblPrEx>
        <w:trPr>
          <w:gridAfter w:val="1"/>
          <w:wAfter w:w="22" w:type="dxa"/>
        </w:trPr>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20-24</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16,0</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7,9</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7,0</w:t>
            </w:r>
          </w:p>
        </w:tc>
        <w:tc>
          <w:tcPr>
            <w:tcW w:w="13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bottom w:w="0" w:type="dxa"/>
          </w:tblCellMar>
        </w:tblPrEx>
        <w:trPr>
          <w:gridAfter w:val="1"/>
          <w:wAfter w:w="22" w:type="dxa"/>
        </w:trPr>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25-29</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17,2</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8,8</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7,3</w:t>
            </w:r>
          </w:p>
        </w:tc>
        <w:tc>
          <w:tcPr>
            <w:tcW w:w="13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bottom w:w="0" w:type="dxa"/>
          </w:tblCellMar>
        </w:tblPrEx>
        <w:trPr>
          <w:gridAfter w:val="1"/>
          <w:wAfter w:w="22" w:type="dxa"/>
        </w:trPr>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30-34</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20,8</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13,6</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6,6</w:t>
            </w:r>
          </w:p>
        </w:tc>
        <w:tc>
          <w:tcPr>
            <w:tcW w:w="13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0,6</w:t>
            </w:r>
          </w:p>
        </w:tc>
      </w:tr>
      <w:tr w:rsidR="00000000">
        <w:tblPrEx>
          <w:tblCellMar>
            <w:top w:w="0" w:type="dxa"/>
            <w:bottom w:w="0" w:type="dxa"/>
          </w:tblCellMar>
        </w:tblPrEx>
        <w:trPr>
          <w:gridAfter w:val="1"/>
          <w:wAfter w:w="22" w:type="dxa"/>
        </w:trPr>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35-39</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20,5</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13,3</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6,6</w:t>
            </w:r>
          </w:p>
        </w:tc>
        <w:tc>
          <w:tcPr>
            <w:tcW w:w="13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0,6</w:t>
            </w:r>
          </w:p>
        </w:tc>
      </w:tr>
      <w:tr w:rsidR="00000000">
        <w:tblPrEx>
          <w:tblCellMar>
            <w:top w:w="0" w:type="dxa"/>
            <w:bottom w:w="0" w:type="dxa"/>
          </w:tblCellMar>
        </w:tblPrEx>
        <w:trPr>
          <w:gridAfter w:val="1"/>
          <w:wAfter w:w="22" w:type="dxa"/>
        </w:trPr>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40-44</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19,8</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11,7</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5,6</w:t>
            </w:r>
          </w:p>
        </w:tc>
        <w:tc>
          <w:tcPr>
            <w:tcW w:w="13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bottom w:w="0" w:type="dxa"/>
          </w:tblCellMar>
        </w:tblPrEx>
        <w:trPr>
          <w:gridAfter w:val="1"/>
          <w:wAfter w:w="22" w:type="dxa"/>
        </w:trPr>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45-44</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14,9</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8,7</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5,2</w:t>
            </w:r>
          </w:p>
        </w:tc>
        <w:tc>
          <w:tcPr>
            <w:tcW w:w="13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0,9</w:t>
            </w:r>
          </w:p>
        </w:tc>
      </w:tr>
      <w:tr w:rsidR="00000000">
        <w:tblPrEx>
          <w:tblCellMar>
            <w:top w:w="0" w:type="dxa"/>
            <w:bottom w:w="0" w:type="dxa"/>
          </w:tblCellMar>
        </w:tblPrEx>
        <w:trPr>
          <w:gridAfter w:val="1"/>
          <w:wAfter w:w="22" w:type="dxa"/>
        </w:trPr>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TOTAL</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15,7</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8,9</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5,8</w:t>
            </w:r>
          </w:p>
        </w:tc>
        <w:tc>
          <w:tcPr>
            <w:tcW w:w="1385"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bottom w:w="0" w:type="dxa"/>
          </w:tblCellMar>
        </w:tblPrEx>
        <w:trPr>
          <w:gridAfter w:val="1"/>
          <w:wAfter w:w="22" w:type="dxa"/>
        </w:trPr>
        <w:tc>
          <w:tcPr>
            <w:tcW w:w="7301" w:type="dxa"/>
            <w:gridSpan w:val="5"/>
            <w:vAlign w:val="bottom"/>
          </w:tcPr>
          <w:p w:rsidR="00000000" w:rsidRDefault="00000000">
            <w:pPr>
              <w:pStyle w:val="BodyText"/>
              <w:tabs>
                <w:tab w:val="left" w:pos="288"/>
                <w:tab w:val="left" w:pos="576"/>
                <w:tab w:val="left" w:pos="864"/>
                <w:tab w:val="left" w:pos="1152"/>
              </w:tabs>
              <w:spacing w:before="40" w:after="40" w:line="210" w:lineRule="exact"/>
              <w:ind w:right="43"/>
              <w:jc w:val="left"/>
              <w:rPr>
                <w:b/>
                <w:sz w:val="17"/>
              </w:rPr>
            </w:pPr>
            <w:r>
              <w:rPr>
                <w:b/>
                <w:sz w:val="17"/>
              </w:rPr>
              <w:t>Actualmente casadas</w:t>
            </w:r>
          </w:p>
        </w:tc>
      </w:tr>
      <w:tr w:rsidR="00000000">
        <w:tblPrEx>
          <w:tblCellMar>
            <w:top w:w="0" w:type="dxa"/>
            <w:bottom w:w="0" w:type="dxa"/>
          </w:tblCellMar>
        </w:tblPrEx>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15-19</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4,2</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2,5</w:t>
            </w:r>
          </w:p>
        </w:tc>
        <w:tc>
          <w:tcPr>
            <w:tcW w:w="1407"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bottom w:w="0" w:type="dxa"/>
          </w:tblCellMar>
        </w:tblPrEx>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20-24</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8,2</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2,6</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4,7</w:t>
            </w:r>
          </w:p>
        </w:tc>
        <w:tc>
          <w:tcPr>
            <w:tcW w:w="1407"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0,9</w:t>
            </w:r>
          </w:p>
        </w:tc>
      </w:tr>
      <w:tr w:rsidR="00000000">
        <w:tblPrEx>
          <w:tblCellMar>
            <w:top w:w="0" w:type="dxa"/>
            <w:bottom w:w="0" w:type="dxa"/>
          </w:tblCellMar>
        </w:tblPrEx>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25-29</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13,9</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6,7</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6,1</w:t>
            </w:r>
          </w:p>
        </w:tc>
        <w:tc>
          <w:tcPr>
            <w:tcW w:w="1407"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bottom w:w="0" w:type="dxa"/>
          </w:tblCellMar>
        </w:tblPrEx>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30-34</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20,1</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12,7</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6,7</w:t>
            </w:r>
          </w:p>
        </w:tc>
        <w:tc>
          <w:tcPr>
            <w:tcW w:w="1407"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bottom w:w="0" w:type="dxa"/>
          </w:tblCellMar>
        </w:tblPrEx>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35-39</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20,7</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13,3</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7,1</w:t>
            </w:r>
          </w:p>
        </w:tc>
        <w:tc>
          <w:tcPr>
            <w:tcW w:w="1407"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bottom w:w="0" w:type="dxa"/>
          </w:tblCellMar>
        </w:tblPrEx>
        <w:tc>
          <w:tcPr>
            <w:tcW w:w="1695"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3"/>
              <w:jc w:val="left"/>
              <w:rPr>
                <w:sz w:val="17"/>
              </w:rPr>
            </w:pPr>
            <w:r>
              <w:rPr>
                <w:sz w:val="17"/>
              </w:rPr>
              <w:t>40-44</w:t>
            </w:r>
          </w:p>
        </w:tc>
        <w:tc>
          <w:tcPr>
            <w:tcW w:w="1407"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20,5</w:t>
            </w:r>
          </w:p>
        </w:tc>
        <w:tc>
          <w:tcPr>
            <w:tcW w:w="1407"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12,1</w:t>
            </w:r>
          </w:p>
        </w:tc>
        <w:tc>
          <w:tcPr>
            <w:tcW w:w="1407"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5,9</w:t>
            </w:r>
          </w:p>
        </w:tc>
        <w:tc>
          <w:tcPr>
            <w:tcW w:w="1407" w:type="dxa"/>
            <w:gridSpan w:val="2"/>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bottom w:w="0" w:type="dxa"/>
          </w:tblCellMar>
        </w:tblPrEx>
        <w:tc>
          <w:tcPr>
            <w:tcW w:w="1695"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3"/>
              <w:jc w:val="left"/>
              <w:rPr>
                <w:sz w:val="17"/>
              </w:rPr>
            </w:pPr>
            <w:r>
              <w:rPr>
                <w:sz w:val="17"/>
              </w:rPr>
              <w:t>45-49</w:t>
            </w:r>
          </w:p>
        </w:tc>
        <w:tc>
          <w:tcPr>
            <w:tcW w:w="1407"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16,5</w:t>
            </w:r>
          </w:p>
        </w:tc>
        <w:tc>
          <w:tcPr>
            <w:tcW w:w="1407"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9,4</w:t>
            </w:r>
          </w:p>
        </w:tc>
        <w:tc>
          <w:tcPr>
            <w:tcW w:w="1407" w:type="dxa"/>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6,2</w:t>
            </w:r>
          </w:p>
        </w:tc>
        <w:tc>
          <w:tcPr>
            <w:tcW w:w="1407" w:type="dxa"/>
            <w:gridSpan w:val="2"/>
            <w:vAlign w:val="bottom"/>
          </w:tcPr>
          <w:p w:rsidR="00000000" w:rsidRDefault="00000000">
            <w:pPr>
              <w:pStyle w:val="BodyText"/>
              <w:keepNext/>
              <w:keepLines/>
              <w:tabs>
                <w:tab w:val="left" w:pos="288"/>
                <w:tab w:val="left" w:pos="576"/>
                <w:tab w:val="left" w:pos="864"/>
                <w:tab w:val="left" w:pos="1152"/>
              </w:tabs>
              <w:spacing w:before="40" w:after="40" w:line="210" w:lineRule="exact"/>
              <w:ind w:right="40"/>
              <w:jc w:val="right"/>
              <w:rPr>
                <w:sz w:val="17"/>
              </w:rPr>
            </w:pPr>
            <w:r>
              <w:rPr>
                <w:sz w:val="17"/>
              </w:rPr>
              <w:t>0,9</w:t>
            </w:r>
          </w:p>
        </w:tc>
      </w:tr>
      <w:tr w:rsidR="00000000">
        <w:tblPrEx>
          <w:tblCellMar>
            <w:top w:w="0" w:type="dxa"/>
            <w:bottom w:w="0" w:type="dxa"/>
          </w:tblCellMar>
        </w:tblPrEx>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Total</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15,7</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8,6</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5,8</w:t>
            </w:r>
          </w:p>
        </w:tc>
        <w:tc>
          <w:tcPr>
            <w:tcW w:w="1407"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0,9</w:t>
            </w:r>
          </w:p>
        </w:tc>
      </w:tr>
      <w:tr w:rsidR="00000000">
        <w:tblPrEx>
          <w:tblCellMar>
            <w:top w:w="0" w:type="dxa"/>
            <w:bottom w:w="0" w:type="dxa"/>
          </w:tblCellMar>
        </w:tblPrEx>
        <w:trPr>
          <w:gridAfter w:val="1"/>
          <w:wAfter w:w="22" w:type="dxa"/>
        </w:trPr>
        <w:tc>
          <w:tcPr>
            <w:tcW w:w="7301" w:type="dxa"/>
            <w:gridSpan w:val="5"/>
            <w:vAlign w:val="bottom"/>
          </w:tcPr>
          <w:p w:rsidR="00000000" w:rsidRDefault="00000000">
            <w:pPr>
              <w:pStyle w:val="BodyText"/>
              <w:tabs>
                <w:tab w:val="left" w:pos="288"/>
                <w:tab w:val="left" w:pos="576"/>
                <w:tab w:val="left" w:pos="864"/>
                <w:tab w:val="left" w:pos="1152"/>
              </w:tabs>
              <w:spacing w:before="40" w:after="40" w:line="210" w:lineRule="exact"/>
              <w:ind w:right="43"/>
              <w:jc w:val="left"/>
              <w:rPr>
                <w:b/>
                <w:sz w:val="17"/>
              </w:rPr>
            </w:pPr>
            <w:r>
              <w:rPr>
                <w:b/>
                <w:sz w:val="17"/>
              </w:rPr>
              <w:t>Mujeres solteras sexualmente activas</w:t>
            </w:r>
          </w:p>
        </w:tc>
      </w:tr>
      <w:tr w:rsidR="00000000">
        <w:tblPrEx>
          <w:tblCellMar>
            <w:top w:w="0" w:type="dxa"/>
            <w:bottom w:w="0" w:type="dxa"/>
          </w:tblCellMar>
        </w:tblPrEx>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15-19</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46,6</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23,0</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17,5</w:t>
            </w:r>
          </w:p>
        </w:tc>
        <w:tc>
          <w:tcPr>
            <w:tcW w:w="1407"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bottom w:w="0" w:type="dxa"/>
          </w:tblCellMar>
        </w:tblPrEx>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20-24</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68,3</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40,4</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25,1</w:t>
            </w:r>
          </w:p>
        </w:tc>
        <w:tc>
          <w:tcPr>
            <w:tcW w:w="1407"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bottom w:w="0" w:type="dxa"/>
          </w:tblCellMar>
        </w:tblPrEx>
        <w:tc>
          <w:tcPr>
            <w:tcW w:w="1695" w:type="dxa"/>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25+</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58,0</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35,4</w:t>
            </w:r>
          </w:p>
        </w:tc>
        <w:tc>
          <w:tcPr>
            <w:tcW w:w="1407"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19,1</w:t>
            </w:r>
          </w:p>
        </w:tc>
        <w:tc>
          <w:tcPr>
            <w:tcW w:w="1407" w:type="dxa"/>
            <w:gridSpan w:val="2"/>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bottom w:w="0" w:type="dxa"/>
          </w:tblCellMar>
        </w:tblPrEx>
        <w:tc>
          <w:tcPr>
            <w:tcW w:w="1695"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3"/>
              <w:jc w:val="left"/>
              <w:rPr>
                <w:sz w:val="17"/>
              </w:rPr>
            </w:pPr>
            <w:r>
              <w:rPr>
                <w:sz w:val="17"/>
              </w:rPr>
              <w:t>Total</w:t>
            </w:r>
          </w:p>
        </w:tc>
        <w:tc>
          <w:tcPr>
            <w:tcW w:w="1407"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58,6</w:t>
            </w:r>
          </w:p>
        </w:tc>
        <w:tc>
          <w:tcPr>
            <w:tcW w:w="1407"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35,4</w:t>
            </w:r>
          </w:p>
        </w:tc>
        <w:tc>
          <w:tcPr>
            <w:tcW w:w="1407"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19,1</w:t>
            </w:r>
          </w:p>
        </w:tc>
        <w:tc>
          <w:tcPr>
            <w:tcW w:w="1407" w:type="dxa"/>
            <w:gridSpan w:val="2"/>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4,0</w:t>
            </w:r>
          </w:p>
        </w:tc>
      </w:tr>
    </w:tbl>
    <w:p w:rsidR="00000000" w:rsidRDefault="00000000">
      <w:pPr>
        <w:pStyle w:val="BodyText"/>
        <w:spacing w:line="120" w:lineRule="exact"/>
        <w:ind w:left="708"/>
        <w:jc w:val="both"/>
        <w:rPr>
          <w:sz w:val="10"/>
        </w:rPr>
      </w:pPr>
    </w:p>
    <w:p w:rsidR="00000000" w:rsidRDefault="00000000">
      <w:pPr>
        <w:pStyle w:val="FootnoteText"/>
        <w:tabs>
          <w:tab w:val="clear" w:pos="418"/>
          <w:tab w:val="right" w:pos="1476"/>
          <w:tab w:val="left" w:pos="1548"/>
          <w:tab w:val="right" w:pos="1836"/>
          <w:tab w:val="left" w:pos="1908"/>
        </w:tabs>
        <w:ind w:left="1548" w:hanging="288"/>
        <w:rPr>
          <w:b/>
        </w:rPr>
      </w:pPr>
      <w:r>
        <w:rPr>
          <w:i/>
        </w:rPr>
        <w:t>Fuente</w:t>
      </w:r>
      <w:r>
        <w:t>: Ministerio Federal de Salud, 1999</w:t>
      </w:r>
      <w:r>
        <w:rPr>
          <w:b/>
        </w:rPr>
        <w:t>.</w:t>
      </w:r>
    </w:p>
    <w:p w:rsidR="00000000" w:rsidRDefault="00000000">
      <w:pPr>
        <w:pStyle w:val="BodyText"/>
        <w:spacing w:line="120" w:lineRule="exact"/>
        <w:ind w:left="1416"/>
        <w:jc w:val="both"/>
        <w:rPr>
          <w:b/>
          <w:sz w:val="10"/>
        </w:rPr>
      </w:pPr>
    </w:p>
    <w:p w:rsidR="00000000" w:rsidRDefault="00000000">
      <w:pPr>
        <w:pStyle w:val="BodyText"/>
        <w:spacing w:line="120" w:lineRule="exact"/>
        <w:ind w:left="1416"/>
        <w:jc w:val="both"/>
        <w:rPr>
          <w:b/>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12.8</w:t>
      </w:r>
      <w:r>
        <w:tab/>
        <w:t>VIH/SIDA</w:t>
      </w:r>
    </w:p>
    <w:p w:rsidR="00000000" w:rsidRDefault="00000000">
      <w:pPr>
        <w:pStyle w:val="BodyText"/>
        <w:spacing w:line="120" w:lineRule="exact"/>
        <w:jc w:val="both"/>
        <w:rPr>
          <w:b/>
          <w:i/>
          <w:sz w:val="10"/>
        </w:rPr>
      </w:pPr>
    </w:p>
    <w:p w:rsidR="00000000" w:rsidRDefault="00000000">
      <w:pPr>
        <w:pStyle w:val="SingleTxt"/>
      </w:pPr>
      <w:r>
        <w:tab/>
        <w:t>La epidemia de VIH/SIDA merece atención especial. Ha pasado a ocupar el primer plano en Nigeria, con una tasa de prevalencia en aumento, que oscila entre el 1,8 por ciento, aproximadamente, en 1992 y el 5,4 por ciento en 1999.  En la figura 12.3 se ven las tendencias de las tasas de prevalencia nacional del VIH.</w:t>
      </w:r>
    </w:p>
    <w:p w:rsidR="00000000" w:rsidRDefault="00000000">
      <w:pPr>
        <w:pStyle w:val="BodyText"/>
        <w:spacing w:line="120" w:lineRule="exact"/>
        <w:ind w:left="705"/>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ab/>
      </w:r>
      <w:r>
        <w:rPr>
          <w:b w:val="0"/>
        </w:rPr>
        <w:tab/>
        <w:t xml:space="preserve">Figura 12.3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Tasa nacional de prevalencia del VIH/SIDA 1992-1999</w:t>
      </w:r>
    </w:p>
    <w:p w:rsidR="00000000" w:rsidRDefault="00000000">
      <w:pPr>
        <w:pStyle w:val="BodyText"/>
        <w:spacing w:line="120" w:lineRule="exact"/>
        <w:ind w:left="705"/>
        <w:jc w:val="both"/>
        <w:rPr>
          <w:b/>
          <w:sz w:val="10"/>
        </w:rPr>
      </w:pPr>
    </w:p>
    <w:p w:rsidR="00000000" w:rsidRDefault="00000000">
      <w:pPr>
        <w:pStyle w:val="BodyText"/>
        <w:spacing w:line="120" w:lineRule="exact"/>
        <w:ind w:left="705"/>
        <w:jc w:val="both"/>
        <w:rPr>
          <w:b/>
          <w:sz w:val="10"/>
        </w:rPr>
      </w:pPr>
    </w:p>
    <w:p w:rsidR="00000000" w:rsidRDefault="00000000">
      <w:pPr>
        <w:spacing w:line="240" w:lineRule="auto"/>
        <w:ind w:left="720"/>
      </w:pPr>
      <w:r>
        <w:rPr>
          <w:noProof/>
          <w:w w:val="100"/>
        </w:rPr>
        <w:pict>
          <v:group id="_x0000_s2785" style="position:absolute;left:0;text-align:left;margin-left:71.9pt;margin-top:10pt;width:342.95pt;height:128.7pt;z-index:8" coordorigin="2633,4022" coordsize="6859,2574" o:allowincell="f">
            <v:line id="_x0000_s2786" style="position:absolute" from="3715,6257" to="8654,6267"/>
            <v:line id="_x0000_s2787" style="position:absolute;flip:y" from="3710,4146" to="3715,6242"/>
            <v:line id="_x0000_s2788" style="position:absolute;flip:y" from="4255,6112" to="4255,6292">
              <v:stroke endarrow="block"/>
            </v:line>
            <v:line id="_x0000_s2789" style="position:absolute;flip:y" from="7135,6112" to="7135,6292">
              <v:stroke endarrow="block"/>
            </v:line>
            <v:line id="_x0000_s2790" style="position:absolute;flip:y" from="8496,6112" to="8496,6292">
              <v:stroke endarrow="block"/>
            </v:line>
            <v:line id="_x0000_s2791" style="position:absolute;flip:y" from="5695,6112" to="5695,6292">
              <v:stroke endarrow="block"/>
            </v:line>
            <v:line id="_x0000_s2792" style="position:absolute;flip:y" from="4238,5359" to="5515,5863"/>
            <v:line id="_x0000_s2793" style="position:absolute;flip:y" from="5531,4910" to="7135,5352"/>
            <v:line id="_x0000_s2794" style="position:absolute;flip:y" from="7143,4460" to="8395,4902"/>
            <v:line id="_x0000_s2795" style="position:absolute" from="2635,6587" to="9475,6587"/>
            <v:line id="_x0000_s2796" style="position:absolute;flip:y" from="2633,4044" to="2641,6592"/>
            <v:line id="_x0000_s2797" style="position:absolute;flip:y" from="2649,4025" to="9492,4028"/>
            <v:line id="_x0000_s2798" style="position:absolute;flip:x" from="9469,4022" to="9472,6596"/>
          </v:group>
        </w:pict>
      </w:r>
    </w:p>
    <w:p w:rsidR="00000000" w:rsidRDefault="00000000">
      <w:pPr>
        <w:spacing w:line="240" w:lineRule="auto"/>
        <w:ind w:left="720"/>
        <w:jc w:val="center"/>
      </w:pPr>
    </w:p>
    <w:p w:rsidR="00000000" w:rsidRDefault="00000000">
      <w:pPr>
        <w:spacing w:line="240" w:lineRule="auto"/>
        <w:ind w:left="720"/>
      </w:pPr>
    </w:p>
    <w:p w:rsidR="00000000" w:rsidRDefault="00000000">
      <w:pPr>
        <w:spacing w:line="240" w:lineRule="auto"/>
        <w:ind w:left="720"/>
      </w:pPr>
      <w:r>
        <w:tab/>
      </w:r>
      <w:r>
        <w:tab/>
      </w:r>
      <w:r>
        <w:tab/>
      </w:r>
      <w:r>
        <w:tab/>
      </w:r>
      <w:r>
        <w:tab/>
      </w:r>
      <w:r>
        <w:tab/>
      </w:r>
      <w:r>
        <w:tab/>
      </w:r>
      <w:r>
        <w:tab/>
      </w:r>
      <w:r>
        <w:tab/>
      </w:r>
      <w:r>
        <w:tab/>
      </w:r>
      <w:r>
        <w:tab/>
      </w:r>
      <w:r>
        <w:tab/>
      </w:r>
      <w:r>
        <w:tab/>
      </w:r>
      <w:r>
        <w:tab/>
        <w:t>5.4</w:t>
      </w:r>
    </w:p>
    <w:p w:rsidR="00000000" w:rsidRDefault="00000000">
      <w:pPr>
        <w:spacing w:line="240" w:lineRule="auto"/>
        <w:ind w:left="720"/>
      </w:pPr>
    </w:p>
    <w:p w:rsidR="00000000" w:rsidRDefault="00000000">
      <w:pPr>
        <w:spacing w:line="240" w:lineRule="auto"/>
        <w:ind w:left="720"/>
      </w:pPr>
      <w:r>
        <w:tab/>
      </w:r>
      <w:r>
        <w:tab/>
      </w:r>
      <w:r>
        <w:tab/>
      </w:r>
      <w:r>
        <w:tab/>
      </w:r>
      <w:r>
        <w:tab/>
      </w:r>
      <w:r>
        <w:tab/>
      </w:r>
      <w:r>
        <w:tab/>
      </w:r>
      <w:r>
        <w:tab/>
      </w:r>
      <w:r>
        <w:tab/>
      </w:r>
      <w:r>
        <w:tab/>
      </w:r>
      <w:r>
        <w:tab/>
        <w:t xml:space="preserve"> 4.5</w:t>
      </w:r>
    </w:p>
    <w:p w:rsidR="00000000" w:rsidRDefault="00000000">
      <w:pPr>
        <w:spacing w:line="240" w:lineRule="auto"/>
        <w:ind w:left="720"/>
      </w:pPr>
    </w:p>
    <w:p w:rsidR="00000000" w:rsidRDefault="00000000">
      <w:pPr>
        <w:spacing w:line="240" w:lineRule="auto"/>
        <w:ind w:left="720"/>
      </w:pPr>
      <w:r>
        <w:tab/>
      </w:r>
      <w:r>
        <w:tab/>
      </w:r>
      <w:r>
        <w:tab/>
      </w:r>
      <w:r>
        <w:tab/>
      </w:r>
      <w:r>
        <w:tab/>
      </w:r>
      <w:r>
        <w:tab/>
      </w:r>
      <w:r>
        <w:tab/>
      </w:r>
      <w:r>
        <w:tab/>
        <w:t>3.8</w:t>
      </w:r>
    </w:p>
    <w:p w:rsidR="00000000" w:rsidRDefault="00000000">
      <w:pPr>
        <w:spacing w:line="240" w:lineRule="auto"/>
        <w:ind w:left="720"/>
      </w:pPr>
    </w:p>
    <w:p w:rsidR="00000000" w:rsidRDefault="00000000">
      <w:pPr>
        <w:spacing w:line="240" w:lineRule="auto"/>
        <w:ind w:left="720"/>
      </w:pPr>
      <w:r>
        <w:tab/>
      </w:r>
      <w:r>
        <w:tab/>
      </w:r>
      <w:r>
        <w:tab/>
      </w:r>
      <w:r>
        <w:tab/>
      </w:r>
      <w:r>
        <w:tab/>
        <w:t xml:space="preserve"> 1.8</w:t>
      </w:r>
    </w:p>
    <w:p w:rsidR="00000000" w:rsidRDefault="00000000">
      <w:pPr>
        <w:spacing w:line="240" w:lineRule="auto"/>
        <w:ind w:left="720"/>
      </w:pPr>
    </w:p>
    <w:p w:rsidR="00000000" w:rsidRDefault="00000000">
      <w:pPr>
        <w:spacing w:line="240" w:lineRule="auto"/>
        <w:ind w:left="720"/>
      </w:pPr>
      <w:r>
        <w:tab/>
      </w:r>
      <w:r>
        <w:tab/>
      </w:r>
      <w:r>
        <w:tab/>
      </w:r>
      <w:r>
        <w:tab/>
      </w:r>
      <w:r>
        <w:tab/>
        <w:t>1992</w:t>
      </w:r>
      <w:r>
        <w:tab/>
      </w:r>
      <w:r>
        <w:tab/>
      </w:r>
      <w:r>
        <w:tab/>
        <w:t>1994</w:t>
      </w:r>
      <w:r>
        <w:tab/>
      </w:r>
      <w:r>
        <w:tab/>
      </w:r>
      <w:r>
        <w:tab/>
        <w:t>1996</w:t>
      </w:r>
      <w:r>
        <w:tab/>
      </w:r>
      <w:r>
        <w:tab/>
      </w:r>
      <w:r>
        <w:tab/>
        <w:t>1999</w:t>
      </w:r>
    </w:p>
    <w:p w:rsidR="00000000" w:rsidRDefault="00000000">
      <w:pPr>
        <w:spacing w:line="120" w:lineRule="exact"/>
        <w:ind w:left="720"/>
        <w:rPr>
          <w:sz w:val="10"/>
        </w:rPr>
      </w:pPr>
    </w:p>
    <w:p w:rsidR="00000000" w:rsidRDefault="00000000">
      <w:pPr>
        <w:pStyle w:val="BodyText"/>
        <w:spacing w:line="360" w:lineRule="auto"/>
        <w:ind w:left="705"/>
        <w:jc w:val="both"/>
        <w:rPr>
          <w:sz w:val="16"/>
        </w:rPr>
      </w:pPr>
      <w:r>
        <w:rPr>
          <w:i/>
          <w:sz w:val="20"/>
        </w:rPr>
        <w:tab/>
      </w:r>
      <w:r>
        <w:rPr>
          <w:i/>
          <w:sz w:val="20"/>
        </w:rPr>
        <w:tab/>
      </w:r>
      <w:r>
        <w:rPr>
          <w:i/>
          <w:sz w:val="16"/>
        </w:rPr>
        <w:t>Fuente</w:t>
      </w:r>
      <w:r>
        <w:rPr>
          <w:sz w:val="16"/>
        </w:rPr>
        <w:t>: Ministerio Federal de Salud, 1999.</w:t>
      </w:r>
    </w:p>
    <w:p w:rsidR="00000000" w:rsidRDefault="00000000">
      <w:pPr>
        <w:pStyle w:val="BodyText"/>
        <w:spacing w:line="120" w:lineRule="exact"/>
        <w:ind w:left="705"/>
        <w:jc w:val="both"/>
        <w:rPr>
          <w:b/>
          <w:sz w:val="10"/>
        </w:rPr>
      </w:pPr>
    </w:p>
    <w:p w:rsidR="00000000" w:rsidRDefault="00000000">
      <w:pPr>
        <w:pStyle w:val="BodyText"/>
        <w:spacing w:line="120" w:lineRule="exact"/>
        <w:ind w:left="705"/>
        <w:jc w:val="both"/>
        <w:rPr>
          <w:b/>
          <w:sz w:val="10"/>
        </w:rPr>
      </w:pPr>
    </w:p>
    <w:p w:rsidR="00000000" w:rsidRDefault="00000000">
      <w:pPr>
        <w:pStyle w:val="SingleTxt"/>
      </w:pPr>
      <w:r>
        <w:tab/>
        <w:t>El desglose por edad revela que los adultos del grupo de edad comprendido entre  20 y 24 años de edad tienen la mayor tasa de prevalencia: el 8,1 por ciento. Sin embargo, en las seis zonas geopolíticas de Nigeria ese grupo de edad tiene la t</w:t>
      </w:r>
      <w:r>
        <w:t>a</w:t>
      </w:r>
      <w:r>
        <w:t>sa mayor -el 9,7 por ciento- en la región centro-septentrional. El Ministerio Federal de Salud tiene ya muy avanzada, en cooperación con otros copartícipes, una e</w:t>
      </w:r>
      <w:r>
        <w:t>n</w:t>
      </w:r>
      <w:r>
        <w:t>cuesta de v</w:t>
      </w:r>
      <w:r>
        <w:t>i</w:t>
      </w:r>
      <w:r>
        <w:t>gilancia del comportamiento.</w:t>
      </w:r>
    </w:p>
    <w:p w:rsidR="00000000" w:rsidRDefault="00000000">
      <w:pPr>
        <w:pStyle w:val="SingleTxt"/>
      </w:pPr>
      <w:r>
        <w:tab/>
        <w:t>Se ha creado un Comité Nacional de Acción contra el VIH/SIDA para sensib</w:t>
      </w:r>
      <w:r>
        <w:t>i</w:t>
      </w:r>
      <w:r>
        <w:t>lizar al público sobre ese flagelo. El Comité coordina también todos los programas y actividades sectoriales de lucha contra el VIH/SIDA. El Ministerio Federal de Asuntos de la Mujer y Desarrollo de la Juventud está colaborando con dicho Comité en la ejecución de programas de capacitación destinados a mujeres dirigentes en materia de asistencia y asesoramiento de base comunitaria para personas que viven con el VIH/SIDA. Se han celebrado dos cursos prácticos de zona y se ha llevado a cabo una operación de supervisión y evaluación. El Departamento de Desarrollo I</w:t>
      </w:r>
      <w:r>
        <w:t>n</w:t>
      </w:r>
      <w:r>
        <w:t>fantil del Ministerio Federal de Asuntos de la Mujer y Desarrollo de la Juventud está recibiendo también ayuda de USAID para la creación de clubes escolares de lucha contra el VIH/SIDA en determinadas escuelas de todo el país. El Departamento de Desarrollo de la Juventud tiene también programas de concienciación y sensibiliz</w:t>
      </w:r>
      <w:r>
        <w:t>a</w:t>
      </w:r>
      <w:r>
        <w:t>ción en materia de prevención, asistencia y asesoramiento sobre el VIH/SIDA, de</w:t>
      </w:r>
      <w:r>
        <w:t>s</w:t>
      </w:r>
      <w:r>
        <w:t>tinados a los jóvenes.</w:t>
      </w:r>
    </w:p>
    <w:p w:rsidR="00000000" w:rsidRDefault="00000000">
      <w:pPr>
        <w:pStyle w:val="BodyText"/>
        <w:spacing w:line="120" w:lineRule="exact"/>
        <w:ind w:left="705"/>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12.8.1</w:t>
      </w:r>
      <w:r>
        <w:tab/>
        <w:t>Intervenciones específicas en materia de VIH/SIDA</w:t>
      </w:r>
    </w:p>
    <w:p w:rsidR="00000000" w:rsidRDefault="00000000">
      <w:pPr>
        <w:pStyle w:val="BodyText"/>
        <w:spacing w:line="120" w:lineRule="exact"/>
        <w:jc w:val="both"/>
        <w:rPr>
          <w:b/>
          <w:i/>
          <w:sz w:val="10"/>
        </w:rPr>
      </w:pPr>
    </w:p>
    <w:p w:rsidR="00000000" w:rsidRDefault="00000000">
      <w:pPr>
        <w:pStyle w:val="SingleTxt"/>
      </w:pPr>
      <w:r>
        <w:tab/>
        <w:t>En abril de 2001, el Presidente de la República Federal de Nigeria, Jefe Olus</w:t>
      </w:r>
      <w:r>
        <w:t>e</w:t>
      </w:r>
      <w:r>
        <w:t>gun Obasanjo, hizo pública oficialmente la respuesta multisectorial de emergencia de la nación ante el aumento y las repercusiones del VIH/SIDA y las enfermedades de transmisión sexual. La política en materia de VIH/SIDA, entre otras c</w:t>
      </w:r>
      <w:r>
        <w:t>o</w:t>
      </w:r>
      <w:r>
        <w:t>sas:</w:t>
      </w:r>
    </w:p>
    <w:p w:rsidR="00000000" w:rsidRDefault="00000000">
      <w:pPr>
        <w:pStyle w:val="SingleTxt"/>
        <w:tabs>
          <w:tab w:val="right" w:pos="1685"/>
        </w:tabs>
        <w:ind w:left="1742" w:hanging="475"/>
      </w:pPr>
      <w:r>
        <w:tab/>
        <w:t>•</w:t>
      </w:r>
      <w:r>
        <w:tab/>
        <w:t>Va encaminada a proteger a las mujeres de ese flagelo potenciándolas para que decidan con cr</w:t>
      </w:r>
      <w:r>
        <w:t>i</w:t>
      </w:r>
      <w:r>
        <w:t>terios propios en materia de comportamiento sexual;</w:t>
      </w:r>
    </w:p>
    <w:p w:rsidR="00000000" w:rsidRDefault="00000000">
      <w:pPr>
        <w:pStyle w:val="SingleTxt"/>
        <w:tabs>
          <w:tab w:val="right" w:pos="1685"/>
        </w:tabs>
        <w:ind w:left="1742" w:hanging="475"/>
      </w:pPr>
      <w:r>
        <w:tab/>
        <w:t>•</w:t>
      </w:r>
      <w:r>
        <w:tab/>
        <w:t>Apoya la formulación de material docente para las personas que ejercen la prostitución y la definición de valores centrados en las cuestiones relativas a la Convención;</w:t>
      </w:r>
    </w:p>
    <w:p w:rsidR="00000000" w:rsidRDefault="00000000">
      <w:pPr>
        <w:pStyle w:val="SingleTxt"/>
        <w:tabs>
          <w:tab w:val="right" w:pos="1685"/>
        </w:tabs>
        <w:ind w:left="1742" w:hanging="475"/>
      </w:pPr>
      <w:r>
        <w:tab/>
        <w:t>•</w:t>
      </w:r>
      <w:r>
        <w:tab/>
        <w:t>Protege los derechos de todas las personas infectadas o afectadas por la epid</w:t>
      </w:r>
      <w:r>
        <w:t>e</w:t>
      </w:r>
      <w:r>
        <w:t>mia, que tienen derecho a recibir atención médica normal con cargo al Sistema N</w:t>
      </w:r>
      <w:r>
        <w:t>a</w:t>
      </w:r>
      <w:r>
        <w:t>cional de Seguro de Enfermedad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12.9</w:t>
      </w:r>
      <w:r>
        <w:tab/>
        <w:t>Logros en el sector de la salud</w:t>
      </w:r>
    </w:p>
    <w:p w:rsidR="00000000" w:rsidRDefault="00000000">
      <w:pPr>
        <w:pStyle w:val="BodyText"/>
        <w:spacing w:line="120" w:lineRule="exact"/>
        <w:jc w:val="both"/>
        <w:rPr>
          <w:b/>
          <w:i/>
          <w:sz w:val="10"/>
        </w:rPr>
      </w:pPr>
    </w:p>
    <w:p w:rsidR="00000000" w:rsidRDefault="00000000">
      <w:pPr>
        <w:pStyle w:val="SingleTxt"/>
      </w:pPr>
      <w:r>
        <w:tab/>
        <w:t>Hasta ahora la reacción nacional ante el SIDA ha registrado algunos logros modestos. Ha sido posible compilar un gran cuerpo de datos oportunos sobre la magnitud, la tendencia y las características de la epidemia, además de hacer proye</w:t>
      </w:r>
      <w:r>
        <w:t>c</w:t>
      </w:r>
      <w:r>
        <w:t>ciones de su curso y consecuencias futuros. Hay una mejora importante en el nivel de concienciación de la población sobre el VIH/SIDA, aunque aún existe cierto gr</w:t>
      </w:r>
      <w:r>
        <w:t>a</w:t>
      </w:r>
      <w:r>
        <w:t>do de ignorancia, en particular entre las mujeres. En general, la actual administr</w:t>
      </w:r>
      <w:r>
        <w:t>a</w:t>
      </w:r>
      <w:r>
        <w:t>ción civil ha logrado una notable mejora en relación con las cuestiones de salud. En el plano federal y también en algunos Estados de Nigeria, se está brindando trat</w:t>
      </w:r>
      <w:r>
        <w:t>a</w:t>
      </w:r>
      <w:r>
        <w:t>miento prenatal y posnatal gratuito a niños y ancianos, mientras que en algunos E</w:t>
      </w:r>
      <w:r>
        <w:t>s</w:t>
      </w:r>
      <w:r>
        <w:t>tados septentrionales se ofrecen servicios médicos gratuitos a las mujeres aquejadas de fístula vesicovaginal.</w:t>
      </w:r>
    </w:p>
    <w:p w:rsidR="00000000" w:rsidRDefault="00000000">
      <w:pPr>
        <w:pStyle w:val="BodyText"/>
        <w:spacing w:line="120" w:lineRule="exact"/>
        <w:ind w:left="705"/>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12.10</w:t>
      </w:r>
      <w:r>
        <w:tab/>
        <w:t>Problemas predominantes</w:t>
      </w:r>
    </w:p>
    <w:p w:rsidR="00000000" w:rsidRDefault="00000000">
      <w:pPr>
        <w:pStyle w:val="BodyText"/>
        <w:spacing w:line="120" w:lineRule="exact"/>
        <w:jc w:val="both"/>
        <w:rPr>
          <w:b/>
          <w:i/>
          <w:sz w:val="10"/>
        </w:rPr>
      </w:pPr>
    </w:p>
    <w:p w:rsidR="00000000" w:rsidRDefault="00000000">
      <w:pPr>
        <w:pStyle w:val="SingleTxt"/>
      </w:pPr>
      <w:r>
        <w:t>Los problemas generales que afectan a todos los Estados son los siguientes:</w:t>
      </w:r>
    </w:p>
    <w:p w:rsidR="00000000" w:rsidRDefault="00000000">
      <w:pPr>
        <w:pStyle w:val="SingleTxt"/>
        <w:tabs>
          <w:tab w:val="right" w:pos="1685"/>
        </w:tabs>
        <w:ind w:left="1742" w:hanging="475"/>
      </w:pPr>
      <w:r>
        <w:tab/>
        <w:t>•</w:t>
      </w:r>
      <w:r>
        <w:tab/>
        <w:t>Insuficiencia de los dispensarios de salud en el lugar de tr</w:t>
      </w:r>
      <w:r>
        <w:t>a</w:t>
      </w:r>
      <w:r>
        <w:t>bajo</w:t>
      </w:r>
    </w:p>
    <w:p w:rsidR="00000000" w:rsidRDefault="00000000">
      <w:pPr>
        <w:pStyle w:val="SingleTxt"/>
        <w:tabs>
          <w:tab w:val="right" w:pos="1685"/>
        </w:tabs>
        <w:ind w:left="1742" w:hanging="475"/>
      </w:pPr>
      <w:r>
        <w:tab/>
        <w:t>•</w:t>
      </w:r>
      <w:r>
        <w:tab/>
        <w:t xml:space="preserve">Período insuficiente de licencia de maternidad </w:t>
      </w:r>
    </w:p>
    <w:p w:rsidR="00000000" w:rsidRDefault="00000000">
      <w:pPr>
        <w:pStyle w:val="BodyText"/>
        <w:spacing w:line="120" w:lineRule="exact"/>
        <w:jc w:val="both"/>
        <w:rPr>
          <w:sz w:val="10"/>
        </w:rPr>
      </w:pPr>
    </w:p>
    <w:p w:rsidR="00000000" w:rsidRDefault="00000000">
      <w:pPr>
        <w:pStyle w:val="BodyText"/>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13.0</w:t>
      </w:r>
      <w:r>
        <w:tab/>
        <w:t>Artículo 13: Derechos sociales y económicos</w:t>
      </w:r>
    </w:p>
    <w:p w:rsidR="00000000" w:rsidRDefault="00000000">
      <w:pPr>
        <w:pStyle w:val="BodyText"/>
        <w:keepNext/>
        <w:keepLines/>
        <w:spacing w:line="120" w:lineRule="exact"/>
        <w:jc w:val="both"/>
        <w:rPr>
          <w:b/>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13.1</w:t>
      </w:r>
      <w:r>
        <w:tab/>
        <w:t xml:space="preserve">Medidas adoptadas, legislativas y de otra índole </w:t>
      </w:r>
    </w:p>
    <w:p w:rsidR="00000000" w:rsidRDefault="00000000">
      <w:pPr>
        <w:pStyle w:val="BodyText"/>
        <w:keepNext/>
        <w:keepLines/>
        <w:spacing w:line="120" w:lineRule="exact"/>
        <w:jc w:val="both"/>
        <w:rPr>
          <w:b/>
          <w:i/>
          <w:sz w:val="10"/>
        </w:rPr>
      </w:pPr>
    </w:p>
    <w:p w:rsidR="00000000" w:rsidRDefault="00000000">
      <w:pPr>
        <w:pStyle w:val="SingleTxt"/>
        <w:keepNext/>
        <w:keepLines/>
      </w:pPr>
      <w:r>
        <w:tab/>
        <w:t>Los artículos 13 a 18 del capítulo 2 de la Constitución de Nigeria de 1999, que versan sobre los objetivos sociales, económicos, educativos, sanitarios y políticos, son muy pertinentes para los derechos socioeconómicos, si bien no se puede recurrir a la justicia para reclamar su cumplimiento. Sin embargo, tienen carácter de oblig</w:t>
      </w:r>
      <w:r>
        <w:t>a</w:t>
      </w:r>
      <w:r>
        <w:t>ciones con</w:t>
      </w:r>
      <w:r>
        <w:t>s</w:t>
      </w:r>
      <w:r>
        <w:t>titucionales en todos los niveles del Gobierno de Nigeria.</w:t>
      </w:r>
    </w:p>
    <w:p w:rsidR="00000000" w:rsidRDefault="00000000">
      <w:pPr>
        <w:pStyle w:val="SingleTxt"/>
      </w:pPr>
      <w:r>
        <w:tab/>
        <w:t>El artículo 43 de la Constitución de Nigeria de 1999 establece que todos los ciudadanos nigerianos tienen derecho a adquirir y poseer propiedad inmobiliaria en todo el país. Resulta digna de mención la disposición de la Política Nacional de la Mujer que establece el compromiso del Gobierno con el fomento y la protección de los d</w:t>
      </w:r>
      <w:r>
        <w:t>e</w:t>
      </w:r>
      <w:r>
        <w:t>rechos socioeconómicos de la mujer.</w:t>
      </w:r>
    </w:p>
    <w:p w:rsidR="00000000" w:rsidRDefault="00000000">
      <w:pPr>
        <w:pStyle w:val="BodyText"/>
        <w:spacing w:line="120" w:lineRule="exact"/>
        <w:ind w:left="705"/>
        <w:jc w:val="both"/>
        <w:rPr>
          <w:b/>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13.2</w:t>
      </w:r>
      <w:r>
        <w:tab/>
        <w:t>Avances reales logrados para eliminar la discriminación contra la mujer</w:t>
      </w:r>
    </w:p>
    <w:p w:rsidR="00000000" w:rsidRDefault="00000000">
      <w:pPr>
        <w:pStyle w:val="BodyText"/>
        <w:spacing w:line="120" w:lineRule="exact"/>
        <w:jc w:val="both"/>
        <w:rPr>
          <w:b/>
          <w:i/>
          <w:sz w:val="10"/>
        </w:rPr>
      </w:pPr>
    </w:p>
    <w:p w:rsidR="00000000" w:rsidRDefault="00000000">
      <w:pPr>
        <w:pStyle w:val="SingleTxt"/>
      </w:pPr>
      <w:r>
        <w:tab/>
        <w:t>Se han adoptado algunas medidas para velar por la potenciación económica y social de la mujer. Han sido el resultado de las gestiones de las instituciones naci</w:t>
      </w:r>
      <w:r>
        <w:t>o</w:t>
      </w:r>
      <w:r>
        <w:t>nales y estatales y de las organizaciones no gubernamentales femeninas mediante:</w:t>
      </w:r>
    </w:p>
    <w:p w:rsidR="00000000" w:rsidRDefault="00000000">
      <w:pPr>
        <w:pStyle w:val="SingleTxt"/>
        <w:tabs>
          <w:tab w:val="right" w:pos="1685"/>
        </w:tabs>
        <w:ind w:left="1742" w:hanging="475"/>
      </w:pPr>
      <w:r>
        <w:tab/>
        <w:t>•</w:t>
      </w:r>
      <w:r>
        <w:tab/>
        <w:t>Microcrédito facilitado por bancos de la comunidad y el Programa Nacional para la Erradicación de la Pobreza, al que tienen acceso el 27 por ciento de las muj</w:t>
      </w:r>
      <w:r>
        <w:t>e</w:t>
      </w:r>
      <w:r>
        <w:t>res</w:t>
      </w:r>
    </w:p>
    <w:p w:rsidR="00000000" w:rsidRDefault="00000000">
      <w:pPr>
        <w:pStyle w:val="SingleTxt"/>
        <w:tabs>
          <w:tab w:val="right" w:pos="1685"/>
        </w:tabs>
        <w:ind w:left="1742" w:hanging="475"/>
      </w:pPr>
      <w:r>
        <w:tab/>
        <w:t>•</w:t>
      </w:r>
      <w:r>
        <w:tab/>
        <w:t>Creación de sociedades cooperativas de mujeres en zonas rurales mediante el programa de alfabetización funcional femenina en materia de salud, que cuenta con el siguiente componente:</w:t>
      </w:r>
    </w:p>
    <w:p w:rsidR="00000000" w:rsidRDefault="00000000">
      <w:pPr>
        <w:pStyle w:val="SingleTxt"/>
        <w:tabs>
          <w:tab w:val="right" w:pos="1685"/>
        </w:tabs>
        <w:ind w:left="1742" w:hanging="475"/>
      </w:pPr>
      <w:r>
        <w:tab/>
        <w:t>•</w:t>
      </w:r>
      <w:r>
        <w:tab/>
        <w:t>Educación en materia de salud, alfabetización funcional y actividades remun</w:t>
      </w:r>
      <w:r>
        <w:t>e</w:t>
      </w:r>
      <w:r>
        <w:t xml:space="preserve">rativas para las mujeres de las zonas rurales. Es un proyecto resultante de la colaboración entre el Ministerio Federal de Asuntos de la Mujer, el Ministerio Federal de Salud y la OMS y se lo ha reproducido en 22 Estados de la </w:t>
      </w:r>
      <w:r>
        <w:br/>
        <w:t>Feder</w:t>
      </w:r>
      <w:r>
        <w:t>a</w:t>
      </w:r>
      <w:r>
        <w:t>ción.</w:t>
      </w:r>
    </w:p>
    <w:p w:rsidR="00000000" w:rsidRDefault="00000000">
      <w:pPr>
        <w:pStyle w:val="SingleTxt"/>
        <w:tabs>
          <w:tab w:val="right" w:pos="1685"/>
        </w:tabs>
        <w:ind w:left="1742" w:hanging="475"/>
      </w:pPr>
      <w:r>
        <w:tab/>
        <w:t>•</w:t>
      </w:r>
      <w:r>
        <w:tab/>
        <w:t>Concesión de préstamos con bajos tipos de interés y sin garantía para mujeres que necesiten servicios de créditos (se ha beneficiado el 27 por ciento de las muj</w:t>
      </w:r>
      <w:r>
        <w:t>e</w:t>
      </w:r>
      <w:r>
        <w:t>res)</w:t>
      </w:r>
    </w:p>
    <w:p w:rsidR="00000000" w:rsidRDefault="00000000">
      <w:pPr>
        <w:pStyle w:val="SingleTxt"/>
        <w:tabs>
          <w:tab w:val="right" w:pos="1685"/>
        </w:tabs>
        <w:ind w:left="1742" w:hanging="475"/>
      </w:pPr>
      <w:r>
        <w:tab/>
        <w:t>•</w:t>
      </w:r>
      <w:r>
        <w:tab/>
        <w:t>Creación de centros para la adquisición de aptitudes en todos los Estados de la Fed</w:t>
      </w:r>
      <w:r>
        <w:t>e</w:t>
      </w:r>
      <w:r>
        <w:t>ración, incluido el Territorio de la Capital Federal, Abuja</w:t>
      </w:r>
    </w:p>
    <w:p w:rsidR="00000000" w:rsidRDefault="00000000">
      <w:pPr>
        <w:pStyle w:val="SingleTxt"/>
        <w:tabs>
          <w:tab w:val="right" w:pos="1685"/>
        </w:tabs>
        <w:ind w:left="1742" w:hanging="475"/>
      </w:pPr>
      <w:r>
        <w:tab/>
        <w:t>•</w:t>
      </w:r>
      <w:r>
        <w:tab/>
        <w:t>Creación de tres industrias artesanales experimentales en los Estados de Kwali, B</w:t>
      </w:r>
      <w:r>
        <w:t>a</w:t>
      </w:r>
      <w:r>
        <w:t>yelsa y Yobe y en el Territorio de la Capital Federal, Abuja</w:t>
      </w:r>
    </w:p>
    <w:p w:rsidR="00000000" w:rsidRDefault="00000000">
      <w:pPr>
        <w:pStyle w:val="SingleTxt"/>
        <w:tabs>
          <w:tab w:val="right" w:pos="1685"/>
        </w:tabs>
        <w:ind w:left="1742" w:hanging="475"/>
      </w:pPr>
      <w:r>
        <w:tab/>
        <w:t>•</w:t>
      </w:r>
      <w:r>
        <w:tab/>
        <w:t>Proyectos experimentales de apicultura moderna en 10 Estados ejecutados por el Ministerio Federal de Asuntos de la Mujer y Desarrollo de la Juventud en colabor</w:t>
      </w:r>
      <w:r>
        <w:t>a</w:t>
      </w:r>
      <w:r>
        <w:t>ción con la Sociedad Internacional de Primeros Auxilios</w:t>
      </w:r>
    </w:p>
    <w:p w:rsidR="00000000" w:rsidRDefault="00000000">
      <w:pPr>
        <w:pStyle w:val="SingleTxt"/>
        <w:tabs>
          <w:tab w:val="right" w:pos="1685"/>
        </w:tabs>
        <w:ind w:left="1742" w:hanging="475"/>
      </w:pPr>
      <w:r>
        <w:tab/>
        <w:t>•</w:t>
      </w:r>
      <w:r>
        <w:tab/>
        <w:t>Formulación de la Política Económica Nacional y fijación de metas para el adelanto económico de la mujer</w:t>
      </w:r>
    </w:p>
    <w:p w:rsidR="00000000" w:rsidRDefault="00000000">
      <w:pPr>
        <w:pStyle w:val="SingleTxt"/>
        <w:tabs>
          <w:tab w:val="right" w:pos="1685"/>
        </w:tabs>
        <w:ind w:left="1742" w:hanging="475"/>
      </w:pPr>
      <w:r>
        <w:tab/>
        <w:t>•</w:t>
      </w:r>
      <w:r>
        <w:tab/>
        <w:t>Celebración de cursos prácticos de promoción y sensibilización y dispensación de capacitación para que se tengan en cuenta las consideraciones de género en el pres</w:t>
      </w:r>
      <w:r>
        <w:t>u</w:t>
      </w:r>
      <w:r>
        <w:t>puesto nacional</w:t>
      </w:r>
    </w:p>
    <w:p w:rsidR="00000000" w:rsidRDefault="00000000">
      <w:pPr>
        <w:pStyle w:val="SingleTxt"/>
        <w:tabs>
          <w:tab w:val="right" w:pos="1685"/>
        </w:tabs>
        <w:ind w:left="1742" w:hanging="475"/>
      </w:pPr>
      <w:r>
        <w:tab/>
        <w:t>•</w:t>
      </w:r>
      <w:r>
        <w:tab/>
        <w:t>Puesta en marcha de la contabilización del trabajo de la mujer en el PIB por parte de la Comisión N</w:t>
      </w:r>
      <w:r>
        <w:t>a</w:t>
      </w:r>
      <w:r>
        <w:t>cional de Planificación.</w:t>
      </w: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13.3</w:t>
      </w:r>
      <w:r>
        <w:tab/>
        <w:t>Obstáculos</w:t>
      </w:r>
    </w:p>
    <w:p w:rsidR="00000000" w:rsidRDefault="00000000">
      <w:pPr>
        <w:pStyle w:val="BodyText"/>
        <w:spacing w:line="120" w:lineRule="exact"/>
        <w:jc w:val="both"/>
        <w:rPr>
          <w:b/>
          <w:i/>
          <w:sz w:val="10"/>
        </w:rPr>
      </w:pPr>
    </w:p>
    <w:p w:rsidR="00000000" w:rsidRDefault="00000000">
      <w:pPr>
        <w:pStyle w:val="SingleTxt"/>
      </w:pPr>
      <w:r>
        <w:tab/>
        <w:t>La situación nigeriana se caracteriza por que las mujeres y las niñas no tienen igualdad de acceso a la educación, la vivienda, la salud, el empleo y la seguridad s</w:t>
      </w:r>
      <w:r>
        <w:t>o</w:t>
      </w:r>
      <w:r>
        <w:t>cial. A ello se suman los usos culturales y tradicionales y las leyes y creencias pe</w:t>
      </w:r>
      <w:r>
        <w:t>r</w:t>
      </w:r>
      <w:r>
        <w:t>judiciales para la mujer, discriminatorias y violadoras de sus derechos socieconóm</w:t>
      </w:r>
      <w:r>
        <w:t>i</w:t>
      </w:r>
      <w:r>
        <w:t>cos.</w:t>
      </w:r>
    </w:p>
    <w:p w:rsidR="00000000" w:rsidRDefault="00000000">
      <w:pPr>
        <w:pStyle w:val="SingleTxt"/>
      </w:pPr>
      <w:r>
        <w:tab/>
        <w:t>Las estadísticas disponibles revelan que el 90 por ciento de la tierra y las pr</w:t>
      </w:r>
      <w:r>
        <w:t>o</w:t>
      </w:r>
      <w:r>
        <w:t>piedades están registradas a nombre de hombres. También los datos disponibles del Programa Nacional para la Erradicación de la Pobreza indican que el 15 por ciento de sus beneficiarios son mujeres, frente al 85 por ciento de hombres. Los siguientes factores concretos impiden a las mujeres el disfrute de sus derechos sociales y ec</w:t>
      </w:r>
      <w:r>
        <w:t>o</w:t>
      </w:r>
      <w:r>
        <w:t>nómicos:</w:t>
      </w:r>
    </w:p>
    <w:p w:rsidR="00000000" w:rsidRDefault="00000000">
      <w:pPr>
        <w:pStyle w:val="SingleTxt"/>
        <w:tabs>
          <w:tab w:val="right" w:pos="1685"/>
        </w:tabs>
        <w:ind w:left="1742" w:hanging="475"/>
      </w:pPr>
      <w:r>
        <w:tab/>
        <w:t>•</w:t>
      </w:r>
      <w:r>
        <w:tab/>
        <w:t>La práctica del patriarcado</w:t>
      </w:r>
    </w:p>
    <w:p w:rsidR="00000000" w:rsidRDefault="00000000">
      <w:pPr>
        <w:pStyle w:val="SingleTxt"/>
        <w:tabs>
          <w:tab w:val="right" w:pos="1685"/>
        </w:tabs>
        <w:ind w:left="1742" w:hanging="475"/>
      </w:pPr>
      <w:r>
        <w:tab/>
        <w:t>•</w:t>
      </w:r>
      <w:r>
        <w:tab/>
        <w:t>El matrimonio en edad temprana y la mutilación genital de la mujer</w:t>
      </w:r>
    </w:p>
    <w:p w:rsidR="00000000" w:rsidRDefault="00000000">
      <w:pPr>
        <w:pStyle w:val="SingleTxt"/>
        <w:tabs>
          <w:tab w:val="right" w:pos="1685"/>
        </w:tabs>
        <w:ind w:left="1742" w:hanging="475"/>
      </w:pPr>
      <w:r>
        <w:tab/>
        <w:t>•</w:t>
      </w:r>
      <w:r>
        <w:tab/>
        <w:t>La práctica de la reclusión femenina</w:t>
      </w:r>
    </w:p>
    <w:p w:rsidR="00000000" w:rsidRDefault="00000000">
      <w:pPr>
        <w:pStyle w:val="SingleTxt"/>
        <w:tabs>
          <w:tab w:val="right" w:pos="1685"/>
        </w:tabs>
        <w:ind w:left="1742" w:hanging="475"/>
      </w:pPr>
      <w:r>
        <w:tab/>
        <w:t>•</w:t>
      </w:r>
      <w:r>
        <w:tab/>
        <w:t>El bajo nivel de educación y capacitación de las mujeres</w:t>
      </w:r>
    </w:p>
    <w:p w:rsidR="00000000" w:rsidRDefault="00000000">
      <w:pPr>
        <w:pStyle w:val="SingleTxt"/>
        <w:tabs>
          <w:tab w:val="right" w:pos="1685"/>
        </w:tabs>
        <w:ind w:left="1742" w:hanging="475"/>
      </w:pPr>
      <w:r>
        <w:tab/>
        <w:t>•</w:t>
      </w:r>
      <w:r>
        <w:tab/>
        <w:t>Los usos discriminatorios contra la mujer en materia de herencia</w:t>
      </w:r>
    </w:p>
    <w:p w:rsidR="00000000" w:rsidRDefault="00000000">
      <w:pPr>
        <w:pStyle w:val="SingleTxt"/>
        <w:tabs>
          <w:tab w:val="right" w:pos="1685"/>
        </w:tabs>
        <w:ind w:left="1742" w:hanging="475"/>
      </w:pPr>
      <w:r>
        <w:tab/>
        <w:t>•</w:t>
      </w:r>
      <w:r>
        <w:tab/>
        <w:t>Los usos deshumanizadores en materia de viudez</w:t>
      </w:r>
    </w:p>
    <w:p w:rsidR="00000000" w:rsidRDefault="00000000">
      <w:pPr>
        <w:pStyle w:val="SingleTxt"/>
        <w:tabs>
          <w:tab w:val="right" w:pos="1685"/>
        </w:tabs>
        <w:ind w:left="1742" w:hanging="475"/>
      </w:pPr>
      <w:r>
        <w:tab/>
        <w:t>•</w:t>
      </w:r>
      <w:r>
        <w:tab/>
        <w:t>La excepcional carga de trabajo de las mujeres, que les impide disfrutar de a</w:t>
      </w:r>
      <w:r>
        <w:t>c</w:t>
      </w:r>
      <w:r>
        <w:t>tivid</w:t>
      </w:r>
      <w:r>
        <w:t>a</w:t>
      </w:r>
      <w:r>
        <w:t>des recreativas. Las mujeres trabajan, por término medio, 16 horas o más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jc w:val="both"/>
        <w:rPr>
          <w:b w:val="0"/>
        </w:rPr>
      </w:pPr>
      <w:r>
        <w:tab/>
      </w:r>
      <w:r>
        <w:rPr>
          <w:b w:val="0"/>
        </w:rPr>
        <w:t>13.4</w:t>
      </w:r>
      <w:r>
        <w:rPr>
          <w:b w:val="0"/>
        </w:rPr>
        <w:tab/>
        <w:t>Además de los obstáculos antes mencionados, el triple sistema de legislación matrimonial en Nigeria (el consuetudinario, el islámico y el civil) ha dado como resultado una pluralidad de disposiciones y precedentes legales relativos a los derechos de propiedad y herencia. Con arreglo al matrimonio civil, la Ley de Propiedad de las Mujeres Casadas, de 1882, concede a las mujeres el derecho a adquirir y  poseer bienes y venderlos, ya los hayan adquirido antes o después de casarse. Tras divorciarse, pueden imponer el respeto de sus derechos recurriendo a los tribunales. Asimismo, conforme a la Ley de Causas Matrimoniales, en cualquier parte de Nigeria los tribunales pueden dictar una resolución para que las mujeres compartan la propiedad familiar equitativamente en caso de divorcio. También la legislación islámica concede a las mujeres el derecho a poseer y vender bienes, incluidos los inmobiliarios. Con mucha frecuencia las mujeres no pueden imponer el respeto de sus derechos de propiedad recurriendo a un tribunal por ignorancia de dichos derechos, falta de seguridad financiera y miedo a enemistarse con su familia política. De las seis zonas geopolíticas del país, sólo la sudoriental y la meridional no permiten, tradicionalmente, a las mujeres poseer tierras y otras propiedades.</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14.0</w:t>
      </w:r>
      <w:r>
        <w:tab/>
        <w:t>Artículo 14: La mujer en las zonas rurales</w:t>
      </w:r>
    </w:p>
    <w:p w:rsidR="00000000" w:rsidRDefault="00000000">
      <w:pPr>
        <w:pStyle w:val="BodyText"/>
        <w:spacing w:line="120" w:lineRule="exact"/>
        <w:jc w:val="both"/>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jc w:val="both"/>
        <w:rPr>
          <w:b w:val="0"/>
        </w:rPr>
      </w:pPr>
      <w:r>
        <w:tab/>
      </w:r>
      <w:r>
        <w:rPr>
          <w:b w:val="0"/>
        </w:rPr>
        <w:t>14.1</w:t>
      </w:r>
      <w:r>
        <w:rPr>
          <w:b w:val="0"/>
        </w:rPr>
        <w:tab/>
        <w:t>Durante el período a que se refiere el informe, el Gobierno ha adoptado las medidas apropiadas para velar por la igualdad y la equidad en las zonas rurales y aumentar el desarrollo y la sostenibilidad de los recursos rurales.</w:t>
      </w:r>
    </w:p>
    <w:p w:rsidR="00000000" w:rsidRDefault="00000000">
      <w:pPr>
        <w:pStyle w:val="BodyText"/>
        <w:spacing w:line="120" w:lineRule="exact"/>
        <w:jc w:val="both"/>
        <w:rPr>
          <w:sz w:val="10"/>
        </w:rPr>
      </w:pP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14.2</w:t>
      </w:r>
      <w:r>
        <w:tab/>
        <w:t>Medidas y programas</w:t>
      </w:r>
    </w:p>
    <w:p w:rsidR="00000000" w:rsidRDefault="00000000">
      <w:pPr>
        <w:pStyle w:val="BodyText"/>
        <w:spacing w:line="120" w:lineRule="exact"/>
        <w:jc w:val="both"/>
        <w:rPr>
          <w:b/>
          <w:i/>
          <w:sz w:val="10"/>
        </w:rPr>
      </w:pPr>
    </w:p>
    <w:p w:rsidR="00000000" w:rsidRDefault="00000000">
      <w:pPr>
        <w:pStyle w:val="BodyText"/>
        <w:spacing w:line="120" w:lineRule="exact"/>
        <w:jc w:val="both"/>
        <w:rPr>
          <w:b/>
          <w:i/>
          <w:sz w:val="10"/>
        </w:rPr>
      </w:pPr>
    </w:p>
    <w:p w:rsidR="00000000" w:rsidRDefault="00000000">
      <w:pPr>
        <w:pStyle w:val="SingleTxt"/>
        <w:tabs>
          <w:tab w:val="right" w:pos="1685"/>
        </w:tabs>
        <w:ind w:left="1742" w:hanging="475"/>
      </w:pPr>
      <w:r>
        <w:tab/>
        <w:t>•</w:t>
      </w:r>
      <w:r>
        <w:tab/>
        <w:t>Creación de Centros de Desarrollo de la Mujer en todos los sectores del g</w:t>
      </w:r>
      <w:r>
        <w:t>o</w:t>
      </w:r>
      <w:r>
        <w:t>bierno local para que impartan capacitación en materia de adquisición de apt</w:t>
      </w:r>
      <w:r>
        <w:t>i</w:t>
      </w:r>
      <w:r>
        <w:t>tudes, alfabet</w:t>
      </w:r>
      <w:r>
        <w:t>i</w:t>
      </w:r>
      <w:r>
        <w:t>zación en masa y programas de enseñanza para adulto.</w:t>
      </w:r>
    </w:p>
    <w:p w:rsidR="00000000" w:rsidRDefault="00000000">
      <w:pPr>
        <w:pStyle w:val="SingleTxt"/>
        <w:tabs>
          <w:tab w:val="right" w:pos="1685"/>
        </w:tabs>
        <w:ind w:left="1742" w:hanging="475"/>
      </w:pPr>
      <w:r>
        <w:tab/>
        <w:t>•</w:t>
      </w:r>
      <w:r>
        <w:tab/>
        <w:t>Traducción de las disposiciones de la Convención a las tres lenguas nigerianas más importantes para que se la conozca mejor y reciba mayor publicidad.</w:t>
      </w:r>
    </w:p>
    <w:p w:rsidR="00000000" w:rsidRDefault="00000000">
      <w:pPr>
        <w:pStyle w:val="SingleTxt"/>
        <w:tabs>
          <w:tab w:val="right" w:pos="1685"/>
        </w:tabs>
        <w:ind w:left="1742" w:hanging="475"/>
      </w:pPr>
      <w:r>
        <w:tab/>
        <w:t>•</w:t>
      </w:r>
      <w:r>
        <w:tab/>
        <w:t>Formulación de programas de potenciación económica, incluida la adquisición de aptitudes en materia de matemáticas, lectura y escritura.</w:t>
      </w:r>
    </w:p>
    <w:p w:rsidR="00000000" w:rsidRDefault="00000000">
      <w:pPr>
        <w:pStyle w:val="SingleTxt"/>
        <w:tabs>
          <w:tab w:val="right" w:pos="1685"/>
        </w:tabs>
        <w:ind w:left="1742" w:hanging="475"/>
      </w:pPr>
      <w:r>
        <w:tab/>
        <w:t>•</w:t>
      </w:r>
      <w:r>
        <w:tab/>
        <w:t>Formulación del proyecto de alfabetización funcional femenina en pro de la salud y del alivio de la pobreza, encaminado a la alfabetización y la educación de la mujer rural en materia de salud y que, además, brinda a las mujeres act</w:t>
      </w:r>
      <w:r>
        <w:t>i</w:t>
      </w:r>
      <w:r>
        <w:t>vidades remunerativas en 14 comunidades de 10 Estados de la Federación. Se han reproducido en otros 10 Estados. También se alienta a las mujeres a que constituyan cooperativas para ese proyecto. Hay material relativo a inform</w:t>
      </w:r>
      <w:r>
        <w:t>a</w:t>
      </w:r>
      <w:r>
        <w:t>ción, educación y comunicación: carteles, folletos y manuales en las lenguas locales para concienciar e instruir a la comunidad rural en relación con las cuestiones de salud y derechos humanos, la democracia y la buena gestión de los asuntos públicos.</w:t>
      </w:r>
    </w:p>
    <w:p w:rsidR="00000000" w:rsidRDefault="00000000">
      <w:pPr>
        <w:pStyle w:val="SingleTxt"/>
        <w:tabs>
          <w:tab w:val="right" w:pos="1685"/>
        </w:tabs>
        <w:ind w:left="1742" w:hanging="475"/>
      </w:pPr>
      <w:r>
        <w:tab/>
        <w:t>•</w:t>
      </w:r>
      <w:r>
        <w:tab/>
        <w:t>La introducción de la educación básica universal va destinada a las comunid</w:t>
      </w:r>
      <w:r>
        <w:t>a</w:t>
      </w:r>
      <w:r>
        <w:t>des rurales. La construcción y la restauración de escuelas de enseñanza prim</w:t>
      </w:r>
      <w:r>
        <w:t>a</w:t>
      </w:r>
      <w:r>
        <w:t>ria y secundaria en esas zonas forman parte de los desarrollos infraestructur</w:t>
      </w:r>
      <w:r>
        <w:t>a</w:t>
      </w:r>
      <w:r>
        <w:t>les para dichas comunidades rurales.</w:t>
      </w:r>
    </w:p>
    <w:p w:rsidR="00000000" w:rsidRDefault="00000000">
      <w:pPr>
        <w:pStyle w:val="SingleTxt"/>
        <w:tabs>
          <w:tab w:val="right" w:pos="1685"/>
        </w:tabs>
        <w:ind w:left="1742" w:hanging="475"/>
      </w:pPr>
      <w:r>
        <w:tab/>
        <w:t>•</w:t>
      </w:r>
      <w:r>
        <w:tab/>
        <w:t>Los ministerios federal y estatales de Agricultura han destinado también a las comunidades rurales la prestación de servicios de extensión agraria para mej</w:t>
      </w:r>
      <w:r>
        <w:t>o</w:t>
      </w:r>
      <w:r>
        <w:t>rar las cosechas y aumentar su competencia técnica. También se están constr</w:t>
      </w:r>
      <w:r>
        <w:t>u</w:t>
      </w:r>
      <w:r>
        <w:t>yendo nuevos accesos por carretera y mejorando los existentes para la come</w:t>
      </w:r>
      <w:r>
        <w:t>r</w:t>
      </w:r>
      <w:r>
        <w:t>cialización de los pr</w:t>
      </w:r>
      <w:r>
        <w:t>o</w:t>
      </w:r>
      <w:r>
        <w:t>ductos agrícolas de las zonas rurales.</w:t>
      </w:r>
    </w:p>
    <w:p w:rsidR="00000000" w:rsidRDefault="00000000">
      <w:pPr>
        <w:pStyle w:val="SingleTxt"/>
        <w:tabs>
          <w:tab w:val="right" w:pos="1685"/>
        </w:tabs>
        <w:ind w:left="1742" w:hanging="475"/>
      </w:pPr>
      <w:r>
        <w:tab/>
        <w:t>•</w:t>
      </w:r>
      <w:r>
        <w:tab/>
        <w:t>Mediante programas de sensibilización, se alienta a los habitantes de las zonas rurales a que constituyan grupos de autoayuda y sociedades cooperativas para que pueden tener acceso a servicios de crédito y préstamos que han propiciado un aumento de las oportunidades económicas y cierta capacidad de autosu</w:t>
      </w:r>
      <w:r>
        <w:t>s</w:t>
      </w:r>
      <w:r>
        <w:t>tento. Dichas oportunidades alientan la puesta en marcha y la planificación de proyectos de auto</w:t>
      </w:r>
      <w:r>
        <w:t>a</w:t>
      </w:r>
      <w:r>
        <w:t>yuda y la participación en ellos.</w:t>
      </w:r>
    </w:p>
    <w:p w:rsidR="00000000" w:rsidRDefault="00000000">
      <w:pPr>
        <w:pStyle w:val="BodyText"/>
        <w:spacing w:line="120" w:lineRule="exact"/>
        <w:jc w:val="both"/>
        <w:rPr>
          <w:sz w:val="10"/>
        </w:rPr>
      </w:pPr>
      <w:r>
        <w:rPr>
          <w:sz w:val="20"/>
        </w:rPr>
        <w:br w:type="page"/>
      </w:r>
    </w:p>
    <w:p w:rsidR="00000000" w:rsidRDefault="00000000">
      <w:pPr>
        <w:pStyle w:val="H4"/>
        <w:keepNext w:val="0"/>
        <w:keepLines w:val="0"/>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14.3</w:t>
      </w:r>
      <w:r>
        <w:tab/>
        <w:t>Políticas y metas</w:t>
      </w:r>
    </w:p>
    <w:p w:rsidR="00000000" w:rsidRDefault="00000000">
      <w:pPr>
        <w:pStyle w:val="BodyText"/>
        <w:spacing w:line="120" w:lineRule="exact"/>
        <w:jc w:val="both"/>
        <w:rPr>
          <w:b/>
          <w:i/>
          <w:sz w:val="10"/>
        </w:rPr>
      </w:pPr>
    </w:p>
    <w:p w:rsidR="00000000" w:rsidRDefault="00000000">
      <w:pPr>
        <w:pStyle w:val="SingleTxt"/>
      </w:pPr>
      <w:r>
        <w:tab/>
        <w:t>Para garantizar el disfrute de unas condiciones de vida adecuadas en las zonas rurales, los gobiernos federal y de los Estados están mejorando los servicios de v</w:t>
      </w:r>
      <w:r>
        <w:t>i</w:t>
      </w:r>
      <w:r>
        <w:t>vienda, abastecimiento de agua, electricidad, saneamiento y comunicación en las zonas r</w:t>
      </w:r>
      <w:r>
        <w:t>u</w:t>
      </w:r>
      <w:r>
        <w:t>rales y en los siguientes sectores:</w:t>
      </w:r>
    </w:p>
    <w:p w:rsidR="00000000" w:rsidRDefault="00000000">
      <w:pPr>
        <w:pStyle w:val="SingleTxt"/>
        <w:tabs>
          <w:tab w:val="right" w:pos="1685"/>
        </w:tabs>
        <w:ind w:left="1742" w:hanging="475"/>
      </w:pPr>
      <w:r>
        <w:tab/>
        <w:t>•</w:t>
      </w:r>
      <w:r>
        <w:tab/>
        <w:t>Construcción de casas ocupadas por sus propietarios en ciertos municipios</w:t>
      </w:r>
    </w:p>
    <w:p w:rsidR="00000000" w:rsidRDefault="00000000">
      <w:pPr>
        <w:pStyle w:val="SingleTxt"/>
        <w:tabs>
          <w:tab w:val="right" w:pos="1685"/>
        </w:tabs>
        <w:ind w:left="1742" w:hanging="475"/>
      </w:pPr>
      <w:r>
        <w:tab/>
        <w:t>•</w:t>
      </w:r>
      <w:r>
        <w:tab/>
        <w:t>Vehículos de transporte público con los precios de los boletos subvencionados para facilitar el m</w:t>
      </w:r>
      <w:r>
        <w:t>o</w:t>
      </w:r>
      <w:r>
        <w:t>vimiento en las comunidades rurales y a partir de ellas</w:t>
      </w:r>
    </w:p>
    <w:p w:rsidR="00000000" w:rsidRDefault="00000000">
      <w:pPr>
        <w:pStyle w:val="SingleTxt"/>
        <w:tabs>
          <w:tab w:val="right" w:pos="1685"/>
        </w:tabs>
        <w:ind w:left="1742" w:hanging="475"/>
      </w:pPr>
      <w:r>
        <w:tab/>
        <w:t>•</w:t>
      </w:r>
      <w:r>
        <w:tab/>
        <w:t>Perforaciones para el abastecimiento de agua corriente</w:t>
      </w:r>
    </w:p>
    <w:p w:rsidR="00000000" w:rsidRDefault="00000000">
      <w:pPr>
        <w:pStyle w:val="SingleTxt"/>
        <w:tabs>
          <w:tab w:val="right" w:pos="1685"/>
        </w:tabs>
        <w:ind w:left="1742" w:hanging="475"/>
      </w:pPr>
      <w:r>
        <w:tab/>
        <w:t>•</w:t>
      </w:r>
      <w:r>
        <w:tab/>
        <w:t>Campañas de protección del medio ambiente con miras al desarrollo sostenible y la ampliación de los servicios de electricidad a las zonas rurales.</w:t>
      </w:r>
    </w:p>
    <w:p w:rsidR="00000000" w:rsidRDefault="00000000">
      <w:pPr>
        <w:pStyle w:val="SingleTxt"/>
      </w:pPr>
      <w:r>
        <w:tab/>
        <w:t>Esas políticas eran necesarias, dado el deficiente estado de esos servicios e instal</w:t>
      </w:r>
      <w:r>
        <w:t>a</w:t>
      </w:r>
      <w:r>
        <w:t>ciones, como se ve en los cuadros 14.1, 14.2 y 14.3.</w:t>
      </w:r>
    </w:p>
    <w:p w:rsidR="00000000" w:rsidRDefault="00000000">
      <w:pPr>
        <w:pStyle w:val="BodyText"/>
        <w:spacing w:line="120" w:lineRule="exact"/>
        <w:jc w:val="both"/>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3539"/>
        <w:gridCol w:w="234"/>
        <w:gridCol w:w="3636"/>
      </w:tblGrid>
      <w:tr w:rsidR="00000000">
        <w:tblPrEx>
          <w:tblCellMar>
            <w:top w:w="0" w:type="dxa"/>
            <w:left w:w="0" w:type="dxa"/>
            <w:bottom w:w="0" w:type="dxa"/>
            <w:right w:w="0" w:type="dxa"/>
          </w:tblCellMar>
        </w:tblPrEx>
        <w:trPr>
          <w:cantSplit/>
        </w:trPr>
        <w:tc>
          <w:tcPr>
            <w:tcW w:w="3539" w:type="dxa"/>
          </w:tcPr>
          <w:p w:rsidR="00000000" w:rsidRDefault="00000000">
            <w:pPr>
              <w:pStyle w:val="DualTxt"/>
              <w:jc w:val="left"/>
              <w:rPr>
                <w:i/>
              </w:rPr>
            </w:pPr>
            <w:r>
              <w:t>Cuadro 14.1</w:t>
            </w:r>
            <w:r>
              <w:rPr>
                <w:b/>
              </w:rPr>
              <w:t xml:space="preserve"> </w:t>
            </w:r>
            <w:r>
              <w:rPr>
                <w:b/>
              </w:rPr>
              <w:br/>
              <w:t>Fuentes de abastecimiento de agua</w:t>
            </w:r>
            <w:r>
              <w:rPr>
                <w:b/>
              </w:rPr>
              <w:br/>
              <w:t>en ciudades pequeñas, 1997</w:t>
            </w:r>
            <w:r>
              <w:rPr>
                <w:b/>
              </w:rPr>
              <w:br/>
              <w:t>(porcentaje por hogares</w:t>
            </w:r>
            <w:r>
              <w:t>)</w:t>
            </w:r>
          </w:p>
        </w:tc>
        <w:tc>
          <w:tcPr>
            <w:tcW w:w="234" w:type="dxa"/>
          </w:tcPr>
          <w:p w:rsidR="00000000" w:rsidRDefault="00000000">
            <w:pPr>
              <w:pStyle w:val="BodyText"/>
              <w:spacing w:line="360" w:lineRule="auto"/>
              <w:jc w:val="both"/>
              <w:rPr>
                <w:i/>
                <w:sz w:val="20"/>
              </w:rPr>
            </w:pPr>
          </w:p>
        </w:tc>
        <w:tc>
          <w:tcPr>
            <w:tcW w:w="3636" w:type="dxa"/>
          </w:tcPr>
          <w:p w:rsidR="00000000" w:rsidRDefault="00000000">
            <w:pPr>
              <w:pStyle w:val="DualTxt"/>
              <w:suppressAutoHyphens/>
              <w:jc w:val="left"/>
              <w:rPr>
                <w:b/>
                <w:i/>
              </w:rPr>
            </w:pPr>
            <w:r>
              <w:t>Cuadro 14.2</w:t>
            </w:r>
            <w:r>
              <w:rPr>
                <w:b/>
              </w:rPr>
              <w:br/>
              <w:t>Fuentes de abastecimiento de agua en la zona urbana de Lagos, 1997 (porcentaje por hogares)</w:t>
            </w:r>
          </w:p>
        </w:tc>
      </w:tr>
    </w:tbl>
    <w:p w:rsidR="00000000" w:rsidRDefault="00000000">
      <w:pPr>
        <w:pStyle w:val="BodyText"/>
        <w:spacing w:line="120" w:lineRule="exact"/>
        <w:ind w:left="1181"/>
        <w:jc w:val="left"/>
        <w:rPr>
          <w:b/>
          <w:sz w:val="10"/>
        </w:rPr>
      </w:pPr>
    </w:p>
    <w:p w:rsidR="00000000" w:rsidRDefault="00000000">
      <w:pPr>
        <w:pStyle w:val="BodyText"/>
        <w:spacing w:line="120" w:lineRule="exact"/>
        <w:ind w:left="1181"/>
        <w:jc w:val="left"/>
        <w:rPr>
          <w:b/>
          <w:sz w:val="10"/>
        </w:rPr>
      </w:pPr>
    </w:p>
    <w:tbl>
      <w:tblPr>
        <w:tblW w:w="0" w:type="auto"/>
        <w:tblInd w:w="1269" w:type="dxa"/>
        <w:tblLayout w:type="fixed"/>
        <w:tblCellMar>
          <w:left w:w="0" w:type="dxa"/>
          <w:right w:w="0" w:type="dxa"/>
        </w:tblCellMar>
        <w:tblLook w:val="0000" w:firstRow="0" w:lastRow="0" w:firstColumn="0" w:lastColumn="0" w:noHBand="0" w:noVBand="0"/>
      </w:tblPr>
      <w:tblGrid>
        <w:gridCol w:w="2702"/>
        <w:gridCol w:w="849"/>
        <w:gridCol w:w="240"/>
        <w:gridCol w:w="2970"/>
        <w:gridCol w:w="711"/>
      </w:tblGrid>
      <w:tr w:rsidR="00000000">
        <w:tblPrEx>
          <w:tblCellMar>
            <w:top w:w="0" w:type="dxa"/>
            <w:left w:w="0" w:type="dxa"/>
            <w:bottom w:w="0" w:type="dxa"/>
            <w:right w:w="0" w:type="dxa"/>
          </w:tblCellMar>
        </w:tblPrEx>
        <w:trPr>
          <w:cantSplit/>
        </w:trPr>
        <w:tc>
          <w:tcPr>
            <w:tcW w:w="2702" w:type="dxa"/>
            <w:tcBorders>
              <w:top w:val="single" w:sz="4" w:space="0" w:color="auto"/>
              <w:bottom w:val="single" w:sz="12" w:space="0" w:color="auto"/>
            </w:tcBorders>
            <w:vAlign w:val="bottom"/>
          </w:tcPr>
          <w:p w:rsidR="00000000" w:rsidRDefault="00000000">
            <w:pPr>
              <w:pStyle w:val="BodyText"/>
              <w:spacing w:before="80" w:after="80" w:line="240" w:lineRule="exact"/>
              <w:ind w:right="43"/>
              <w:jc w:val="both"/>
              <w:rPr>
                <w:i/>
                <w:sz w:val="14"/>
              </w:rPr>
            </w:pPr>
            <w:r>
              <w:rPr>
                <w:i/>
                <w:sz w:val="14"/>
              </w:rPr>
              <w:t>Fuentes</w:t>
            </w:r>
          </w:p>
        </w:tc>
        <w:tc>
          <w:tcPr>
            <w:tcW w:w="849" w:type="dxa"/>
            <w:tcBorders>
              <w:top w:val="single" w:sz="4" w:space="0" w:color="auto"/>
              <w:bottom w:val="single" w:sz="12" w:space="0" w:color="auto"/>
            </w:tcBorders>
            <w:vAlign w:val="bottom"/>
          </w:tcPr>
          <w:p w:rsidR="00000000" w:rsidRDefault="00000000">
            <w:pPr>
              <w:pStyle w:val="BodyText"/>
              <w:spacing w:before="80" w:after="80" w:line="240" w:lineRule="exact"/>
              <w:ind w:right="43"/>
              <w:jc w:val="right"/>
              <w:rPr>
                <w:i/>
                <w:sz w:val="14"/>
              </w:rPr>
            </w:pPr>
            <w:r>
              <w:rPr>
                <w:i/>
                <w:sz w:val="14"/>
              </w:rPr>
              <w:t>Porce</w:t>
            </w:r>
            <w:r>
              <w:rPr>
                <w:i/>
                <w:sz w:val="14"/>
              </w:rPr>
              <w:t>n</w:t>
            </w:r>
            <w:r>
              <w:rPr>
                <w:i/>
                <w:sz w:val="14"/>
              </w:rPr>
              <w:t>taje</w:t>
            </w:r>
          </w:p>
        </w:tc>
        <w:tc>
          <w:tcPr>
            <w:tcW w:w="240" w:type="dxa"/>
            <w:vMerge w:val="restart"/>
            <w:vAlign w:val="bottom"/>
          </w:tcPr>
          <w:p w:rsidR="00000000" w:rsidRDefault="00000000">
            <w:pPr>
              <w:pStyle w:val="BodyText"/>
              <w:spacing w:before="80" w:after="80" w:line="240" w:lineRule="exact"/>
              <w:ind w:right="43"/>
              <w:jc w:val="right"/>
              <w:rPr>
                <w:i/>
                <w:sz w:val="14"/>
              </w:rPr>
            </w:pPr>
          </w:p>
        </w:tc>
        <w:tc>
          <w:tcPr>
            <w:tcW w:w="2970" w:type="dxa"/>
            <w:tcBorders>
              <w:top w:val="single" w:sz="4" w:space="0" w:color="auto"/>
              <w:bottom w:val="single" w:sz="12" w:space="0" w:color="auto"/>
            </w:tcBorders>
            <w:vAlign w:val="bottom"/>
          </w:tcPr>
          <w:p w:rsidR="00000000" w:rsidRDefault="00000000">
            <w:pPr>
              <w:pStyle w:val="BodyText"/>
              <w:spacing w:before="80" w:after="80" w:line="240" w:lineRule="exact"/>
              <w:ind w:right="43"/>
              <w:jc w:val="left"/>
              <w:rPr>
                <w:i/>
                <w:sz w:val="14"/>
              </w:rPr>
            </w:pPr>
            <w:r>
              <w:rPr>
                <w:i/>
                <w:sz w:val="14"/>
              </w:rPr>
              <w:t>Fuentes</w:t>
            </w:r>
          </w:p>
        </w:tc>
        <w:tc>
          <w:tcPr>
            <w:tcW w:w="711" w:type="dxa"/>
            <w:tcBorders>
              <w:top w:val="single" w:sz="4" w:space="0" w:color="auto"/>
              <w:bottom w:val="single" w:sz="12" w:space="0" w:color="auto"/>
            </w:tcBorders>
            <w:vAlign w:val="bottom"/>
          </w:tcPr>
          <w:p w:rsidR="00000000" w:rsidRDefault="00000000">
            <w:pPr>
              <w:pStyle w:val="BodyText"/>
              <w:spacing w:before="80" w:after="80" w:line="240" w:lineRule="exact"/>
              <w:ind w:right="43"/>
              <w:jc w:val="right"/>
              <w:rPr>
                <w:i/>
                <w:sz w:val="14"/>
              </w:rPr>
            </w:pPr>
            <w:r>
              <w:rPr>
                <w:i/>
                <w:sz w:val="14"/>
              </w:rPr>
              <w:t>Porce</w:t>
            </w:r>
            <w:r>
              <w:rPr>
                <w:i/>
                <w:sz w:val="14"/>
              </w:rPr>
              <w:t>n</w:t>
            </w:r>
            <w:r>
              <w:rPr>
                <w:i/>
                <w:sz w:val="14"/>
              </w:rPr>
              <w:t>taje</w:t>
            </w:r>
          </w:p>
        </w:tc>
      </w:tr>
      <w:tr w:rsidR="00000000">
        <w:tblPrEx>
          <w:tblCellMar>
            <w:top w:w="0" w:type="dxa"/>
            <w:left w:w="0" w:type="dxa"/>
            <w:bottom w:w="0" w:type="dxa"/>
            <w:right w:w="0" w:type="dxa"/>
          </w:tblCellMar>
        </w:tblPrEx>
        <w:trPr>
          <w:cantSplit/>
        </w:trPr>
        <w:tc>
          <w:tcPr>
            <w:tcW w:w="2702" w:type="dxa"/>
            <w:vAlign w:val="bottom"/>
          </w:tcPr>
          <w:p w:rsidR="00000000" w:rsidRDefault="00000000">
            <w:pPr>
              <w:pStyle w:val="BodyText"/>
              <w:spacing w:before="60" w:after="60" w:line="240" w:lineRule="exact"/>
              <w:ind w:right="43"/>
              <w:jc w:val="left"/>
              <w:rPr>
                <w:sz w:val="20"/>
              </w:rPr>
            </w:pPr>
            <w:r>
              <w:rPr>
                <w:sz w:val="20"/>
              </w:rPr>
              <w:t>Ríos y Torrentes</w:t>
            </w:r>
          </w:p>
        </w:tc>
        <w:tc>
          <w:tcPr>
            <w:tcW w:w="849" w:type="dxa"/>
            <w:vAlign w:val="bottom"/>
          </w:tcPr>
          <w:p w:rsidR="00000000" w:rsidRDefault="00000000">
            <w:pPr>
              <w:pStyle w:val="BodyText"/>
              <w:spacing w:before="60" w:after="60" w:line="240" w:lineRule="exact"/>
              <w:ind w:right="43"/>
              <w:jc w:val="right"/>
              <w:rPr>
                <w:sz w:val="20"/>
              </w:rPr>
            </w:pPr>
            <w:r>
              <w:rPr>
                <w:sz w:val="20"/>
              </w:rPr>
              <w:t>27</w:t>
            </w:r>
          </w:p>
        </w:tc>
        <w:tc>
          <w:tcPr>
            <w:tcW w:w="240" w:type="dxa"/>
            <w:vMerge/>
            <w:vAlign w:val="bottom"/>
          </w:tcPr>
          <w:p w:rsidR="00000000" w:rsidRDefault="00000000">
            <w:pPr>
              <w:pStyle w:val="BodyText"/>
              <w:spacing w:before="60" w:after="60" w:line="240" w:lineRule="exact"/>
              <w:ind w:right="43"/>
              <w:jc w:val="right"/>
              <w:rPr>
                <w:sz w:val="20"/>
              </w:rPr>
            </w:pPr>
          </w:p>
        </w:tc>
        <w:tc>
          <w:tcPr>
            <w:tcW w:w="2970" w:type="dxa"/>
            <w:vAlign w:val="bottom"/>
          </w:tcPr>
          <w:p w:rsidR="00000000" w:rsidRDefault="00000000">
            <w:pPr>
              <w:pStyle w:val="BodyText"/>
              <w:spacing w:before="60" w:after="60" w:line="240" w:lineRule="exact"/>
              <w:ind w:right="43"/>
              <w:jc w:val="left"/>
              <w:rPr>
                <w:sz w:val="20"/>
              </w:rPr>
            </w:pPr>
            <w:r>
              <w:rPr>
                <w:sz w:val="20"/>
              </w:rPr>
              <w:t>Vendedores de agua</w:t>
            </w:r>
          </w:p>
        </w:tc>
        <w:tc>
          <w:tcPr>
            <w:tcW w:w="711" w:type="dxa"/>
            <w:vAlign w:val="bottom"/>
          </w:tcPr>
          <w:p w:rsidR="00000000" w:rsidRDefault="00000000">
            <w:pPr>
              <w:pStyle w:val="BodyText"/>
              <w:spacing w:before="60" w:after="60" w:line="240" w:lineRule="exact"/>
              <w:ind w:right="43"/>
              <w:jc w:val="right"/>
              <w:rPr>
                <w:sz w:val="20"/>
              </w:rPr>
            </w:pPr>
            <w:r>
              <w:rPr>
                <w:sz w:val="20"/>
              </w:rPr>
              <w:t>37</w:t>
            </w:r>
          </w:p>
        </w:tc>
      </w:tr>
      <w:tr w:rsidR="00000000">
        <w:tblPrEx>
          <w:tblCellMar>
            <w:top w:w="0" w:type="dxa"/>
            <w:left w:w="0" w:type="dxa"/>
            <w:bottom w:w="0" w:type="dxa"/>
            <w:right w:w="0" w:type="dxa"/>
          </w:tblCellMar>
        </w:tblPrEx>
        <w:trPr>
          <w:cantSplit/>
        </w:trPr>
        <w:tc>
          <w:tcPr>
            <w:tcW w:w="2702" w:type="dxa"/>
            <w:vAlign w:val="bottom"/>
          </w:tcPr>
          <w:p w:rsidR="00000000" w:rsidRDefault="00000000">
            <w:pPr>
              <w:pStyle w:val="BodyText"/>
              <w:spacing w:before="60" w:after="60" w:line="240" w:lineRule="exact"/>
              <w:ind w:right="43"/>
              <w:jc w:val="both"/>
              <w:rPr>
                <w:sz w:val="20"/>
              </w:rPr>
            </w:pPr>
            <w:r>
              <w:rPr>
                <w:sz w:val="20"/>
              </w:rPr>
              <w:t>Pozos particulares</w:t>
            </w:r>
          </w:p>
        </w:tc>
        <w:tc>
          <w:tcPr>
            <w:tcW w:w="849" w:type="dxa"/>
            <w:vAlign w:val="bottom"/>
          </w:tcPr>
          <w:p w:rsidR="00000000" w:rsidRDefault="00000000">
            <w:pPr>
              <w:pStyle w:val="BodyText"/>
              <w:spacing w:before="60" w:after="60" w:line="240" w:lineRule="exact"/>
              <w:ind w:right="43"/>
              <w:jc w:val="right"/>
              <w:rPr>
                <w:sz w:val="20"/>
              </w:rPr>
            </w:pPr>
            <w:r>
              <w:rPr>
                <w:sz w:val="20"/>
              </w:rPr>
              <w:t>25</w:t>
            </w:r>
          </w:p>
        </w:tc>
        <w:tc>
          <w:tcPr>
            <w:tcW w:w="240" w:type="dxa"/>
            <w:vMerge/>
            <w:vAlign w:val="bottom"/>
          </w:tcPr>
          <w:p w:rsidR="00000000" w:rsidRDefault="00000000">
            <w:pPr>
              <w:pStyle w:val="BodyText"/>
              <w:spacing w:before="60" w:after="60" w:line="240" w:lineRule="exact"/>
              <w:ind w:right="43"/>
              <w:jc w:val="right"/>
              <w:rPr>
                <w:sz w:val="20"/>
              </w:rPr>
            </w:pPr>
          </w:p>
        </w:tc>
        <w:tc>
          <w:tcPr>
            <w:tcW w:w="2970" w:type="dxa"/>
            <w:vAlign w:val="bottom"/>
          </w:tcPr>
          <w:p w:rsidR="00000000" w:rsidRDefault="00000000">
            <w:pPr>
              <w:pStyle w:val="BodyText"/>
              <w:spacing w:before="60" w:after="60" w:line="240" w:lineRule="exact"/>
              <w:ind w:right="43"/>
              <w:jc w:val="left"/>
              <w:rPr>
                <w:sz w:val="20"/>
              </w:rPr>
            </w:pPr>
            <w:r>
              <w:rPr>
                <w:sz w:val="20"/>
              </w:rPr>
              <w:t>Pozos particulares</w:t>
            </w:r>
          </w:p>
        </w:tc>
        <w:tc>
          <w:tcPr>
            <w:tcW w:w="711" w:type="dxa"/>
            <w:vAlign w:val="bottom"/>
          </w:tcPr>
          <w:p w:rsidR="00000000" w:rsidRDefault="00000000">
            <w:pPr>
              <w:pStyle w:val="BodyText"/>
              <w:spacing w:before="60" w:after="60" w:line="240" w:lineRule="exact"/>
              <w:ind w:right="43"/>
              <w:jc w:val="right"/>
              <w:rPr>
                <w:sz w:val="20"/>
              </w:rPr>
            </w:pPr>
            <w:r>
              <w:rPr>
                <w:sz w:val="20"/>
              </w:rPr>
              <w:t>30</w:t>
            </w:r>
          </w:p>
        </w:tc>
      </w:tr>
      <w:tr w:rsidR="00000000">
        <w:tblPrEx>
          <w:tblCellMar>
            <w:top w:w="0" w:type="dxa"/>
            <w:left w:w="0" w:type="dxa"/>
            <w:bottom w:w="0" w:type="dxa"/>
            <w:right w:w="0" w:type="dxa"/>
          </w:tblCellMar>
        </w:tblPrEx>
        <w:trPr>
          <w:cantSplit/>
        </w:trPr>
        <w:tc>
          <w:tcPr>
            <w:tcW w:w="2702" w:type="dxa"/>
            <w:vAlign w:val="bottom"/>
          </w:tcPr>
          <w:p w:rsidR="00000000" w:rsidRDefault="00000000">
            <w:pPr>
              <w:pStyle w:val="BodyText"/>
              <w:spacing w:before="60" w:after="60" w:line="240" w:lineRule="exact"/>
              <w:ind w:right="43"/>
              <w:jc w:val="both"/>
              <w:rPr>
                <w:sz w:val="20"/>
              </w:rPr>
            </w:pPr>
            <w:r>
              <w:rPr>
                <w:sz w:val="20"/>
              </w:rPr>
              <w:t>Pozos comunitarios</w:t>
            </w:r>
          </w:p>
        </w:tc>
        <w:tc>
          <w:tcPr>
            <w:tcW w:w="849" w:type="dxa"/>
            <w:vAlign w:val="bottom"/>
          </w:tcPr>
          <w:p w:rsidR="00000000" w:rsidRDefault="00000000">
            <w:pPr>
              <w:pStyle w:val="BodyText"/>
              <w:spacing w:before="60" w:after="60" w:line="240" w:lineRule="exact"/>
              <w:ind w:right="43"/>
              <w:jc w:val="right"/>
              <w:rPr>
                <w:sz w:val="20"/>
              </w:rPr>
            </w:pPr>
            <w:r>
              <w:rPr>
                <w:sz w:val="20"/>
              </w:rPr>
              <w:t>13</w:t>
            </w:r>
          </w:p>
        </w:tc>
        <w:tc>
          <w:tcPr>
            <w:tcW w:w="240" w:type="dxa"/>
            <w:vMerge/>
            <w:vAlign w:val="bottom"/>
          </w:tcPr>
          <w:p w:rsidR="00000000" w:rsidRDefault="00000000">
            <w:pPr>
              <w:pStyle w:val="BodyText"/>
              <w:spacing w:before="60" w:after="60" w:line="240" w:lineRule="exact"/>
              <w:ind w:right="43"/>
              <w:jc w:val="right"/>
              <w:rPr>
                <w:sz w:val="20"/>
              </w:rPr>
            </w:pPr>
          </w:p>
        </w:tc>
        <w:tc>
          <w:tcPr>
            <w:tcW w:w="2970" w:type="dxa"/>
            <w:vAlign w:val="bottom"/>
          </w:tcPr>
          <w:p w:rsidR="00000000" w:rsidRDefault="00000000">
            <w:pPr>
              <w:pStyle w:val="BodyText"/>
              <w:spacing w:before="60" w:after="60" w:line="240" w:lineRule="exact"/>
              <w:ind w:right="43"/>
              <w:jc w:val="left"/>
              <w:rPr>
                <w:sz w:val="20"/>
              </w:rPr>
            </w:pPr>
            <w:r>
              <w:rPr>
                <w:sz w:val="20"/>
              </w:rPr>
              <w:t>Tubos de alimentación part</w:t>
            </w:r>
            <w:r>
              <w:rPr>
                <w:sz w:val="20"/>
              </w:rPr>
              <w:t>i</w:t>
            </w:r>
            <w:r>
              <w:rPr>
                <w:sz w:val="20"/>
              </w:rPr>
              <w:t>culares</w:t>
            </w:r>
          </w:p>
        </w:tc>
        <w:tc>
          <w:tcPr>
            <w:tcW w:w="711" w:type="dxa"/>
            <w:vAlign w:val="bottom"/>
          </w:tcPr>
          <w:p w:rsidR="00000000" w:rsidRDefault="00000000">
            <w:pPr>
              <w:pStyle w:val="BodyText"/>
              <w:spacing w:before="60" w:after="60" w:line="240" w:lineRule="exact"/>
              <w:ind w:right="43"/>
              <w:jc w:val="right"/>
              <w:rPr>
                <w:sz w:val="20"/>
              </w:rPr>
            </w:pPr>
            <w:r>
              <w:rPr>
                <w:sz w:val="20"/>
              </w:rPr>
              <w:t>14</w:t>
            </w:r>
          </w:p>
        </w:tc>
      </w:tr>
      <w:tr w:rsidR="00000000">
        <w:tblPrEx>
          <w:tblCellMar>
            <w:top w:w="0" w:type="dxa"/>
            <w:left w:w="0" w:type="dxa"/>
            <w:bottom w:w="0" w:type="dxa"/>
            <w:right w:w="0" w:type="dxa"/>
          </w:tblCellMar>
        </w:tblPrEx>
        <w:trPr>
          <w:cantSplit/>
        </w:trPr>
        <w:tc>
          <w:tcPr>
            <w:tcW w:w="2702" w:type="dxa"/>
            <w:vAlign w:val="bottom"/>
          </w:tcPr>
          <w:p w:rsidR="00000000" w:rsidRDefault="00000000">
            <w:pPr>
              <w:pStyle w:val="BodyText"/>
              <w:spacing w:before="60" w:after="60" w:line="240" w:lineRule="exact"/>
              <w:ind w:right="43"/>
              <w:jc w:val="left"/>
              <w:rPr>
                <w:sz w:val="20"/>
              </w:rPr>
            </w:pPr>
            <w:r>
              <w:rPr>
                <w:sz w:val="20"/>
              </w:rPr>
              <w:t>Camiones-cisterna y vended</w:t>
            </w:r>
            <w:r>
              <w:rPr>
                <w:sz w:val="20"/>
              </w:rPr>
              <w:t>o</w:t>
            </w:r>
            <w:r>
              <w:rPr>
                <w:sz w:val="20"/>
              </w:rPr>
              <w:t>res</w:t>
            </w:r>
          </w:p>
        </w:tc>
        <w:tc>
          <w:tcPr>
            <w:tcW w:w="849" w:type="dxa"/>
            <w:vAlign w:val="bottom"/>
          </w:tcPr>
          <w:p w:rsidR="00000000" w:rsidRDefault="00000000">
            <w:pPr>
              <w:pStyle w:val="BodyText"/>
              <w:spacing w:before="60" w:after="60" w:line="240" w:lineRule="exact"/>
              <w:ind w:right="43"/>
              <w:jc w:val="right"/>
              <w:rPr>
                <w:sz w:val="20"/>
              </w:rPr>
            </w:pPr>
            <w:r>
              <w:rPr>
                <w:sz w:val="20"/>
              </w:rPr>
              <w:t>13</w:t>
            </w:r>
          </w:p>
        </w:tc>
        <w:tc>
          <w:tcPr>
            <w:tcW w:w="240" w:type="dxa"/>
            <w:vMerge/>
            <w:vAlign w:val="bottom"/>
          </w:tcPr>
          <w:p w:rsidR="00000000" w:rsidRDefault="00000000">
            <w:pPr>
              <w:pStyle w:val="BodyText"/>
              <w:spacing w:before="60" w:after="60" w:line="240" w:lineRule="exact"/>
              <w:ind w:right="43"/>
              <w:jc w:val="right"/>
              <w:rPr>
                <w:sz w:val="20"/>
              </w:rPr>
            </w:pPr>
          </w:p>
        </w:tc>
        <w:tc>
          <w:tcPr>
            <w:tcW w:w="2970" w:type="dxa"/>
            <w:vAlign w:val="bottom"/>
          </w:tcPr>
          <w:p w:rsidR="00000000" w:rsidRDefault="00000000">
            <w:pPr>
              <w:pStyle w:val="BodyText"/>
              <w:spacing w:before="60" w:after="60" w:line="240" w:lineRule="exact"/>
              <w:ind w:right="43"/>
              <w:jc w:val="left"/>
              <w:rPr>
                <w:sz w:val="20"/>
              </w:rPr>
            </w:pPr>
            <w:r>
              <w:rPr>
                <w:sz w:val="20"/>
              </w:rPr>
              <w:t>Tubos de alimentos p</w:t>
            </w:r>
            <w:r>
              <w:rPr>
                <w:sz w:val="20"/>
              </w:rPr>
              <w:t>ú</w:t>
            </w:r>
            <w:r>
              <w:rPr>
                <w:sz w:val="20"/>
              </w:rPr>
              <w:t>blicos</w:t>
            </w:r>
          </w:p>
        </w:tc>
        <w:tc>
          <w:tcPr>
            <w:tcW w:w="711" w:type="dxa"/>
            <w:vAlign w:val="bottom"/>
          </w:tcPr>
          <w:p w:rsidR="00000000" w:rsidRDefault="00000000">
            <w:pPr>
              <w:pStyle w:val="BodyText"/>
              <w:spacing w:before="60" w:after="60" w:line="240" w:lineRule="exact"/>
              <w:ind w:right="43"/>
              <w:jc w:val="right"/>
              <w:rPr>
                <w:sz w:val="20"/>
              </w:rPr>
            </w:pPr>
            <w:r>
              <w:rPr>
                <w:sz w:val="20"/>
              </w:rPr>
              <w:t>10</w:t>
            </w:r>
          </w:p>
        </w:tc>
      </w:tr>
      <w:tr w:rsidR="00000000">
        <w:tblPrEx>
          <w:tblCellMar>
            <w:top w:w="0" w:type="dxa"/>
            <w:left w:w="0" w:type="dxa"/>
            <w:bottom w:w="0" w:type="dxa"/>
            <w:right w:w="0" w:type="dxa"/>
          </w:tblCellMar>
        </w:tblPrEx>
        <w:trPr>
          <w:cantSplit/>
        </w:trPr>
        <w:tc>
          <w:tcPr>
            <w:tcW w:w="2702" w:type="dxa"/>
            <w:vAlign w:val="bottom"/>
          </w:tcPr>
          <w:p w:rsidR="00000000" w:rsidRDefault="00000000">
            <w:pPr>
              <w:pStyle w:val="BodyText"/>
              <w:spacing w:before="60" w:after="60" w:line="240" w:lineRule="exact"/>
              <w:ind w:right="43"/>
              <w:jc w:val="both"/>
              <w:rPr>
                <w:sz w:val="20"/>
              </w:rPr>
            </w:pPr>
            <w:r>
              <w:rPr>
                <w:sz w:val="20"/>
              </w:rPr>
              <w:t>Fuentes</w:t>
            </w:r>
          </w:p>
        </w:tc>
        <w:tc>
          <w:tcPr>
            <w:tcW w:w="849" w:type="dxa"/>
            <w:vAlign w:val="bottom"/>
          </w:tcPr>
          <w:p w:rsidR="00000000" w:rsidRDefault="00000000">
            <w:pPr>
              <w:pStyle w:val="BodyText"/>
              <w:spacing w:before="60" w:after="60" w:line="240" w:lineRule="exact"/>
              <w:ind w:right="43"/>
              <w:jc w:val="right"/>
              <w:rPr>
                <w:sz w:val="20"/>
              </w:rPr>
            </w:pPr>
            <w:r>
              <w:rPr>
                <w:sz w:val="20"/>
              </w:rPr>
              <w:t>7</w:t>
            </w:r>
          </w:p>
        </w:tc>
        <w:tc>
          <w:tcPr>
            <w:tcW w:w="240" w:type="dxa"/>
            <w:vMerge/>
            <w:vAlign w:val="bottom"/>
          </w:tcPr>
          <w:p w:rsidR="00000000" w:rsidRDefault="00000000">
            <w:pPr>
              <w:pStyle w:val="BodyText"/>
              <w:spacing w:before="60" w:after="60" w:line="240" w:lineRule="exact"/>
              <w:ind w:right="43"/>
              <w:jc w:val="right"/>
              <w:rPr>
                <w:sz w:val="20"/>
              </w:rPr>
            </w:pPr>
          </w:p>
        </w:tc>
        <w:tc>
          <w:tcPr>
            <w:tcW w:w="2970" w:type="dxa"/>
            <w:vAlign w:val="bottom"/>
          </w:tcPr>
          <w:p w:rsidR="00000000" w:rsidRDefault="00000000">
            <w:pPr>
              <w:pStyle w:val="BodyText"/>
              <w:spacing w:before="60" w:after="60" w:line="240" w:lineRule="exact"/>
              <w:ind w:right="43"/>
              <w:jc w:val="left"/>
              <w:rPr>
                <w:sz w:val="20"/>
              </w:rPr>
            </w:pPr>
            <w:r>
              <w:rPr>
                <w:sz w:val="20"/>
              </w:rPr>
              <w:t>Conexión con las c</w:t>
            </w:r>
            <w:r>
              <w:rPr>
                <w:sz w:val="20"/>
              </w:rPr>
              <w:t>a</w:t>
            </w:r>
            <w:r>
              <w:rPr>
                <w:sz w:val="20"/>
              </w:rPr>
              <w:t>sas</w:t>
            </w:r>
          </w:p>
        </w:tc>
        <w:tc>
          <w:tcPr>
            <w:tcW w:w="711" w:type="dxa"/>
            <w:vAlign w:val="bottom"/>
          </w:tcPr>
          <w:p w:rsidR="00000000" w:rsidRDefault="00000000">
            <w:pPr>
              <w:pStyle w:val="BodyText"/>
              <w:spacing w:before="60" w:after="60" w:line="240" w:lineRule="exact"/>
              <w:ind w:right="43"/>
              <w:jc w:val="right"/>
              <w:rPr>
                <w:sz w:val="20"/>
              </w:rPr>
            </w:pPr>
            <w:r>
              <w:rPr>
                <w:sz w:val="20"/>
              </w:rPr>
              <w:t>6</w:t>
            </w:r>
          </w:p>
        </w:tc>
      </w:tr>
      <w:tr w:rsidR="00000000">
        <w:tblPrEx>
          <w:tblCellMar>
            <w:top w:w="0" w:type="dxa"/>
            <w:left w:w="0" w:type="dxa"/>
            <w:bottom w:w="0" w:type="dxa"/>
            <w:right w:w="0" w:type="dxa"/>
          </w:tblCellMar>
        </w:tblPrEx>
        <w:trPr>
          <w:cantSplit/>
        </w:trPr>
        <w:tc>
          <w:tcPr>
            <w:tcW w:w="2702" w:type="dxa"/>
            <w:vAlign w:val="bottom"/>
          </w:tcPr>
          <w:p w:rsidR="00000000" w:rsidRDefault="00000000">
            <w:pPr>
              <w:pStyle w:val="BodyText"/>
              <w:spacing w:before="60" w:after="60" w:line="240" w:lineRule="exact"/>
              <w:ind w:right="43"/>
              <w:jc w:val="both"/>
              <w:rPr>
                <w:sz w:val="20"/>
              </w:rPr>
            </w:pPr>
            <w:r>
              <w:rPr>
                <w:sz w:val="20"/>
              </w:rPr>
              <w:t>Perforaciones</w:t>
            </w:r>
          </w:p>
        </w:tc>
        <w:tc>
          <w:tcPr>
            <w:tcW w:w="849" w:type="dxa"/>
            <w:vAlign w:val="bottom"/>
          </w:tcPr>
          <w:p w:rsidR="00000000" w:rsidRDefault="00000000">
            <w:pPr>
              <w:pStyle w:val="BodyText"/>
              <w:spacing w:before="60" w:after="60" w:line="240" w:lineRule="exact"/>
              <w:ind w:right="43"/>
              <w:jc w:val="right"/>
              <w:rPr>
                <w:sz w:val="20"/>
              </w:rPr>
            </w:pPr>
            <w:r>
              <w:rPr>
                <w:sz w:val="20"/>
              </w:rPr>
              <w:t>5</w:t>
            </w:r>
          </w:p>
        </w:tc>
        <w:tc>
          <w:tcPr>
            <w:tcW w:w="240" w:type="dxa"/>
            <w:vMerge/>
            <w:vAlign w:val="bottom"/>
          </w:tcPr>
          <w:p w:rsidR="00000000" w:rsidRDefault="00000000">
            <w:pPr>
              <w:pStyle w:val="BodyText"/>
              <w:spacing w:before="60" w:after="60" w:line="240" w:lineRule="exact"/>
              <w:ind w:right="43"/>
              <w:jc w:val="right"/>
              <w:rPr>
                <w:sz w:val="20"/>
              </w:rPr>
            </w:pPr>
          </w:p>
        </w:tc>
        <w:tc>
          <w:tcPr>
            <w:tcW w:w="2970" w:type="dxa"/>
            <w:vAlign w:val="bottom"/>
          </w:tcPr>
          <w:p w:rsidR="00000000" w:rsidRDefault="00000000">
            <w:pPr>
              <w:pStyle w:val="BodyText"/>
              <w:spacing w:before="60" w:after="60" w:line="240" w:lineRule="exact"/>
              <w:ind w:right="43"/>
              <w:jc w:val="left"/>
              <w:rPr>
                <w:sz w:val="20"/>
              </w:rPr>
            </w:pPr>
            <w:r>
              <w:rPr>
                <w:sz w:val="20"/>
              </w:rPr>
              <w:t>Camiones-cisterna</w:t>
            </w:r>
          </w:p>
        </w:tc>
        <w:tc>
          <w:tcPr>
            <w:tcW w:w="711" w:type="dxa"/>
            <w:vAlign w:val="bottom"/>
          </w:tcPr>
          <w:p w:rsidR="00000000" w:rsidRDefault="00000000">
            <w:pPr>
              <w:pStyle w:val="BodyText"/>
              <w:spacing w:before="60" w:after="60" w:line="240" w:lineRule="exact"/>
              <w:ind w:right="43"/>
              <w:jc w:val="right"/>
              <w:rPr>
                <w:sz w:val="20"/>
              </w:rPr>
            </w:pPr>
            <w:r>
              <w:rPr>
                <w:sz w:val="20"/>
              </w:rPr>
              <w:t>6</w:t>
            </w:r>
          </w:p>
        </w:tc>
      </w:tr>
      <w:tr w:rsidR="00000000">
        <w:tblPrEx>
          <w:tblCellMar>
            <w:top w:w="0" w:type="dxa"/>
            <w:left w:w="0" w:type="dxa"/>
            <w:bottom w:w="0" w:type="dxa"/>
            <w:right w:w="0" w:type="dxa"/>
          </w:tblCellMar>
        </w:tblPrEx>
        <w:trPr>
          <w:cantSplit/>
        </w:trPr>
        <w:tc>
          <w:tcPr>
            <w:tcW w:w="2702" w:type="dxa"/>
            <w:vAlign w:val="bottom"/>
          </w:tcPr>
          <w:p w:rsidR="00000000" w:rsidRDefault="00000000">
            <w:pPr>
              <w:pStyle w:val="BodyText"/>
              <w:spacing w:before="60" w:after="60" w:line="240" w:lineRule="exact"/>
              <w:ind w:right="43"/>
              <w:jc w:val="both"/>
              <w:rPr>
                <w:sz w:val="20"/>
              </w:rPr>
            </w:pPr>
            <w:r>
              <w:rPr>
                <w:sz w:val="20"/>
              </w:rPr>
              <w:t>Agua corriente</w:t>
            </w:r>
          </w:p>
        </w:tc>
        <w:tc>
          <w:tcPr>
            <w:tcW w:w="849" w:type="dxa"/>
            <w:vAlign w:val="bottom"/>
          </w:tcPr>
          <w:p w:rsidR="00000000" w:rsidRDefault="00000000">
            <w:pPr>
              <w:pStyle w:val="BodyText"/>
              <w:spacing w:before="60" w:after="60" w:line="240" w:lineRule="exact"/>
              <w:ind w:right="43"/>
              <w:jc w:val="right"/>
              <w:rPr>
                <w:sz w:val="20"/>
              </w:rPr>
            </w:pPr>
            <w:r>
              <w:rPr>
                <w:sz w:val="20"/>
              </w:rPr>
              <w:t>0,4</w:t>
            </w:r>
          </w:p>
        </w:tc>
        <w:tc>
          <w:tcPr>
            <w:tcW w:w="240" w:type="dxa"/>
            <w:vMerge/>
            <w:vAlign w:val="bottom"/>
          </w:tcPr>
          <w:p w:rsidR="00000000" w:rsidRDefault="00000000">
            <w:pPr>
              <w:pStyle w:val="BodyText"/>
              <w:spacing w:before="60" w:after="60" w:line="240" w:lineRule="exact"/>
              <w:ind w:right="43"/>
              <w:jc w:val="right"/>
              <w:rPr>
                <w:sz w:val="20"/>
              </w:rPr>
            </w:pPr>
          </w:p>
        </w:tc>
        <w:tc>
          <w:tcPr>
            <w:tcW w:w="2970" w:type="dxa"/>
            <w:vAlign w:val="bottom"/>
          </w:tcPr>
          <w:p w:rsidR="00000000" w:rsidRDefault="00000000">
            <w:pPr>
              <w:pStyle w:val="BodyText"/>
              <w:spacing w:before="60" w:after="60" w:line="240" w:lineRule="exact"/>
              <w:ind w:right="43"/>
              <w:jc w:val="left"/>
              <w:rPr>
                <w:sz w:val="20"/>
              </w:rPr>
            </w:pPr>
          </w:p>
        </w:tc>
        <w:tc>
          <w:tcPr>
            <w:tcW w:w="711" w:type="dxa"/>
            <w:vAlign w:val="bottom"/>
          </w:tcPr>
          <w:p w:rsidR="00000000" w:rsidRDefault="00000000">
            <w:pPr>
              <w:pStyle w:val="BodyText"/>
              <w:spacing w:before="60" w:after="60" w:line="240" w:lineRule="exact"/>
              <w:ind w:right="43"/>
              <w:jc w:val="right"/>
              <w:rPr>
                <w:sz w:val="20"/>
              </w:rPr>
            </w:pPr>
          </w:p>
        </w:tc>
      </w:tr>
      <w:tr w:rsidR="00000000">
        <w:tblPrEx>
          <w:tblCellMar>
            <w:top w:w="0" w:type="dxa"/>
            <w:left w:w="0" w:type="dxa"/>
            <w:bottom w:w="0" w:type="dxa"/>
            <w:right w:w="0" w:type="dxa"/>
          </w:tblCellMar>
        </w:tblPrEx>
        <w:trPr>
          <w:cantSplit/>
        </w:trPr>
        <w:tc>
          <w:tcPr>
            <w:tcW w:w="2702" w:type="dxa"/>
            <w:tcBorders>
              <w:bottom w:val="single" w:sz="12" w:space="0" w:color="auto"/>
            </w:tcBorders>
            <w:vAlign w:val="bottom"/>
          </w:tcPr>
          <w:p w:rsidR="00000000" w:rsidRDefault="00000000">
            <w:pPr>
              <w:pStyle w:val="BodyText"/>
              <w:spacing w:before="60" w:after="60" w:line="240" w:lineRule="exact"/>
              <w:ind w:right="43"/>
              <w:jc w:val="both"/>
              <w:rPr>
                <w:sz w:val="20"/>
              </w:rPr>
            </w:pPr>
            <w:r>
              <w:rPr>
                <w:sz w:val="20"/>
              </w:rPr>
              <w:t>Otras</w:t>
            </w:r>
          </w:p>
        </w:tc>
        <w:tc>
          <w:tcPr>
            <w:tcW w:w="849" w:type="dxa"/>
            <w:tcBorders>
              <w:bottom w:val="single" w:sz="12" w:space="0" w:color="auto"/>
            </w:tcBorders>
            <w:vAlign w:val="bottom"/>
          </w:tcPr>
          <w:p w:rsidR="00000000" w:rsidRDefault="00000000">
            <w:pPr>
              <w:pStyle w:val="BodyText"/>
              <w:spacing w:before="60" w:after="60" w:line="240" w:lineRule="exact"/>
              <w:ind w:right="43"/>
              <w:jc w:val="right"/>
              <w:rPr>
                <w:sz w:val="20"/>
              </w:rPr>
            </w:pPr>
            <w:r>
              <w:rPr>
                <w:sz w:val="20"/>
              </w:rPr>
              <w:t>8</w:t>
            </w:r>
          </w:p>
        </w:tc>
        <w:tc>
          <w:tcPr>
            <w:tcW w:w="240" w:type="dxa"/>
            <w:vMerge/>
            <w:vAlign w:val="bottom"/>
          </w:tcPr>
          <w:p w:rsidR="00000000" w:rsidRDefault="00000000">
            <w:pPr>
              <w:pStyle w:val="BodyText"/>
              <w:spacing w:before="60" w:after="60" w:line="240" w:lineRule="exact"/>
              <w:ind w:right="43"/>
              <w:jc w:val="right"/>
              <w:rPr>
                <w:sz w:val="20"/>
              </w:rPr>
            </w:pPr>
          </w:p>
        </w:tc>
        <w:tc>
          <w:tcPr>
            <w:tcW w:w="2970" w:type="dxa"/>
            <w:tcBorders>
              <w:bottom w:val="single" w:sz="12" w:space="0" w:color="auto"/>
            </w:tcBorders>
            <w:vAlign w:val="bottom"/>
          </w:tcPr>
          <w:p w:rsidR="00000000" w:rsidRDefault="00000000">
            <w:pPr>
              <w:pStyle w:val="BodyText"/>
              <w:spacing w:before="60" w:after="60" w:line="240" w:lineRule="exact"/>
              <w:ind w:right="43"/>
              <w:jc w:val="left"/>
              <w:rPr>
                <w:sz w:val="20"/>
              </w:rPr>
            </w:pPr>
          </w:p>
        </w:tc>
        <w:tc>
          <w:tcPr>
            <w:tcW w:w="711" w:type="dxa"/>
            <w:tcBorders>
              <w:bottom w:val="single" w:sz="12" w:space="0" w:color="auto"/>
            </w:tcBorders>
            <w:vAlign w:val="bottom"/>
          </w:tcPr>
          <w:p w:rsidR="00000000" w:rsidRDefault="00000000">
            <w:pPr>
              <w:pStyle w:val="BodyText"/>
              <w:spacing w:before="60" w:after="60" w:line="240" w:lineRule="exact"/>
              <w:ind w:right="43"/>
              <w:jc w:val="right"/>
              <w:rPr>
                <w:sz w:val="20"/>
              </w:rPr>
            </w:pPr>
          </w:p>
        </w:tc>
      </w:tr>
    </w:tbl>
    <w:p w:rsidR="00000000" w:rsidRDefault="00000000">
      <w:pPr>
        <w:pStyle w:val="BodyText"/>
        <w:spacing w:line="120" w:lineRule="exact"/>
        <w:ind w:left="708"/>
        <w:jc w:val="both"/>
        <w:rPr>
          <w:b/>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Storeland y Bassey, L – 2000 a y b.</w:t>
      </w:r>
    </w:p>
    <w:p w:rsidR="00000000" w:rsidRDefault="00000000">
      <w:pPr>
        <w:pStyle w:val="BodyText"/>
        <w:spacing w:line="120" w:lineRule="exact"/>
        <w:ind w:left="708"/>
        <w:jc w:val="both"/>
        <w:rPr>
          <w:b/>
          <w:sz w:val="10"/>
        </w:rPr>
      </w:pPr>
    </w:p>
    <w:p w:rsidR="00000000" w:rsidRDefault="00000000">
      <w:pPr>
        <w:pStyle w:val="BodyText"/>
        <w:spacing w:line="120" w:lineRule="exact"/>
        <w:ind w:left="708"/>
        <w:jc w:val="both"/>
        <w:rPr>
          <w:b/>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br w:type="page"/>
      </w:r>
      <w:r>
        <w:rPr>
          <w:b w:val="0"/>
        </w:rPr>
        <w:tab/>
      </w:r>
      <w:r>
        <w:rPr>
          <w:b w:val="0"/>
        </w:rPr>
        <w:tab/>
        <w:t xml:space="preserve">Cuadro 14.3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Fuentes de abastecimiento de agua, servicios de saneamiento </w:t>
      </w:r>
      <w:r>
        <w:br/>
        <w:t xml:space="preserve">y número de personas por habitación, 1990 y 1999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(porcentaje de hogares)</w:t>
      </w:r>
    </w:p>
    <w:p w:rsidR="00000000" w:rsidRDefault="00000000">
      <w:pPr>
        <w:pStyle w:val="BodyText"/>
        <w:spacing w:line="120" w:lineRule="exact"/>
        <w:ind w:left="708"/>
        <w:jc w:val="both"/>
        <w:rPr>
          <w:b/>
          <w:sz w:val="10"/>
          <w:u w:val="single"/>
        </w:rPr>
      </w:pPr>
    </w:p>
    <w:tbl>
      <w:tblPr>
        <w:tblW w:w="0" w:type="auto"/>
        <w:tblInd w:w="1235" w:type="dxa"/>
        <w:tblLayout w:type="fixed"/>
        <w:tblLook w:val="0000" w:firstRow="0" w:lastRow="0" w:firstColumn="0" w:lastColumn="0" w:noHBand="0" w:noVBand="0"/>
      </w:tblPr>
      <w:tblGrid>
        <w:gridCol w:w="3123"/>
        <w:gridCol w:w="1008"/>
        <w:gridCol w:w="1008"/>
        <w:gridCol w:w="1008"/>
        <w:gridCol w:w="1008"/>
      </w:tblGrid>
      <w:tr w:rsidR="00000000">
        <w:tblPrEx>
          <w:tblCellMar>
            <w:top w:w="0" w:type="dxa"/>
            <w:bottom w:w="0" w:type="dxa"/>
          </w:tblCellMar>
        </w:tblPrEx>
        <w:trPr>
          <w:cantSplit/>
          <w:tblHeader/>
        </w:trPr>
        <w:tc>
          <w:tcPr>
            <w:tcW w:w="3123" w:type="dxa"/>
            <w:vMerge w:val="restart"/>
            <w:tcBorders>
              <w:top w:val="single" w:sz="4" w:space="0" w:color="auto"/>
            </w:tcBorders>
            <w:vAlign w:val="bottom"/>
          </w:tcPr>
          <w:p w:rsidR="00000000" w:rsidRDefault="00000000">
            <w:pPr>
              <w:pStyle w:val="BodyText"/>
              <w:spacing w:after="80" w:line="160" w:lineRule="exact"/>
              <w:ind w:right="40"/>
              <w:jc w:val="both"/>
              <w:rPr>
                <w:i/>
                <w:sz w:val="14"/>
              </w:rPr>
            </w:pPr>
          </w:p>
        </w:tc>
        <w:tc>
          <w:tcPr>
            <w:tcW w:w="2016" w:type="dxa"/>
            <w:gridSpan w:val="2"/>
            <w:tcBorders>
              <w:top w:val="single" w:sz="4" w:space="0" w:color="auto"/>
              <w:bottom w:val="single" w:sz="4" w:space="0" w:color="auto"/>
            </w:tcBorders>
            <w:vAlign w:val="bottom"/>
          </w:tcPr>
          <w:p w:rsidR="00000000" w:rsidRDefault="00000000">
            <w:pPr>
              <w:pStyle w:val="BodyText"/>
              <w:spacing w:after="80" w:line="160" w:lineRule="exact"/>
              <w:ind w:right="43"/>
              <w:rPr>
                <w:i/>
                <w:sz w:val="14"/>
              </w:rPr>
            </w:pPr>
            <w:r>
              <w:rPr>
                <w:i/>
                <w:sz w:val="14"/>
              </w:rPr>
              <w:t>Urbanos</w:t>
            </w:r>
          </w:p>
        </w:tc>
        <w:tc>
          <w:tcPr>
            <w:tcW w:w="2016" w:type="dxa"/>
            <w:gridSpan w:val="2"/>
            <w:tcBorders>
              <w:top w:val="single" w:sz="4" w:space="0" w:color="auto"/>
              <w:bottom w:val="single" w:sz="4" w:space="0" w:color="auto"/>
            </w:tcBorders>
            <w:vAlign w:val="bottom"/>
          </w:tcPr>
          <w:p w:rsidR="00000000" w:rsidRDefault="00000000">
            <w:pPr>
              <w:pStyle w:val="BodyText"/>
              <w:spacing w:after="80" w:line="160" w:lineRule="exact"/>
              <w:ind w:right="43"/>
              <w:rPr>
                <w:i/>
                <w:sz w:val="14"/>
              </w:rPr>
            </w:pPr>
            <w:r>
              <w:rPr>
                <w:i/>
                <w:sz w:val="14"/>
              </w:rPr>
              <w:t>Rurales</w:t>
            </w:r>
          </w:p>
        </w:tc>
      </w:tr>
      <w:tr w:rsidR="00000000">
        <w:tblPrEx>
          <w:tblCellMar>
            <w:top w:w="0" w:type="dxa"/>
            <w:bottom w:w="0" w:type="dxa"/>
          </w:tblCellMar>
        </w:tblPrEx>
        <w:trPr>
          <w:cantSplit/>
          <w:tblHeader/>
        </w:trPr>
        <w:tc>
          <w:tcPr>
            <w:tcW w:w="3123" w:type="dxa"/>
            <w:vMerge/>
            <w:tcBorders>
              <w:bottom w:val="single" w:sz="12" w:space="0" w:color="auto"/>
            </w:tcBorders>
            <w:vAlign w:val="bottom"/>
          </w:tcPr>
          <w:p w:rsidR="00000000" w:rsidRDefault="00000000">
            <w:pPr>
              <w:pStyle w:val="BodyText"/>
              <w:spacing w:after="80" w:line="160" w:lineRule="exact"/>
              <w:ind w:right="40"/>
              <w:jc w:val="both"/>
              <w:rPr>
                <w:b/>
                <w:i/>
                <w:sz w:val="14"/>
              </w:rPr>
            </w:pPr>
          </w:p>
        </w:tc>
        <w:tc>
          <w:tcPr>
            <w:tcW w:w="1008" w:type="dxa"/>
            <w:tcBorders>
              <w:bottom w:val="single" w:sz="12" w:space="0" w:color="auto"/>
            </w:tcBorders>
            <w:vAlign w:val="bottom"/>
          </w:tcPr>
          <w:p w:rsidR="00000000" w:rsidRDefault="00000000">
            <w:pPr>
              <w:pStyle w:val="BodyText"/>
              <w:spacing w:after="80" w:line="160" w:lineRule="exact"/>
              <w:ind w:right="40"/>
              <w:jc w:val="right"/>
              <w:rPr>
                <w:i/>
                <w:sz w:val="14"/>
              </w:rPr>
            </w:pPr>
            <w:r>
              <w:rPr>
                <w:i/>
                <w:sz w:val="14"/>
              </w:rPr>
              <w:t>1990</w:t>
            </w:r>
          </w:p>
        </w:tc>
        <w:tc>
          <w:tcPr>
            <w:tcW w:w="1008" w:type="dxa"/>
            <w:tcBorders>
              <w:bottom w:val="single" w:sz="12" w:space="0" w:color="auto"/>
            </w:tcBorders>
            <w:vAlign w:val="bottom"/>
          </w:tcPr>
          <w:p w:rsidR="00000000" w:rsidRDefault="00000000">
            <w:pPr>
              <w:pStyle w:val="BodyText"/>
              <w:spacing w:after="80" w:line="160" w:lineRule="exact"/>
              <w:ind w:right="40"/>
              <w:jc w:val="right"/>
              <w:rPr>
                <w:i/>
                <w:sz w:val="14"/>
              </w:rPr>
            </w:pPr>
            <w:r>
              <w:rPr>
                <w:i/>
                <w:sz w:val="14"/>
              </w:rPr>
              <w:t>1999</w:t>
            </w:r>
          </w:p>
        </w:tc>
        <w:tc>
          <w:tcPr>
            <w:tcW w:w="1008" w:type="dxa"/>
            <w:tcBorders>
              <w:bottom w:val="single" w:sz="12" w:space="0" w:color="auto"/>
            </w:tcBorders>
            <w:vAlign w:val="bottom"/>
          </w:tcPr>
          <w:p w:rsidR="00000000" w:rsidRDefault="00000000">
            <w:pPr>
              <w:pStyle w:val="BodyText"/>
              <w:spacing w:after="80" w:line="160" w:lineRule="exact"/>
              <w:ind w:right="40"/>
              <w:jc w:val="right"/>
              <w:rPr>
                <w:i/>
                <w:sz w:val="14"/>
              </w:rPr>
            </w:pPr>
            <w:r>
              <w:rPr>
                <w:i/>
                <w:sz w:val="14"/>
              </w:rPr>
              <w:t>1990</w:t>
            </w:r>
          </w:p>
        </w:tc>
        <w:tc>
          <w:tcPr>
            <w:tcW w:w="1008" w:type="dxa"/>
            <w:tcBorders>
              <w:bottom w:val="single" w:sz="12" w:space="0" w:color="auto"/>
            </w:tcBorders>
            <w:vAlign w:val="bottom"/>
          </w:tcPr>
          <w:p w:rsidR="00000000" w:rsidRDefault="00000000">
            <w:pPr>
              <w:pStyle w:val="BodyText"/>
              <w:spacing w:after="80" w:line="160" w:lineRule="exact"/>
              <w:ind w:right="40"/>
              <w:jc w:val="right"/>
              <w:rPr>
                <w:i/>
                <w:sz w:val="14"/>
              </w:rPr>
            </w:pPr>
            <w:r>
              <w:rPr>
                <w:i/>
                <w:sz w:val="14"/>
              </w:rPr>
              <w:t>1999</w:t>
            </w:r>
          </w:p>
        </w:tc>
      </w:tr>
      <w:tr w:rsidR="00000000">
        <w:tblPrEx>
          <w:tblCellMar>
            <w:top w:w="0" w:type="dxa"/>
            <w:bottom w:w="0" w:type="dxa"/>
          </w:tblCellMar>
        </w:tblPrEx>
        <w:trPr>
          <w:trHeight w:hRule="exact" w:val="115"/>
          <w:tblHeader/>
        </w:trPr>
        <w:tc>
          <w:tcPr>
            <w:tcW w:w="3123" w:type="dxa"/>
            <w:vAlign w:val="bottom"/>
          </w:tcPr>
          <w:p w:rsidR="00000000" w:rsidRDefault="00000000">
            <w:pPr>
              <w:pStyle w:val="BodyText"/>
              <w:spacing w:before="40" w:after="40" w:line="210" w:lineRule="exact"/>
              <w:ind w:right="40"/>
              <w:jc w:val="both"/>
              <w:rPr>
                <w:b/>
                <w:sz w:val="17"/>
              </w:rPr>
            </w:pPr>
          </w:p>
        </w:tc>
        <w:tc>
          <w:tcPr>
            <w:tcW w:w="1008" w:type="dxa"/>
            <w:vAlign w:val="bottom"/>
          </w:tcPr>
          <w:p w:rsidR="00000000" w:rsidRDefault="00000000">
            <w:pPr>
              <w:pStyle w:val="BodyText"/>
              <w:spacing w:before="40" w:after="40" w:line="210" w:lineRule="exact"/>
              <w:ind w:right="40"/>
              <w:rPr>
                <w:sz w:val="17"/>
              </w:rPr>
            </w:pPr>
          </w:p>
        </w:tc>
        <w:tc>
          <w:tcPr>
            <w:tcW w:w="1008" w:type="dxa"/>
            <w:vAlign w:val="bottom"/>
          </w:tcPr>
          <w:p w:rsidR="00000000" w:rsidRDefault="00000000">
            <w:pPr>
              <w:pStyle w:val="BodyText"/>
              <w:spacing w:before="40" w:after="40" w:line="210" w:lineRule="exact"/>
              <w:ind w:right="40"/>
              <w:rPr>
                <w:sz w:val="17"/>
              </w:rPr>
            </w:pPr>
          </w:p>
        </w:tc>
        <w:tc>
          <w:tcPr>
            <w:tcW w:w="1008" w:type="dxa"/>
            <w:vAlign w:val="bottom"/>
          </w:tcPr>
          <w:p w:rsidR="00000000" w:rsidRDefault="00000000">
            <w:pPr>
              <w:pStyle w:val="BodyText"/>
              <w:spacing w:before="40" w:after="40" w:line="210" w:lineRule="exact"/>
              <w:ind w:right="40"/>
              <w:rPr>
                <w:sz w:val="17"/>
              </w:rPr>
            </w:pPr>
          </w:p>
        </w:tc>
        <w:tc>
          <w:tcPr>
            <w:tcW w:w="1008" w:type="dxa"/>
            <w:vAlign w:val="bottom"/>
          </w:tcPr>
          <w:p w:rsidR="00000000" w:rsidRDefault="00000000">
            <w:pPr>
              <w:pStyle w:val="BodyText"/>
              <w:spacing w:before="40" w:after="40" w:line="210" w:lineRule="exact"/>
              <w:ind w:right="40"/>
              <w:rPr>
                <w:sz w:val="17"/>
              </w:rPr>
            </w:pP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b/>
                <w:sz w:val="17"/>
              </w:rPr>
            </w:pPr>
            <w:r>
              <w:rPr>
                <w:b/>
                <w:sz w:val="17"/>
              </w:rPr>
              <w:t>Agua</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rPr>
            </w:pP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rPr>
            </w:pP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rPr>
            </w:pP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rPr>
                <w:sz w:val="17"/>
              </w:rPr>
            </w:pP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Agua corriente en las casas</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31,1</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24,0</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3,3</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Fuente pública</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32,2</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25,8</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8,4</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8,5</w:t>
            </w: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Pozo</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2,2</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26,5</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34,9</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34,7</w:t>
            </w: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Ríos, fuentes, aguas superficiales</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4,9</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5,8</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51,,9</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38,3</w:t>
            </w: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Camiones-cisterna/otros vendedores</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8,9</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3,6</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0,7</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0,8</w:t>
            </w: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Agua de lluvia</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0,3</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0,7</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0,8</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0,8</w:t>
            </w: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Perforación</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NA</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12,4</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NA</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Otros</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0,4</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0,0</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b/>
                <w:sz w:val="17"/>
              </w:rPr>
            </w:pPr>
            <w:r>
              <w:rPr>
                <w:b/>
                <w:sz w:val="17"/>
              </w:rPr>
              <w:t>Instalaciones de higiene</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Alcantarillado</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29,9</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30,6</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2,1</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4,3</w:t>
            </w: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Letrina de cubo</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0,3</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0,3</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Letrina de pozo</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60,4</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55,2</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62,2</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61,9</w:t>
            </w: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Sin instalaciones</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8,1</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12,3</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35,5</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32,2</w:t>
            </w: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b/>
                <w:sz w:val="17"/>
              </w:rPr>
            </w:pPr>
            <w:r>
              <w:rPr>
                <w:b/>
                <w:sz w:val="17"/>
              </w:rPr>
              <w:t>Personas por alcoba</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1-2</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43,4</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59,0</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50,2</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67,5</w:t>
            </w: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3-4</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35,6</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25,5</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33,6</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23,3</w:t>
            </w:r>
          </w:p>
        </w:tc>
      </w:tr>
      <w:tr w:rsidR="00000000">
        <w:tblPrEx>
          <w:tblCellMar>
            <w:top w:w="0" w:type="dxa"/>
            <w:bottom w:w="0" w:type="dxa"/>
          </w:tblCellMar>
        </w:tblPrEx>
        <w:tc>
          <w:tcPr>
            <w:tcW w:w="3123" w:type="dxa"/>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5-6</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14,7</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10,4</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10,3</w:t>
            </w:r>
          </w:p>
        </w:tc>
        <w:tc>
          <w:tcPr>
            <w:tcW w:w="1008"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bottom w:w="0" w:type="dxa"/>
          </w:tblCellMar>
        </w:tblPrEx>
        <w:tc>
          <w:tcPr>
            <w:tcW w:w="3123"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both"/>
              <w:rPr>
                <w:sz w:val="17"/>
              </w:rPr>
            </w:pPr>
            <w:r>
              <w:rPr>
                <w:sz w:val="17"/>
              </w:rPr>
              <w:t>7+</w:t>
            </w:r>
          </w:p>
        </w:tc>
        <w:tc>
          <w:tcPr>
            <w:tcW w:w="1008"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6,2</w:t>
            </w:r>
          </w:p>
        </w:tc>
        <w:tc>
          <w:tcPr>
            <w:tcW w:w="1008"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3,4</w:t>
            </w:r>
          </w:p>
        </w:tc>
        <w:tc>
          <w:tcPr>
            <w:tcW w:w="1008"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5,6</w:t>
            </w:r>
          </w:p>
        </w:tc>
        <w:tc>
          <w:tcPr>
            <w:tcW w:w="1008"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2,0</w:t>
            </w:r>
          </w:p>
        </w:tc>
      </w:tr>
    </w:tbl>
    <w:p w:rsidR="00000000" w:rsidRDefault="00000000">
      <w:pPr>
        <w:pStyle w:val="BodyText"/>
        <w:spacing w:line="120" w:lineRule="exact"/>
        <w:ind w:left="708"/>
        <w:jc w:val="both"/>
        <w:rPr>
          <w:b/>
          <w:sz w:val="10"/>
        </w:rPr>
      </w:pPr>
    </w:p>
    <w:p w:rsidR="00000000" w:rsidRDefault="00000000">
      <w:pPr>
        <w:pStyle w:val="FootnoteText"/>
        <w:tabs>
          <w:tab w:val="clear" w:pos="418"/>
          <w:tab w:val="right" w:pos="1476"/>
          <w:tab w:val="left" w:pos="1548"/>
          <w:tab w:val="right" w:pos="1836"/>
          <w:tab w:val="left" w:pos="1908"/>
        </w:tabs>
        <w:ind w:left="1476" w:right="1267" w:hanging="216"/>
        <w:rPr>
          <w:sz w:val="20"/>
        </w:rPr>
      </w:pPr>
      <w:r>
        <w:rPr>
          <w:i/>
        </w:rPr>
        <w:t>Fuente</w:t>
      </w:r>
      <w:r>
        <w:t xml:space="preserve">: NDHS, 1990 (Oficina Federal de Estadística/IRD, M 11, A-1992); NDHS, 1999 </w:t>
      </w:r>
      <w:r>
        <w:rPr>
          <w:sz w:val="20"/>
        </w:rPr>
        <w:t>(Comisión Nacional de Planificación, A-2000).</w:t>
      </w:r>
    </w:p>
    <w:p w:rsidR="00000000" w:rsidRDefault="00000000">
      <w:pPr>
        <w:pStyle w:val="BodyText"/>
        <w:spacing w:line="120" w:lineRule="exact"/>
        <w:ind w:left="708"/>
        <w:jc w:val="both"/>
        <w:rPr>
          <w:b/>
          <w:sz w:val="10"/>
        </w:rPr>
      </w:pPr>
    </w:p>
    <w:p w:rsidR="00000000" w:rsidRDefault="00000000">
      <w:pPr>
        <w:pStyle w:val="BodyText"/>
        <w:spacing w:line="120" w:lineRule="exact"/>
        <w:ind w:left="708"/>
        <w:jc w:val="both"/>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14.4</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Porcentaje de mujeres propietarias de tierras agrícolas</w:t>
      </w:r>
    </w:p>
    <w:p w:rsidR="00000000" w:rsidRDefault="00000000">
      <w:pPr>
        <w:pStyle w:val="BodyText"/>
        <w:spacing w:line="120" w:lineRule="exact"/>
        <w:ind w:left="708"/>
        <w:jc w:val="both"/>
        <w:rPr>
          <w:b/>
          <w:sz w:val="10"/>
        </w:rPr>
      </w:pPr>
    </w:p>
    <w:tbl>
      <w:tblPr>
        <w:tblW w:w="0" w:type="auto"/>
        <w:tblInd w:w="1253" w:type="dxa"/>
        <w:tblLayout w:type="fixed"/>
        <w:tblLook w:val="0000" w:firstRow="0" w:lastRow="0" w:firstColumn="0" w:lastColumn="0" w:noHBand="0" w:noVBand="0"/>
      </w:tblPr>
      <w:tblGrid>
        <w:gridCol w:w="5949"/>
        <w:gridCol w:w="270"/>
        <w:gridCol w:w="900"/>
      </w:tblGrid>
      <w:tr w:rsidR="00000000">
        <w:tblPrEx>
          <w:tblCellMar>
            <w:top w:w="0" w:type="dxa"/>
            <w:bottom w:w="0" w:type="dxa"/>
          </w:tblCellMar>
        </w:tblPrEx>
        <w:trPr>
          <w:tblHeader/>
        </w:trPr>
        <w:tc>
          <w:tcPr>
            <w:tcW w:w="5949" w:type="dxa"/>
            <w:tcBorders>
              <w:top w:val="single" w:sz="4" w:space="0" w:color="auto"/>
            </w:tcBorders>
            <w:vAlign w:val="bottom"/>
          </w:tcPr>
          <w:p w:rsidR="00000000" w:rsidRDefault="00000000">
            <w:pPr>
              <w:pStyle w:val="BodyText"/>
              <w:spacing w:before="80" w:after="80" w:line="160" w:lineRule="exact"/>
              <w:ind w:right="40"/>
              <w:jc w:val="both"/>
              <w:rPr>
                <w:i/>
                <w:sz w:val="14"/>
              </w:rPr>
            </w:pPr>
            <w:r>
              <w:rPr>
                <w:i/>
                <w:sz w:val="14"/>
              </w:rPr>
              <w:t>Estado</w:t>
            </w:r>
          </w:p>
        </w:tc>
        <w:tc>
          <w:tcPr>
            <w:tcW w:w="1170" w:type="dxa"/>
            <w:gridSpan w:val="2"/>
            <w:tcBorders>
              <w:top w:val="single" w:sz="4" w:space="0" w:color="auto"/>
            </w:tcBorders>
            <w:vAlign w:val="bottom"/>
          </w:tcPr>
          <w:p w:rsidR="00000000" w:rsidRDefault="00000000">
            <w:pPr>
              <w:pStyle w:val="BodyText"/>
              <w:spacing w:before="80" w:after="80" w:line="160" w:lineRule="exact"/>
              <w:ind w:right="40"/>
              <w:jc w:val="right"/>
              <w:rPr>
                <w:i/>
                <w:sz w:val="14"/>
              </w:rPr>
            </w:pPr>
            <w:r>
              <w:rPr>
                <w:i/>
                <w:sz w:val="14"/>
              </w:rPr>
              <w:t xml:space="preserve">Porcentaje de </w:t>
            </w:r>
            <w:r>
              <w:rPr>
                <w:i/>
                <w:sz w:val="14"/>
              </w:rPr>
              <w:br/>
              <w:t>propietarias agr</w:t>
            </w:r>
            <w:r>
              <w:rPr>
                <w:i/>
                <w:sz w:val="14"/>
              </w:rPr>
              <w:t>í</w:t>
            </w:r>
            <w:r>
              <w:rPr>
                <w:i/>
                <w:sz w:val="14"/>
              </w:rPr>
              <w:t>colas</w:t>
            </w:r>
          </w:p>
        </w:tc>
      </w:tr>
      <w:tr w:rsidR="00000000">
        <w:tblPrEx>
          <w:tblCellMar>
            <w:top w:w="0" w:type="dxa"/>
            <w:bottom w:w="0" w:type="dxa"/>
          </w:tblCellMar>
        </w:tblPrEx>
        <w:trPr>
          <w:trHeight w:hRule="exact" w:val="115"/>
          <w:tblHeader/>
        </w:trPr>
        <w:tc>
          <w:tcPr>
            <w:tcW w:w="6219" w:type="dxa"/>
            <w:gridSpan w:val="2"/>
            <w:tcBorders>
              <w:top w:val="single" w:sz="12" w:space="0" w:color="auto"/>
            </w:tcBorders>
            <w:vAlign w:val="bottom"/>
          </w:tcPr>
          <w:p w:rsidR="00000000" w:rsidRDefault="00000000">
            <w:pPr>
              <w:pStyle w:val="BodyText"/>
              <w:spacing w:before="40" w:after="40" w:line="210" w:lineRule="exact"/>
              <w:ind w:right="40"/>
              <w:jc w:val="both"/>
              <w:rPr>
                <w:sz w:val="17"/>
                <w:lang w:val="en-GB"/>
              </w:rPr>
            </w:pPr>
          </w:p>
        </w:tc>
        <w:tc>
          <w:tcPr>
            <w:tcW w:w="900" w:type="dxa"/>
            <w:tcBorders>
              <w:top w:val="single" w:sz="12" w:space="0" w:color="auto"/>
            </w:tcBorders>
            <w:vAlign w:val="bottom"/>
          </w:tcPr>
          <w:p w:rsidR="00000000" w:rsidRDefault="00000000">
            <w:pPr>
              <w:pStyle w:val="BodyText"/>
              <w:spacing w:before="40" w:after="40" w:line="210" w:lineRule="exact"/>
              <w:ind w:right="40"/>
              <w:jc w:val="right"/>
              <w:rPr>
                <w:sz w:val="17"/>
              </w:rPr>
            </w:pP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lang w:val="en-GB"/>
              </w:rPr>
            </w:pPr>
            <w:r>
              <w:rPr>
                <w:sz w:val="17"/>
                <w:lang w:val="en-GB"/>
              </w:rPr>
              <w:t>Abia</w:t>
            </w:r>
            <w:r>
              <w:rPr>
                <w:spacing w:val="60"/>
                <w:sz w:val="17"/>
                <w:lang w:val="en-GB"/>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50,0</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pos="576"/>
                <w:tab w:val="left" w:leader="dot" w:pos="5960"/>
              </w:tabs>
              <w:spacing w:before="40" w:after="40" w:line="210" w:lineRule="exact"/>
              <w:ind w:right="40"/>
              <w:jc w:val="both"/>
              <w:rPr>
                <w:spacing w:val="60"/>
                <w:sz w:val="17"/>
                <w:lang w:val="en-GB"/>
              </w:rPr>
            </w:pPr>
            <w:r>
              <w:rPr>
                <w:sz w:val="17"/>
                <w:lang w:val="en-GB"/>
              </w:rPr>
              <w:t>Adamawa</w:t>
            </w:r>
            <w:r>
              <w:rPr>
                <w:spacing w:val="60"/>
                <w:sz w:val="17"/>
                <w:lang w:val="en-GB"/>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20,4</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pos="576"/>
                <w:tab w:val="left" w:leader="dot" w:pos="5960"/>
              </w:tabs>
              <w:spacing w:before="40" w:after="40" w:line="210" w:lineRule="exact"/>
              <w:ind w:right="40"/>
              <w:jc w:val="both"/>
              <w:rPr>
                <w:spacing w:val="60"/>
                <w:sz w:val="17"/>
                <w:lang w:val="en-GB"/>
              </w:rPr>
            </w:pPr>
            <w:r>
              <w:rPr>
                <w:sz w:val="17"/>
                <w:lang w:val="en-GB"/>
              </w:rPr>
              <w:t>Akwa-Ibom</w:t>
            </w:r>
            <w:r>
              <w:rPr>
                <w:spacing w:val="60"/>
                <w:sz w:val="17"/>
                <w:lang w:val="en-GB"/>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32,1</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pos="576"/>
                <w:tab w:val="left" w:leader="dot" w:pos="5960"/>
              </w:tabs>
              <w:spacing w:before="40" w:after="40" w:line="210" w:lineRule="exact"/>
              <w:ind w:right="40"/>
              <w:jc w:val="both"/>
              <w:rPr>
                <w:spacing w:val="60"/>
                <w:sz w:val="17"/>
                <w:lang w:val="en-GB"/>
              </w:rPr>
            </w:pPr>
            <w:r>
              <w:rPr>
                <w:sz w:val="17"/>
                <w:lang w:val="en-GB"/>
              </w:rPr>
              <w:t>Anambra</w:t>
            </w:r>
            <w:r>
              <w:rPr>
                <w:spacing w:val="60"/>
                <w:sz w:val="17"/>
                <w:lang w:val="en-GB"/>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37,6</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lang w:val="en-GB"/>
              </w:rPr>
            </w:pPr>
            <w:r>
              <w:rPr>
                <w:sz w:val="17"/>
                <w:lang w:val="en-GB"/>
              </w:rPr>
              <w:t>Bauchi</w:t>
            </w:r>
            <w:r>
              <w:rPr>
                <w:spacing w:val="60"/>
                <w:sz w:val="17"/>
                <w:lang w:val="en-GB"/>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lang w:val="en-GB"/>
              </w:rPr>
            </w:pPr>
            <w:r>
              <w:rPr>
                <w:sz w:val="17"/>
                <w:lang w:val="en-GB"/>
              </w:rPr>
              <w:t>Benue</w:t>
            </w:r>
            <w:r>
              <w:rPr>
                <w:spacing w:val="60"/>
                <w:sz w:val="17"/>
                <w:lang w:val="en-GB"/>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Borno</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pos="576"/>
                <w:tab w:val="left" w:leader="dot" w:pos="5960"/>
              </w:tabs>
              <w:spacing w:before="40" w:after="40" w:line="210" w:lineRule="exact"/>
              <w:ind w:right="40"/>
              <w:jc w:val="both"/>
              <w:rPr>
                <w:spacing w:val="60"/>
                <w:sz w:val="17"/>
              </w:rPr>
            </w:pPr>
            <w:r>
              <w:rPr>
                <w:sz w:val="17"/>
              </w:rPr>
              <w:t>Cross River</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30,9</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Delta</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31,8</w:t>
            </w:r>
          </w:p>
        </w:tc>
      </w:tr>
      <w:tr w:rsidR="00000000">
        <w:tblPrEx>
          <w:tblCellMar>
            <w:top w:w="0" w:type="dxa"/>
            <w:bottom w:w="0" w:type="dxa"/>
          </w:tblCellMar>
        </w:tblPrEx>
        <w:tc>
          <w:tcPr>
            <w:tcW w:w="6219" w:type="dxa"/>
            <w:gridSpan w:val="2"/>
            <w:vAlign w:val="bottom"/>
          </w:tcPr>
          <w:p w:rsidR="00000000" w:rsidRDefault="00000000">
            <w:pPr>
              <w:pStyle w:val="BodyText"/>
              <w:tabs>
                <w:tab w:val="left" w:leader="dot" w:pos="5960"/>
              </w:tabs>
              <w:spacing w:before="40" w:after="40" w:line="210" w:lineRule="exact"/>
              <w:ind w:right="40"/>
              <w:jc w:val="both"/>
              <w:rPr>
                <w:spacing w:val="60"/>
                <w:sz w:val="17"/>
              </w:rPr>
            </w:pPr>
            <w:r>
              <w:rPr>
                <w:sz w:val="17"/>
              </w:rPr>
              <w:t>Edo</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12,6</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Enugu</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28,0</w:t>
            </w:r>
          </w:p>
        </w:tc>
      </w:tr>
      <w:tr w:rsidR="00000000">
        <w:tblPrEx>
          <w:tblCellMar>
            <w:top w:w="0" w:type="dxa"/>
            <w:bottom w:w="0" w:type="dxa"/>
          </w:tblCellMar>
        </w:tblPrEx>
        <w:tc>
          <w:tcPr>
            <w:tcW w:w="6219" w:type="dxa"/>
            <w:gridSpan w:val="2"/>
            <w:vAlign w:val="bottom"/>
          </w:tcPr>
          <w:p w:rsidR="00000000" w:rsidRDefault="00000000">
            <w:pPr>
              <w:pStyle w:val="BodyText"/>
              <w:tabs>
                <w:tab w:val="left" w:leader="dot" w:pos="5960"/>
              </w:tabs>
              <w:spacing w:before="40" w:after="40" w:line="210" w:lineRule="exact"/>
              <w:ind w:right="40"/>
              <w:jc w:val="both"/>
              <w:rPr>
                <w:spacing w:val="60"/>
                <w:sz w:val="17"/>
              </w:rPr>
            </w:pPr>
            <w:r>
              <w:rPr>
                <w:sz w:val="17"/>
              </w:rPr>
              <w:t>Imo</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44,4</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Jigawa</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Kaduna</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Kano</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Katsina</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Kebbi</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Kogi</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13,9</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Kwara</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Lagos</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Níger</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Ogun</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13,3</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Ondo</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15,5</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Osun</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14,2</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Oyo</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10,7</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Plateau</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Rivers</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35,3</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Sokoto</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Taraba</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7,1</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leader="dot" w:pos="5960"/>
              </w:tabs>
              <w:spacing w:before="40" w:after="40" w:line="210" w:lineRule="exact"/>
              <w:ind w:right="40"/>
              <w:jc w:val="both"/>
              <w:rPr>
                <w:spacing w:val="60"/>
                <w:sz w:val="17"/>
              </w:rPr>
            </w:pPr>
            <w:r>
              <w:rPr>
                <w:sz w:val="17"/>
              </w:rPr>
              <w:t>Yobe</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bottom w:w="0" w:type="dxa"/>
          </w:tblCellMar>
        </w:tblPrEx>
        <w:tc>
          <w:tcPr>
            <w:tcW w:w="6219" w:type="dxa"/>
            <w:gridSpan w:val="2"/>
            <w:vAlign w:val="bottom"/>
          </w:tcPr>
          <w:p w:rsidR="00000000" w:rsidRDefault="00000000">
            <w:pPr>
              <w:pStyle w:val="BodyText"/>
              <w:tabs>
                <w:tab w:val="left" w:pos="288"/>
                <w:tab w:val="left" w:pos="576"/>
                <w:tab w:val="left" w:pos="864"/>
                <w:tab w:val="left" w:pos="1152"/>
                <w:tab w:val="left" w:leader="dot" w:pos="5960"/>
              </w:tabs>
              <w:spacing w:before="40" w:after="40" w:line="210" w:lineRule="exact"/>
              <w:ind w:right="40"/>
              <w:jc w:val="left"/>
              <w:rPr>
                <w:spacing w:val="60"/>
                <w:sz w:val="17"/>
              </w:rPr>
            </w:pPr>
            <w:r>
              <w:rPr>
                <w:sz w:val="17"/>
              </w:rPr>
              <w:t>Territorio de la Capital F</w:t>
            </w:r>
            <w:r>
              <w:rPr>
                <w:sz w:val="17"/>
              </w:rPr>
              <w:t>e</w:t>
            </w:r>
            <w:r>
              <w:rPr>
                <w:sz w:val="17"/>
              </w:rPr>
              <w:t>deral</w:t>
            </w:r>
            <w:r>
              <w:rPr>
                <w:spacing w:val="60"/>
                <w:sz w:val="17"/>
              </w:rPr>
              <w:tab/>
            </w:r>
          </w:p>
        </w:tc>
        <w:tc>
          <w:tcPr>
            <w:tcW w:w="90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bottom w:w="0" w:type="dxa"/>
          </w:tblCellMar>
        </w:tblPrEx>
        <w:tc>
          <w:tcPr>
            <w:tcW w:w="6219" w:type="dxa"/>
            <w:gridSpan w:val="2"/>
            <w:tcBorders>
              <w:bottom w:val="single" w:sz="12" w:space="0" w:color="auto"/>
            </w:tcBorders>
            <w:vAlign w:val="bottom"/>
          </w:tcPr>
          <w:p w:rsidR="00000000" w:rsidRDefault="00000000">
            <w:pPr>
              <w:pStyle w:val="BodyText"/>
              <w:tabs>
                <w:tab w:val="left" w:pos="288"/>
                <w:tab w:val="left" w:pos="576"/>
                <w:tab w:val="left" w:leader="dot" w:pos="5960"/>
              </w:tabs>
              <w:spacing w:before="40" w:after="40" w:line="210" w:lineRule="exact"/>
              <w:ind w:right="40"/>
              <w:jc w:val="both"/>
              <w:rPr>
                <w:b/>
                <w:spacing w:val="60"/>
                <w:sz w:val="17"/>
              </w:rPr>
            </w:pPr>
            <w:r>
              <w:rPr>
                <w:b/>
                <w:sz w:val="17"/>
              </w:rPr>
              <w:t>Nigeria</w:t>
            </w:r>
            <w:r>
              <w:rPr>
                <w:b/>
                <w:spacing w:val="60"/>
                <w:sz w:val="17"/>
              </w:rPr>
              <w:tab/>
            </w:r>
          </w:p>
        </w:tc>
        <w:tc>
          <w:tcPr>
            <w:tcW w:w="90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b/>
                <w:sz w:val="17"/>
              </w:rPr>
            </w:pPr>
            <w:r>
              <w:rPr>
                <w:b/>
                <w:sz w:val="17"/>
              </w:rPr>
              <w:t>14,0</w:t>
            </w:r>
          </w:p>
        </w:tc>
      </w:tr>
    </w:tbl>
    <w:p w:rsidR="00000000" w:rsidRDefault="00000000">
      <w:pPr>
        <w:pStyle w:val="BodyText"/>
        <w:spacing w:line="120" w:lineRule="exact"/>
        <w:ind w:left="708"/>
        <w:jc w:val="both"/>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Federal de Estadística (NASC 1993/94).</w:t>
      </w:r>
    </w:p>
    <w:p w:rsidR="00000000" w:rsidRDefault="00000000">
      <w:pPr>
        <w:pStyle w:val="BodyText"/>
        <w:spacing w:line="120" w:lineRule="exact"/>
        <w:ind w:left="708"/>
        <w:jc w:val="both"/>
        <w:rPr>
          <w:b/>
          <w:sz w:val="10"/>
        </w:rPr>
      </w:pPr>
    </w:p>
    <w:p w:rsidR="00000000" w:rsidRDefault="00000000">
      <w:pPr>
        <w:pStyle w:val="BodyText"/>
        <w:spacing w:line="120" w:lineRule="exact"/>
        <w:ind w:left="708"/>
        <w:jc w:val="both"/>
        <w:rPr>
          <w:b/>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14.4</w:t>
      </w:r>
      <w:r>
        <w:tab/>
        <w:t>Mujeres propietarias de tierras agrícolas</w:t>
      </w:r>
    </w:p>
    <w:p w:rsidR="00000000" w:rsidRDefault="00000000">
      <w:pPr>
        <w:pStyle w:val="BodyText"/>
        <w:spacing w:line="120" w:lineRule="exact"/>
        <w:jc w:val="both"/>
        <w:rPr>
          <w:b/>
          <w:i/>
          <w:sz w:val="10"/>
        </w:rPr>
      </w:pPr>
    </w:p>
    <w:p w:rsidR="00000000" w:rsidRDefault="00000000">
      <w:pPr>
        <w:pStyle w:val="SingleTxt"/>
      </w:pPr>
      <w:r>
        <w:tab/>
        <w:t>La participación de las mujeres en la agricultura, según la Oficina Federal de Estadística, muestra que la tasa de participación laboral (la fuerza laboral como po</w:t>
      </w:r>
      <w:r>
        <w:t>r</w:t>
      </w:r>
      <w:r>
        <w:t>centaje de la población económicamente activa oscila entre los 15 y los 59 años de edad) asciende al 45 por ciento en el caso de las mujeres. Pese a sus importantes contribuciones en el sector agrícola, las mujeres siguen participando principalmente en arduas tareas manuales de labranza y elaboración de alimentos sobre las que se carece en gran medida de documentación y que están excluidas del sistema nacional de contabilidad. Carecen de títulos de propiedad de la tierra y tienen acceso limitado a insumos agrícolas tales como fertilizantes, plantones perfeccionados y servicios de extensión agraria. Según el Censo Agrícola Nacional por Muestreo de la Oficina F</w:t>
      </w:r>
      <w:r>
        <w:t>e</w:t>
      </w:r>
      <w:r>
        <w:t>deral de Estadística, sólo el 14 por ciento de las mujeres son propietarias agrícolas.</w:t>
      </w:r>
    </w:p>
    <w:p w:rsidR="00000000" w:rsidRDefault="00000000">
      <w:pPr>
        <w:pStyle w:val="BodyText"/>
        <w:spacing w:line="120" w:lineRule="exact"/>
        <w:jc w:val="both"/>
        <w:rPr>
          <w:sz w:val="10"/>
        </w:rPr>
      </w:pP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14.5</w:t>
      </w:r>
      <w:r>
        <w:tab/>
        <w:t>Las mujeres en las zonas rurales y el acceso a los métodos de planificación de la familia</w:t>
      </w:r>
    </w:p>
    <w:p w:rsidR="00000000" w:rsidRDefault="00000000">
      <w:pPr>
        <w:pStyle w:val="BodyText"/>
        <w:keepNext/>
        <w:keepLines/>
        <w:spacing w:line="120" w:lineRule="exact"/>
        <w:jc w:val="both"/>
        <w:rPr>
          <w:b/>
          <w:i/>
          <w:sz w:val="10"/>
        </w:rPr>
      </w:pPr>
    </w:p>
    <w:p w:rsidR="00000000" w:rsidRDefault="00000000">
      <w:pPr>
        <w:pStyle w:val="SingleTxt"/>
      </w:pPr>
      <w:r>
        <w:tab/>
        <w:t>También se observa que, pese a las reformas en materia de salud, abastec</w:t>
      </w:r>
      <w:r>
        <w:t>i</w:t>
      </w:r>
      <w:r>
        <w:t>miento de agua y transportes, sigue habiendo multitud de obstáculos que impiden a las mujeres de las zonas rurales acceder a los servicios de planificación de la familia y benef</w:t>
      </w:r>
      <w:r>
        <w:t>i</w:t>
      </w:r>
      <w:r>
        <w:t>ciarse plenamente de las detalladas políticas de salud. Son los siguientes:</w:t>
      </w:r>
    </w:p>
    <w:p w:rsidR="00000000" w:rsidRDefault="00000000">
      <w:pPr>
        <w:pStyle w:val="SingleTxt"/>
        <w:tabs>
          <w:tab w:val="right" w:pos="1685"/>
        </w:tabs>
        <w:ind w:left="1742" w:hanging="475"/>
      </w:pPr>
      <w:r>
        <w:tab/>
        <w:t>•</w:t>
      </w:r>
      <w:r>
        <w:tab/>
        <w:t>Los efectos del patriarcado a ese respecto, pues las mujeres necesitan permiso de sus maridos;</w:t>
      </w:r>
    </w:p>
    <w:p w:rsidR="00000000" w:rsidRDefault="00000000">
      <w:pPr>
        <w:pStyle w:val="SingleTxt"/>
        <w:tabs>
          <w:tab w:val="right" w:pos="1685"/>
        </w:tabs>
        <w:ind w:left="1742" w:hanging="475"/>
      </w:pPr>
      <w:r>
        <w:tab/>
        <w:t>•</w:t>
      </w:r>
      <w:r>
        <w:tab/>
        <w:t>Las creencias tradicionales y erróneas de que la adopción de medidas de plan</w:t>
      </w:r>
      <w:r>
        <w:t>i</w:t>
      </w:r>
      <w:r>
        <w:t>fic</w:t>
      </w:r>
      <w:r>
        <w:t>a</w:t>
      </w:r>
      <w:r>
        <w:t>ción de la familia da pie para la promiscuidad:</w:t>
      </w:r>
    </w:p>
    <w:p w:rsidR="00000000" w:rsidRDefault="00000000">
      <w:pPr>
        <w:pStyle w:val="SingleTxt"/>
        <w:tabs>
          <w:tab w:val="right" w:pos="1685"/>
        </w:tabs>
        <w:ind w:left="1742" w:hanging="475"/>
      </w:pPr>
      <w:r>
        <w:tab/>
        <w:t>•</w:t>
      </w:r>
      <w:r>
        <w:tab/>
        <w:t>Ausencia de suficientes centros de salud cercanos para los habitantes de zonas rur</w:t>
      </w:r>
      <w:r>
        <w:t>a</w:t>
      </w:r>
      <w:r>
        <w:t>les;</w:t>
      </w:r>
    </w:p>
    <w:p w:rsidR="00000000" w:rsidRDefault="00000000">
      <w:pPr>
        <w:pStyle w:val="SingleTxt"/>
        <w:tabs>
          <w:tab w:val="right" w:pos="1685"/>
        </w:tabs>
        <w:ind w:left="1742" w:hanging="475"/>
      </w:pPr>
      <w:r>
        <w:tab/>
        <w:t>•</w:t>
      </w:r>
      <w:r>
        <w:tab/>
        <w:t>Supersticiones e ideas falsas seculares sobre la planificación de la familia;</w:t>
      </w:r>
    </w:p>
    <w:p w:rsidR="00000000" w:rsidRDefault="00000000">
      <w:pPr>
        <w:pStyle w:val="SingleTxt"/>
        <w:tabs>
          <w:tab w:val="right" w:pos="1685"/>
        </w:tabs>
        <w:ind w:left="1742" w:hanging="475"/>
      </w:pPr>
      <w:r>
        <w:tab/>
        <w:t>•</w:t>
      </w:r>
      <w:r>
        <w:tab/>
        <w:t>Ingenuidad, ignorancia y analfabetismo;</w:t>
      </w:r>
    </w:p>
    <w:p w:rsidR="00000000" w:rsidRDefault="00000000">
      <w:pPr>
        <w:pStyle w:val="SingleTxt"/>
        <w:tabs>
          <w:tab w:val="right" w:pos="1685"/>
        </w:tabs>
        <w:ind w:left="1742" w:hanging="475"/>
      </w:pPr>
      <w:r>
        <w:tab/>
        <w:t>•</w:t>
      </w:r>
      <w:r>
        <w:tab/>
        <w:t>Nivel de pobreza de los habitantes de las zonas rurales;</w:t>
      </w:r>
    </w:p>
    <w:p w:rsidR="00000000" w:rsidRDefault="00000000">
      <w:pPr>
        <w:pStyle w:val="SingleTxt"/>
        <w:tabs>
          <w:tab w:val="right" w:pos="1685"/>
        </w:tabs>
        <w:ind w:left="1742" w:hanging="475"/>
      </w:pPr>
      <w:r>
        <w:tab/>
        <w:t>•</w:t>
      </w:r>
      <w:r>
        <w:tab/>
        <w:t>Insensibilidad de los hombres para con las necesidades de las mujeres;</w:t>
      </w:r>
    </w:p>
    <w:p w:rsidR="00000000" w:rsidRDefault="00000000">
      <w:pPr>
        <w:pStyle w:val="SingleTxt"/>
        <w:tabs>
          <w:tab w:val="right" w:pos="1685"/>
        </w:tabs>
        <w:ind w:left="1742" w:hanging="475"/>
      </w:pPr>
      <w:r>
        <w:tab/>
        <w:t>•</w:t>
      </w:r>
      <w:r>
        <w:tab/>
        <w:t>Ausencia de personal capacitado;</w:t>
      </w:r>
    </w:p>
    <w:p w:rsidR="00000000" w:rsidRDefault="00000000">
      <w:pPr>
        <w:pStyle w:val="SingleTxt"/>
        <w:tabs>
          <w:tab w:val="right" w:pos="1685"/>
        </w:tabs>
        <w:ind w:left="1742" w:hanging="475"/>
      </w:pPr>
      <w:r>
        <w:tab/>
        <w:t>•</w:t>
      </w:r>
      <w:r>
        <w:tab/>
        <w:t>Algunas creencias religiosas desaprueban los métodos de planificación de la familia, pero no la ret</w:t>
      </w:r>
      <w:r>
        <w:t>i</w:t>
      </w:r>
      <w:r>
        <w:t>rada voluntaria, entre otros;</w:t>
      </w:r>
    </w:p>
    <w:p w:rsidR="00000000" w:rsidRDefault="00000000">
      <w:pPr>
        <w:pStyle w:val="SingleTxt"/>
        <w:tabs>
          <w:tab w:val="right" w:pos="1685"/>
        </w:tabs>
        <w:ind w:left="1742" w:hanging="475"/>
      </w:pPr>
      <w:r>
        <w:tab/>
        <w:t>•</w:t>
      </w:r>
      <w:r>
        <w:tab/>
        <w:t>Control de la sexualidad en algunas zonas del país.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rPr>
      </w:pPr>
      <w:r>
        <w:tab/>
      </w:r>
      <w:r>
        <w:rPr>
          <w:b w:val="0"/>
        </w:rPr>
        <w:t>14.6</w:t>
      </w:r>
      <w:r>
        <w:rPr>
          <w:b w:val="0"/>
        </w:rPr>
        <w:tab/>
        <w:t>Otros obstáculos con los que topan las mujeres rurales</w:t>
      </w:r>
      <w:r>
        <w:rPr>
          <w:b w:val="0"/>
          <w:i/>
        </w:rPr>
        <w:t xml:space="preserve"> </w:t>
      </w:r>
      <w:r>
        <w:rPr>
          <w:b w:val="0"/>
        </w:rPr>
        <w:t>se deben a su carencia de voz y voto en el proceso reglamentario de adopción de decisiones. Las mujeres rurales están relegadas a los peldaños inferiores de la escala social y carecen de voz y voto en la vida política y pública.</w:t>
      </w:r>
    </w:p>
    <w:p w:rsidR="00000000" w:rsidRDefault="00000000">
      <w:pPr>
        <w:pStyle w:val="SingleTxt"/>
        <w:spacing w:after="0" w:line="120" w:lineRule="exact"/>
        <w:rPr>
          <w:sz w:val="10"/>
        </w:rPr>
      </w:pPr>
    </w:p>
    <w:p w:rsidR="00000000" w:rsidRDefault="00000000">
      <w:pPr>
        <w:pStyle w:val="SingleTxt"/>
      </w:pPr>
      <w:r>
        <w:tab/>
        <w:t>En vista de algunos efectos negativos de los matrimonios regulados por el d</w:t>
      </w:r>
      <w:r>
        <w:t>e</w:t>
      </w:r>
      <w:r>
        <w:t>recho consuetudinario, los gobiernos y destacadas ONG están intentando codificar el derecho consuetudinario para que resulte menos discriminatorio, en particular en lo relativo a los derechos de viudez, divorcio, herencia, custodia de hijos, manten</w:t>
      </w:r>
      <w:r>
        <w:t>i</w:t>
      </w:r>
      <w:r>
        <w:t>miento y liqu</w:t>
      </w:r>
      <w:r>
        <w:t>i</w:t>
      </w:r>
      <w:r>
        <w:t>dación de derechos de propiedad.</w:t>
      </w: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14.7</w:t>
      </w:r>
      <w:r>
        <w:tab/>
        <w:t>Diferencias de trato correspondientes a mujeres de condiciones diferentes</w:t>
      </w:r>
    </w:p>
    <w:p w:rsidR="00000000" w:rsidRDefault="00000000">
      <w:pPr>
        <w:pStyle w:val="BodyText"/>
        <w:spacing w:line="120" w:lineRule="exact"/>
        <w:ind w:left="708"/>
        <w:jc w:val="both"/>
        <w:rPr>
          <w:b/>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14.7.1</w:t>
      </w:r>
      <w:r>
        <w:tab/>
        <w:t>Casadas</w:t>
      </w:r>
    </w:p>
    <w:p w:rsidR="00000000" w:rsidRDefault="00000000">
      <w:pPr>
        <w:pStyle w:val="BodyText"/>
        <w:spacing w:line="120" w:lineRule="exact"/>
        <w:jc w:val="both"/>
        <w:rPr>
          <w:sz w:val="10"/>
        </w:rPr>
      </w:pPr>
    </w:p>
    <w:p w:rsidR="00000000" w:rsidRDefault="00000000">
      <w:pPr>
        <w:pStyle w:val="SingleTxt"/>
      </w:pPr>
      <w:r>
        <w:tab/>
        <w:t>La práctica del patriarcado afecta negativamente al valor culturalmente atr</w:t>
      </w:r>
      <w:r>
        <w:t>i</w:t>
      </w:r>
      <w:r>
        <w:t>buido a la condición de la mujer en Nigeria. En consecuencia, sólo las mujeres cas</w:t>
      </w:r>
      <w:r>
        <w:t>a</w:t>
      </w:r>
      <w:r>
        <w:t>das son objeto de relativo respeto. Socialmente, las mujeres casadas son más resp</w:t>
      </w:r>
      <w:r>
        <w:t>e</w:t>
      </w:r>
      <w:r>
        <w:t>tadas, porque cuentan con la protección de sus maridos. Pese a ello, las mujeres s</w:t>
      </w:r>
      <w:r>
        <w:t>i</w:t>
      </w:r>
      <w:r>
        <w:t>guen siendo, de conformidad con el derecho consuetudinario, esclavas de sus mar</w:t>
      </w:r>
      <w:r>
        <w:t>i</w:t>
      </w:r>
      <w:r>
        <w:t>dos y sus familias políticas.</w:t>
      </w:r>
    </w:p>
    <w:p w:rsidR="00000000" w:rsidRDefault="00000000">
      <w:pPr>
        <w:pStyle w:val="BodyText"/>
        <w:spacing w:line="120" w:lineRule="exact"/>
        <w:ind w:left="708"/>
        <w:jc w:val="both"/>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t>14.7.2</w:t>
      </w:r>
      <w:r>
        <w:tab/>
        <w:t>Viudas</w:t>
      </w:r>
    </w:p>
    <w:p w:rsidR="00000000" w:rsidRDefault="00000000">
      <w:pPr>
        <w:pStyle w:val="BodyText"/>
        <w:spacing w:line="120" w:lineRule="exact"/>
        <w:ind w:left="708"/>
        <w:jc w:val="both"/>
        <w:rPr>
          <w:b/>
          <w:sz w:val="10"/>
        </w:rPr>
      </w:pPr>
    </w:p>
    <w:p w:rsidR="00000000" w:rsidRDefault="00000000">
      <w:pPr>
        <w:pStyle w:val="SingleTxt"/>
      </w:pPr>
      <w:r>
        <w:tab/>
        <w:t>Las viudas de las zonas meridionales y orientales de Nigeria carecen de pr</w:t>
      </w:r>
      <w:r>
        <w:t>o</w:t>
      </w:r>
      <w:r>
        <w:t>tección y sufren violaciones graves de sus derechos, por lo que muchas de ellas r</w:t>
      </w:r>
      <w:r>
        <w:t>e</w:t>
      </w:r>
      <w:r>
        <w:t>sultan empobrecidas, deshumanizadas y desposeídas. De conformidad con el sistema legal de la Sharia, las viudas cuentan con más derechos. Se les permite un período obligatorio de luto de cuatro meses y 10 días dentro de su casa para determinar si están embarazadas de su difunto marido. Si, después del período obligatorio de luto, resultan no estarlo, tienen libertad para volver a casarse. Conforme a la legislación de la Sh</w:t>
      </w:r>
      <w:r>
        <w:t>a</w:t>
      </w:r>
      <w:r>
        <w:t>ria, las viudas heredan las propiedades de sus maridos, junto con sus hijos.</w:t>
      </w:r>
    </w:p>
    <w:p w:rsidR="00000000" w:rsidRDefault="00000000">
      <w:pPr>
        <w:pStyle w:val="BodyText"/>
        <w:spacing w:line="120" w:lineRule="exact"/>
        <w:ind w:left="708"/>
        <w:jc w:val="both"/>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14.7.3</w:t>
      </w:r>
      <w:r>
        <w:tab/>
        <w:t>Divorciadas o separadas</w:t>
      </w:r>
    </w:p>
    <w:p w:rsidR="00000000" w:rsidRDefault="00000000">
      <w:pPr>
        <w:pStyle w:val="BodyText"/>
        <w:spacing w:line="120" w:lineRule="exact"/>
        <w:ind w:left="708"/>
        <w:jc w:val="both"/>
        <w:rPr>
          <w:b/>
          <w:i/>
          <w:sz w:val="10"/>
        </w:rPr>
      </w:pPr>
    </w:p>
    <w:p w:rsidR="00000000" w:rsidRDefault="00000000">
      <w:pPr>
        <w:pStyle w:val="SingleTxt"/>
      </w:pPr>
      <w:r>
        <w:tab/>
        <w:t>En la mayoría de las comunidades del país, una mujer divorciada o separada es despreciada, sean cuales fueren las circunstancias del divorcio o la separación. Se la estigmatiza y pasa a ser socialmente vulnerable. Esa situación es más marcada en la parte oriental del país que en las demás. En la Nigeria septentrional, las mujeres d</w:t>
      </w:r>
      <w:r>
        <w:t>i</w:t>
      </w:r>
      <w:r>
        <w:t>vo</w:t>
      </w:r>
      <w:r>
        <w:t>r</w:t>
      </w:r>
      <w:r>
        <w:t>ciadas o separadas pueden casarse al cabo de tres meses y suelen hacerlo.</w:t>
      </w:r>
    </w:p>
    <w:p w:rsidR="00000000" w:rsidRDefault="00000000">
      <w:pPr>
        <w:pStyle w:val="BodyText"/>
        <w:spacing w:line="120" w:lineRule="exact"/>
        <w:ind w:left="708"/>
        <w:jc w:val="both"/>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14.7.4</w:t>
      </w:r>
      <w:r>
        <w:tab/>
        <w:t>Solteras</w:t>
      </w:r>
    </w:p>
    <w:p w:rsidR="00000000" w:rsidRDefault="00000000">
      <w:pPr>
        <w:pStyle w:val="BodyText"/>
        <w:spacing w:line="120" w:lineRule="exact"/>
        <w:ind w:left="708"/>
        <w:jc w:val="both"/>
        <w:rPr>
          <w:b/>
          <w:i/>
          <w:sz w:val="10"/>
        </w:rPr>
      </w:pPr>
    </w:p>
    <w:p w:rsidR="00000000" w:rsidRDefault="00000000">
      <w:pPr>
        <w:pStyle w:val="SingleTxt"/>
      </w:pPr>
      <w:r>
        <w:tab/>
        <w:t>Culturalmente y en la mayor parte de la nación, una mujer soltera se ve marg</w:t>
      </w:r>
      <w:r>
        <w:t>i</w:t>
      </w:r>
      <w:r>
        <w:t>nada y se encuentra en una situación vulnerable. Desgraciadamente, carece de i</w:t>
      </w:r>
      <w:r>
        <w:t>m</w:t>
      </w:r>
      <w:r>
        <w:t>portancia la causa de su soltería, mientras esté en edad casadera y no se haya casado o no haya podido hacerlo.</w:t>
      </w:r>
    </w:p>
    <w:p w:rsidR="00000000" w:rsidRDefault="00000000">
      <w:pPr>
        <w:pStyle w:val="BodyText"/>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15.0</w:t>
      </w:r>
      <w:r>
        <w:tab/>
        <w:t>Artículo 15: Igualdad ante la ley</w:t>
      </w:r>
    </w:p>
    <w:p w:rsidR="00000000" w:rsidRDefault="00000000">
      <w:pPr>
        <w:pStyle w:val="BodyText"/>
        <w:spacing w:line="120" w:lineRule="exact"/>
        <w:jc w:val="both"/>
        <w:rPr>
          <w:b/>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15.1</w:t>
      </w:r>
      <w:r>
        <w:tab/>
        <w:t>Asuntos civiles</w:t>
      </w:r>
    </w:p>
    <w:p w:rsidR="00000000" w:rsidRDefault="00000000">
      <w:pPr>
        <w:pStyle w:val="BodyText"/>
        <w:spacing w:line="120" w:lineRule="exact"/>
        <w:jc w:val="both"/>
        <w:rPr>
          <w:b/>
          <w:i/>
          <w:sz w:val="10"/>
        </w:rPr>
      </w:pPr>
    </w:p>
    <w:p w:rsidR="00000000" w:rsidRDefault="00000000">
      <w:pPr>
        <w:pStyle w:val="SingleTxt"/>
      </w:pPr>
      <w:r>
        <w:tab/>
        <w:t>El capítulo IV de la Constitución de la República Federal de Nigeria garantiza a todos, hombres y mujeres, los mismos derechos fundamentales. El artículo 42 ve</w:t>
      </w:r>
      <w:r>
        <w:t>r</w:t>
      </w:r>
      <w:r>
        <w:t>sa sobre el derecho a no sufrir discriminación por razón de sexo. De conformidad con el párrafo 1 del artículo 36, todos los ciudadanos tienen derecho a que tribunales imparciales y tribunales especiales determinen sus derechos y obligaciones civiles. El efecto de las anteriores disposiciones constitucionales es el de que los hombres y las mujeres tienen igualdad de acceso a los tribunales en relación con contratos, agravios y otros asuntos civiles.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rPr>
      </w:pPr>
      <w:r>
        <w:tab/>
      </w:r>
      <w:r>
        <w:rPr>
          <w:b w:val="0"/>
        </w:rPr>
        <w:t>15.2</w:t>
      </w:r>
      <w:r>
        <w:rPr>
          <w:b w:val="0"/>
        </w:rPr>
        <w:tab/>
        <w:t>Por la falta de información, la ignorancia de la ley y la baja condición atribuida a las mujeres, algunas personas e instituciones privadas suelen limitar la capacidad legal de las mujeres en materia de contratos. Sin embargo, los tribunales nigerianos suelen anularlos.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rPr>
          <w:b w:val="0"/>
        </w:rPr>
        <w:tab/>
        <w:t>15.3</w:t>
      </w:r>
      <w:r>
        <w:rPr>
          <w:b w:val="0"/>
        </w:rPr>
        <w:tab/>
        <w:t>Se está superando constantemente la persistente burocracia administrativa que había denegado ilegalmente a las mujeres el derecho a salir fiadoras de otras personas. Ahora los órganos encargados de hacer cumplir la ley conceden a las mujeres ese derecho en los casos en que satisfacen los requisitos estipulados.</w:t>
      </w: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15.4</w:t>
      </w:r>
      <w:r>
        <w:tab/>
        <w:t>Asuntos penales</w:t>
      </w:r>
    </w:p>
    <w:p w:rsidR="00000000" w:rsidRDefault="00000000">
      <w:pPr>
        <w:pStyle w:val="BodyText"/>
        <w:keepNext/>
        <w:keepLines/>
        <w:spacing w:line="120" w:lineRule="exact"/>
        <w:jc w:val="both"/>
        <w:rPr>
          <w:sz w:val="10"/>
        </w:rPr>
      </w:pPr>
    </w:p>
    <w:p w:rsidR="00000000" w:rsidRDefault="00000000">
      <w:pPr>
        <w:pStyle w:val="SingleTxt"/>
        <w:keepNext/>
        <w:keepLines/>
      </w:pPr>
      <w:r>
        <w:tab/>
        <w:t>Como ya hemos dicho, las mujeres son también iguales a los hombres ante la ley en materia de asuntos penales, pero ciertas disposiciones y procedimientos leg</w:t>
      </w:r>
      <w:r>
        <w:t>a</w:t>
      </w:r>
      <w:r>
        <w:t>les suelen socavar esa igualdad. Algunas de ellas son las s</w:t>
      </w:r>
      <w:r>
        <w:t>i</w:t>
      </w:r>
      <w:r>
        <w:t>guientes:</w:t>
      </w:r>
    </w:p>
    <w:p w:rsidR="00000000" w:rsidRDefault="00000000">
      <w:pPr>
        <w:pStyle w:val="SingleTxt"/>
        <w:tabs>
          <w:tab w:val="right" w:pos="1685"/>
        </w:tabs>
        <w:ind w:left="1742" w:hanging="475"/>
      </w:pPr>
      <w:r>
        <w:tab/>
        <w:t>•</w:t>
      </w:r>
      <w:r>
        <w:tab/>
        <w:t>Con arreglo a los artículos 353 y 360 de la Ley del Código Penal de la Nigeria meridional, los atentados contra el pudor de las mujeres son un delito menor (falta), mientras que aquellos de los que son objeto los hombres son delitos mayores.</w:t>
      </w:r>
    </w:p>
    <w:p w:rsidR="00000000" w:rsidRDefault="00000000">
      <w:pPr>
        <w:pStyle w:val="SingleTxt"/>
        <w:tabs>
          <w:tab w:val="right" w:pos="1685"/>
        </w:tabs>
        <w:ind w:left="1742" w:hanging="475"/>
      </w:pPr>
      <w:r>
        <w:tab/>
        <w:t>•</w:t>
      </w:r>
      <w:r>
        <w:tab/>
        <w:t>El capitulo 55 del Código Penal de la Nigeria septentrional permite el castigo de la esposa por el marido.</w:t>
      </w:r>
    </w:p>
    <w:p w:rsidR="00000000" w:rsidRDefault="00000000">
      <w:pPr>
        <w:pStyle w:val="SingleTxt"/>
        <w:tabs>
          <w:tab w:val="right" w:pos="1685"/>
        </w:tabs>
        <w:ind w:left="1742" w:hanging="475"/>
      </w:pPr>
      <w:r>
        <w:tab/>
        <w:t>•</w:t>
      </w:r>
      <w:r>
        <w:tab/>
        <w:t>La Ley de Pruebas Documentales de Nigeria requiere la corroboración en los casos de delitos sexuales. Es bien sabido que las víctimas de todos los delitos sexuales, excepto los abusos deshone</w:t>
      </w:r>
      <w:r>
        <w:t>s</w:t>
      </w:r>
      <w:r>
        <w:t>tos, son mujeres o niñas.</w:t>
      </w:r>
    </w:p>
    <w:p w:rsidR="00000000" w:rsidRDefault="00000000">
      <w:pPr>
        <w:pStyle w:val="SingleTxt"/>
        <w:tabs>
          <w:tab w:val="right" w:pos="1685"/>
        </w:tabs>
        <w:ind w:left="1742" w:hanging="475"/>
      </w:pPr>
      <w:r>
        <w:tab/>
        <w:t>•</w:t>
      </w:r>
      <w:r>
        <w:tab/>
        <w:t>Desde el punto de vista del procedimiento, el sistema de justicia penal no pr</w:t>
      </w:r>
      <w:r>
        <w:t>o</w:t>
      </w:r>
      <w:r>
        <w:t>tege a las mujeres víctimas de delitos sexuales. Ésa es la razón por la que son poco frecuentes las denuncias y los proc</w:t>
      </w:r>
      <w:r>
        <w:t>e</w:t>
      </w:r>
      <w:r>
        <w:t>samientos por delitos sexuales.</w:t>
      </w:r>
    </w:p>
    <w:p w:rsidR="00000000" w:rsidRDefault="00000000">
      <w:pPr>
        <w:pStyle w:val="BodyText"/>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16.0</w:t>
      </w:r>
      <w:r>
        <w:tab/>
        <w:t>Artículo 16: Igualdad en el matrimonio y la familia</w:t>
      </w:r>
    </w:p>
    <w:p w:rsidR="00000000" w:rsidRDefault="00000000">
      <w:pPr>
        <w:pStyle w:val="BodyText"/>
        <w:spacing w:line="120" w:lineRule="exact"/>
        <w:jc w:val="both"/>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jc w:val="both"/>
      </w:pPr>
      <w:r>
        <w:rPr>
          <w:i/>
        </w:rPr>
        <w:tab/>
      </w:r>
      <w:r>
        <w:rPr>
          <w:b w:val="0"/>
        </w:rPr>
        <w:t>16.1</w:t>
      </w:r>
      <w:r>
        <w:rPr>
          <w:b w:val="0"/>
          <w:i/>
        </w:rPr>
        <w:tab/>
      </w:r>
      <w:r>
        <w:rPr>
          <w:b w:val="0"/>
        </w:rPr>
        <w:t>Hay leyes civiles, religiosas y consuetudinarias que versan sobre las relaciones familiares en Nigeria.</w:t>
      </w:r>
      <w:r>
        <w:rPr>
          <w:b w:val="0"/>
          <w:i/>
        </w:rPr>
        <w:t xml:space="preserve"> </w:t>
      </w:r>
      <w:r>
        <w:rPr>
          <w:b w:val="0"/>
        </w:rPr>
        <w:t>El derecho civil consagrado en la Ley de Causas Matrimoniales (capítulo 220 de las Leyes de la Federación de Nigeria, 1990) y la Ley del Matrimonio (capítulo 218 de las Leyes de la Federación de Nigeria, 1990) permiten los matrimonios monógamos, por lo que las mujeres casadas conforme a esas leyes disfrutan de algunos derechos l</w:t>
      </w:r>
      <w:r>
        <w:rPr>
          <w:b w:val="0"/>
        </w:rPr>
        <w:t>e</w:t>
      </w:r>
      <w:r>
        <w:rPr>
          <w:b w:val="0"/>
        </w:rPr>
        <w:t>gales.</w:t>
      </w: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16.2</w:t>
      </w:r>
      <w:r>
        <w:tab/>
        <w:t>Beneficios</w:t>
      </w:r>
    </w:p>
    <w:p w:rsidR="00000000" w:rsidRDefault="00000000">
      <w:pPr>
        <w:pStyle w:val="BodyText"/>
        <w:spacing w:line="120" w:lineRule="exact"/>
        <w:ind w:left="360"/>
        <w:jc w:val="both"/>
        <w:rPr>
          <w:i/>
          <w:sz w:val="10"/>
        </w:rPr>
      </w:pPr>
    </w:p>
    <w:p w:rsidR="00000000" w:rsidRDefault="00000000">
      <w:pPr>
        <w:pStyle w:val="SingleTxt"/>
        <w:tabs>
          <w:tab w:val="right" w:pos="1685"/>
        </w:tabs>
        <w:ind w:left="1742" w:hanging="475"/>
      </w:pPr>
      <w:r>
        <w:tab/>
        <w:t>•</w:t>
      </w:r>
      <w:r>
        <w:tab/>
        <w:t>En caso de fallecimiento de su marido sin haber hecho testamento, cierto po</w:t>
      </w:r>
      <w:r>
        <w:t>r</w:t>
      </w:r>
      <w:r>
        <w:t>centaje (al menos la tercera parte de los bienes de su marido) corresponde a la esposa.</w:t>
      </w:r>
    </w:p>
    <w:p w:rsidR="00000000" w:rsidRDefault="00000000">
      <w:pPr>
        <w:pStyle w:val="SingleTxt"/>
        <w:tabs>
          <w:tab w:val="right" w:pos="1685"/>
        </w:tabs>
        <w:ind w:left="1742" w:hanging="475"/>
      </w:pPr>
      <w:r>
        <w:tab/>
        <w:t>•</w:t>
      </w:r>
      <w:r>
        <w:tab/>
        <w:t>Las leyes reconocen igualdad de derechos de las dos partes a la custodia de los hijos.</w:t>
      </w:r>
    </w:p>
    <w:p w:rsidR="00000000" w:rsidRDefault="00000000">
      <w:pPr>
        <w:pStyle w:val="SingleTxt"/>
        <w:tabs>
          <w:tab w:val="right" w:pos="1685"/>
        </w:tabs>
        <w:ind w:left="1742" w:hanging="475"/>
      </w:pPr>
      <w:r>
        <w:tab/>
        <w:t>•</w:t>
      </w:r>
      <w:r>
        <w:tab/>
        <w:t>No se puede considerar culpable de conspiración a ninguno de los cónyuges de un matrimonio m</w:t>
      </w:r>
      <w:r>
        <w:t>o</w:t>
      </w:r>
      <w:r>
        <w:t>nógamo, salvo si existe un tercer conspirador.</w:t>
      </w:r>
    </w:p>
    <w:p w:rsidR="00000000" w:rsidRDefault="00000000">
      <w:pPr>
        <w:pStyle w:val="SingleTxt"/>
        <w:tabs>
          <w:tab w:val="right" w:pos="1685"/>
        </w:tabs>
        <w:ind w:left="1742" w:hanging="475"/>
      </w:pPr>
      <w:r>
        <w:tab/>
        <w:t>•</w:t>
      </w:r>
      <w:r>
        <w:tab/>
        <w:t>Conforme a lo dispuesto en los artículos de la Ley de Pruebas Documentales relativos a la competencia y a la obligación de declarar y viceversa, no se pu</w:t>
      </w:r>
      <w:r>
        <w:t>e</w:t>
      </w:r>
      <w:r>
        <w:t>de obligar a una esposa a declarar ante un tribunal contra su marido.</w:t>
      </w:r>
    </w:p>
    <w:p w:rsidR="00000000" w:rsidRDefault="00000000">
      <w:pPr>
        <w:pStyle w:val="SingleTxt"/>
        <w:tabs>
          <w:tab w:val="right" w:pos="1685"/>
        </w:tabs>
        <w:ind w:left="1742" w:hanging="475"/>
      </w:pPr>
      <w:r>
        <w:tab/>
        <w:t>•</w:t>
      </w:r>
      <w:r>
        <w:tab/>
        <w:t>Incluso después del divorcio, los cónyuges siguen gozando de inmunidad por no r</w:t>
      </w:r>
      <w:r>
        <w:t>e</w:t>
      </w:r>
      <w:r>
        <w:t>velar datos.</w:t>
      </w:r>
    </w:p>
    <w:p w:rsidR="00000000" w:rsidRDefault="00000000">
      <w:pPr>
        <w:pStyle w:val="SingleTxt"/>
        <w:tabs>
          <w:tab w:val="right" w:pos="1685"/>
        </w:tabs>
        <w:ind w:left="1742" w:hanging="475"/>
      </w:pPr>
      <w:r>
        <w:tab/>
        <w:t>•</w:t>
      </w:r>
      <w:r>
        <w:tab/>
        <w:t>La esposa puede demandar a su marido en relación con sus bienes personales, anteriores o posteri</w:t>
      </w:r>
      <w:r>
        <w:t>o</w:t>
      </w:r>
      <w:r>
        <w:t>res al matrimonio.</w:t>
      </w:r>
    </w:p>
    <w:p w:rsidR="00000000" w:rsidRDefault="00000000">
      <w:pPr>
        <w:pStyle w:val="BodyText"/>
        <w:spacing w:line="120" w:lineRule="exact"/>
        <w:jc w:val="both"/>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jc w:val="both"/>
        <w:rPr>
          <w:b w:val="0"/>
        </w:rPr>
      </w:pPr>
      <w:r>
        <w:tab/>
      </w:r>
      <w:r>
        <w:rPr>
          <w:b w:val="0"/>
        </w:rPr>
        <w:t>16.3</w:t>
      </w:r>
      <w:r>
        <w:rPr>
          <w:b w:val="0"/>
        </w:rPr>
        <w:tab/>
        <w:t>En el caso de matrimonios regidos por el derecho consuetudinario, con frecuencia se considera a la propia esposa propiedad del marido y en general no se espera que disfrute de igualdad alguna y en forma alguna al respecto. No puede disfrutar de los beneficios que corresponden a una mujer casada conforme al derecho civil. A la muerte de su marido, lo más probable es que quede desposeída. No ocurre así en el caso del marido, que a la muerte de su esposa hereda todas sus propiedades. Los matrimonios regidos por el derecho consuetudinario o el derecho islámico son potencialmente políginos. Las disposiciones sobre la herencia en el derecho islámico conceden cierta protección a los derechos de herencia de la esposa. En la Nigeria oriental las viudas siguen padeciendo una gran discriminación, en particular en materia de legislación relativa a la herencia. La reciente labor de promoción al respecto por parte de ONG, con la ayuda de organizaciones internacionales, ha propiciado la adopción de medidas por el poder judicial para proteger a las viudas a fin de que no queden desheredadas.</w:t>
      </w: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16.4</w:t>
      </w:r>
      <w:r>
        <w:tab/>
        <w:t>Derecho legal de las mujeres a adquirir, administrar y poseer bienes</w:t>
      </w:r>
    </w:p>
    <w:p w:rsidR="00000000" w:rsidRDefault="00000000">
      <w:pPr>
        <w:pStyle w:val="BodyText"/>
        <w:spacing w:line="120" w:lineRule="exact"/>
        <w:jc w:val="both"/>
        <w:rPr>
          <w:b/>
          <w:i/>
          <w:sz w:val="10"/>
        </w:rPr>
      </w:pPr>
    </w:p>
    <w:p w:rsidR="00000000" w:rsidRDefault="00000000">
      <w:pPr>
        <w:pStyle w:val="SingleTxt"/>
      </w:pPr>
      <w:r>
        <w:tab/>
        <w:t>El artículo 43 de la Constitución de Nigeria garantiza a todos los ciudadanos el d</w:t>
      </w:r>
      <w:r>
        <w:t>e</w:t>
      </w:r>
      <w:r>
        <w:t>recho a adquirir y poseer bienes inmuebles en cualquier parte de Nigeria.</w:t>
      </w:r>
    </w:p>
    <w:p w:rsidR="00000000" w:rsidRDefault="00000000">
      <w:pPr>
        <w:pStyle w:val="SingleTxt"/>
        <w:ind w:left="1742"/>
      </w:pPr>
      <w:r>
        <w:t>La mujer casada, de conformidad con la Ley del Matrimonio, disfruta también del derecho en pie de igualdad a los activos familiares adquiridos durante la existencia de un matrimonio y a participar en su venta durante el matrimonio o a la muerte de su marido. La educación y la urbanización están infundiendo confianza a muchas mujeres para adquirir, administrar y poseer bienes sin ve</w:t>
      </w:r>
      <w:r>
        <w:t>r</w:t>
      </w:r>
      <w:r>
        <w:t>se discriminadas.</w:t>
      </w: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16.5</w:t>
      </w:r>
      <w:r>
        <w:tab/>
        <w:t>Edad mínima para contraer matrimonio</w:t>
      </w:r>
    </w:p>
    <w:p w:rsidR="00000000" w:rsidRDefault="00000000">
      <w:pPr>
        <w:pStyle w:val="BodyText"/>
        <w:spacing w:line="120" w:lineRule="exact"/>
        <w:ind w:left="360"/>
        <w:jc w:val="both"/>
        <w:rPr>
          <w:b/>
          <w:i/>
          <w:sz w:val="10"/>
        </w:rPr>
      </w:pPr>
    </w:p>
    <w:p w:rsidR="00000000" w:rsidRDefault="00000000">
      <w:pPr>
        <w:pStyle w:val="SingleTxt"/>
      </w:pPr>
      <w:r>
        <w:tab/>
        <w:t>En la Nigeria meridional, la edad mínima predominante para contraer matr</w:t>
      </w:r>
      <w:r>
        <w:t>i</w:t>
      </w:r>
      <w:r>
        <w:t>monio oscila entre los 18 y los 21 años, mientras que en la septentrional oscila entre los 12 y los 15 años. Además, en la parte septentrional del país, las niñas de edad tan temprana como nueve años son entregadas en matrimonio, en función de la edad en que lleguen a la pubertad. La edad de los hombres es tan temprana también como 15 años. Se ha presentado un proyecto de ley en el plano nacional encaminado a arm</w:t>
      </w:r>
      <w:r>
        <w:t>o</w:t>
      </w:r>
      <w:r>
        <w:t>nizar la edad mínima para poder contraer matrimonio en el caso de las mujeres en los 18 años, pero en el caso de los hombres no se ha fijado ninguna.</w:t>
      </w:r>
    </w:p>
    <w:p w:rsidR="00000000" w:rsidRDefault="00000000">
      <w:pPr>
        <w:pStyle w:val="BodyText"/>
        <w:spacing w:line="120" w:lineRule="exact"/>
        <w:jc w:val="both"/>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16.6</w:t>
      </w:r>
      <w:r>
        <w:tab/>
        <w:t>Hogares encabezados por mujeres</w:t>
      </w:r>
    </w:p>
    <w:p w:rsidR="00000000" w:rsidRDefault="00000000">
      <w:pPr>
        <w:pStyle w:val="BodyText"/>
        <w:spacing w:line="120" w:lineRule="exact"/>
        <w:ind w:left="360"/>
        <w:jc w:val="both"/>
        <w:rPr>
          <w:b/>
          <w:i/>
          <w:sz w:val="10"/>
        </w:rPr>
      </w:pPr>
    </w:p>
    <w:p w:rsidR="00000000" w:rsidRDefault="00000000">
      <w:pPr>
        <w:pStyle w:val="SingleTxt"/>
      </w:pPr>
      <w:r>
        <w:tab/>
        <w:t>Con la situación socioeconómica de los últimos decenios ha aumentado el n</w:t>
      </w:r>
      <w:r>
        <w:t>i</w:t>
      </w:r>
      <w:r>
        <w:t>vel de pobreza, en particular de las mujeres. La migración rural-urbana y urbana-urbana ha propiciado un aumento de los hogares encabezados por mujeres en los dos sectores. Los hogares encabezados por mujeres en el sector no estructurado repr</w:t>
      </w:r>
      <w:r>
        <w:t>e</w:t>
      </w:r>
      <w:r>
        <w:t>sentan el 13,2 por ciento en comparación con los encabezados por hombres, mie</w:t>
      </w:r>
      <w:r>
        <w:t>n</w:t>
      </w:r>
      <w:r>
        <w:t>tras que los datos de la encuesta por muestreo indican que el 16,1 por ciento se e</w:t>
      </w:r>
      <w:r>
        <w:t>n</w:t>
      </w:r>
      <w:r>
        <w:t>cuentran en zonas urbanas frente al 12,2 por ciento que se encuentran en zonas r</w:t>
      </w:r>
      <w:r>
        <w:t>u</w:t>
      </w:r>
      <w:r>
        <w:t>rales. Esos i</w:t>
      </w:r>
      <w:r>
        <w:t>n</w:t>
      </w:r>
      <w:r>
        <w:t>dicadores exigen una intervención en todos los niveles.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Sección C:</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000000" w:rsidRDefault="00000000">
      <w:pPr>
        <w:pStyle w:val="BodyText"/>
        <w:spacing w:line="120" w:lineRule="exact"/>
        <w:ind w:left="1410"/>
        <w:jc w:val="both"/>
        <w:rPr>
          <w:b/>
          <w:sz w:val="10"/>
        </w:rPr>
      </w:pPr>
    </w:p>
    <w:p w:rsidR="00000000" w:rsidRDefault="00000000">
      <w:pPr>
        <w:pStyle w:val="BodyText"/>
        <w:spacing w:line="120" w:lineRule="exact"/>
        <w:ind w:left="1410"/>
        <w:jc w:val="both"/>
        <w:rPr>
          <w:b/>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s>
      </w:pPr>
      <w:r>
        <w:tab/>
        <w:t>1.0</w:t>
      </w:r>
      <w:r>
        <w:tab/>
        <w:t>Introducción de la Convención en el derecho interno</w:t>
      </w:r>
    </w:p>
    <w:p w:rsidR="00000000" w:rsidRDefault="00000000">
      <w:pPr>
        <w:pStyle w:val="BodyText"/>
        <w:spacing w:line="120" w:lineRule="exact"/>
        <w:ind w:left="1410"/>
        <w:jc w:val="both"/>
        <w:rPr>
          <w:b/>
          <w:sz w:val="10"/>
        </w:rPr>
      </w:pPr>
    </w:p>
    <w:p w:rsidR="00000000" w:rsidRDefault="00000000">
      <w:pPr>
        <w:pStyle w:val="SingleTxt"/>
      </w:pPr>
      <w:r>
        <w:tab/>
        <w:t>El proceso de introducción de la Convención en el derecho interno conforme a la Constitución de Nigeria requiere la aprobación del poder legislativo, que está c</w:t>
      </w:r>
      <w:r>
        <w:t>e</w:t>
      </w:r>
      <w:r>
        <w:t>lebrando un debate al respecto. Sin embargo, el marco favorable al adelanto de la mujer creado por la democratización del país en los tres últimos años ha contribuido inmensamente a la participación de las mujeres en los tres poderes de la Federación. Actualmente hay un proyecto de ley sobre su aplicación en la Asamblea Nacional con miras a su promulgación.</w:t>
      </w:r>
    </w:p>
    <w:p w:rsidR="00000000" w:rsidRDefault="00000000">
      <w:pPr>
        <w:pStyle w:val="BodyText"/>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2.0</w:t>
      </w:r>
      <w:r>
        <w:tab/>
        <w:t>Obligación de eliminar la discriminación</w:t>
      </w:r>
    </w:p>
    <w:p w:rsidR="00000000" w:rsidRDefault="00000000">
      <w:pPr>
        <w:pStyle w:val="BodyText"/>
        <w:spacing w:line="120" w:lineRule="exact"/>
        <w:jc w:val="both"/>
        <w:rPr>
          <w:b/>
          <w:sz w:val="10"/>
        </w:rPr>
      </w:pPr>
    </w:p>
    <w:p w:rsidR="00000000" w:rsidRDefault="00000000">
      <w:pPr>
        <w:pStyle w:val="SingleTxt"/>
      </w:pPr>
      <w:r>
        <w:tab/>
        <w:t>Aunque subsisten las prácticas culturales, se han adoptado numerosas medidas para reducir la discriminación contra la mujer. A partir de las resultados de la e</w:t>
      </w:r>
      <w:r>
        <w:t>n</w:t>
      </w:r>
      <w:r>
        <w:t>cuesta nacional, se están organizando campañas dinámicas y sostenidas para lograr los resultados deseados. El Gobierno ha accedido a adoptar medidas positivas para fomentar la igualdad de género y el adelanto de la mujer. Se están formulando e</w:t>
      </w:r>
      <w:r>
        <w:t>s</w:t>
      </w:r>
      <w:r>
        <w:t>trategias de sensibilización y concienciación con miras a lograr una mejor compre</w:t>
      </w:r>
      <w:r>
        <w:t>n</w:t>
      </w:r>
      <w:r>
        <w:t>sión y aceptación de ese concepto. El Gobierno y otros interesados directos están procurando que se tengan en cuenta debidamente las necesidades e intereses part</w:t>
      </w:r>
      <w:r>
        <w:t>i</w:t>
      </w:r>
      <w:r>
        <w:t>culares de las mujeres en la revisión de la Constitución de 1999.</w:t>
      </w:r>
    </w:p>
    <w:p w:rsidR="00000000" w:rsidRDefault="00000000">
      <w:pPr>
        <w:pStyle w:val="SingleTxt"/>
      </w:pPr>
      <w:r>
        <w:tab/>
        <w:t>Los indicadores que figuran en el informe revelan que las mujeres han regi</w:t>
      </w:r>
      <w:r>
        <w:t>s</w:t>
      </w:r>
      <w:r>
        <w:t>trado ciertos avances en su participación y representación en la vida política y públ</w:t>
      </w:r>
      <w:r>
        <w:t>i</w:t>
      </w:r>
      <w:r>
        <w:t>ca. La persistente demanda de un 30 por ciento de medidas positivas por parte de los mecanismos encaminados a la consecución de la igualdad de género, las ONG y los grupos y coaliciones de mujeres están logrando las repercusiones deseadas. Las campañas sostenidas en los medios de comunicación y otras formas de defensa de los intereses de las mujeres contribuirán en gran medida a lograr la meta del 30 por ciento.</w:t>
      </w:r>
    </w:p>
    <w:p w:rsidR="00000000" w:rsidRDefault="00000000">
      <w:pPr>
        <w:pStyle w:val="BodyText"/>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3.0</w:t>
      </w:r>
      <w:r>
        <w:tab/>
        <w:t>Situación de la mujer en la educación, la salud y la vida económica y social</w:t>
      </w:r>
    </w:p>
    <w:p w:rsidR="00000000" w:rsidRDefault="00000000">
      <w:pPr>
        <w:pStyle w:val="BodyText"/>
        <w:spacing w:line="120" w:lineRule="exact"/>
        <w:jc w:val="both"/>
        <w:rPr>
          <w:b/>
          <w:sz w:val="10"/>
        </w:rPr>
      </w:pPr>
    </w:p>
    <w:p w:rsidR="00000000" w:rsidRDefault="00000000">
      <w:pPr>
        <w:pStyle w:val="SingleTxt"/>
      </w:pPr>
      <w:r>
        <w:tab/>
        <w:t>Las estadísticas revelan la persistencia de niveles bajos de alfabetización de las mujeres tanto en las zonas rurales como en las urbanas, pese a las medidas adopt</w:t>
      </w:r>
      <w:r>
        <w:t>a</w:t>
      </w:r>
      <w:r>
        <w:t>das al respecto por los gobiernos federal y de los estados. Se puede atribuir a sist</w:t>
      </w:r>
      <w:r>
        <w:t>e</w:t>
      </w:r>
      <w:r>
        <w:t>mas culturales y de creencias religiosas que atribuyen menor valor a la educación fem</w:t>
      </w:r>
      <w:r>
        <w:t>e</w:t>
      </w:r>
      <w:r>
        <w:t>nina.</w:t>
      </w:r>
    </w:p>
    <w:p w:rsidR="00000000" w:rsidRDefault="00000000">
      <w:pPr>
        <w:pStyle w:val="SingleTxt"/>
      </w:pPr>
      <w:r>
        <w:tab/>
        <w:t>Otros factores limitadores obedecen a insuficiencias en materia de finanzas, gestión, planificación, estadísticas, supervisión y evaluación en el sector educativo. No se dispone de datos sobre el nivel de analfabetismo entre las mujeres rurales. Aunque no se han modernizado los programas de estudios para informar a las muj</w:t>
      </w:r>
      <w:r>
        <w:t>e</w:t>
      </w:r>
      <w:r>
        <w:t>res sobre sus derechos, el Gobierno y las ONG han formulado material didáctico e</w:t>
      </w:r>
      <w:r>
        <w:t>n</w:t>
      </w:r>
      <w:r>
        <w:t>caminado a ilustrar a los grupos de mujeres y a las estudiantes sobre sus derechos. Sin embargo, se abrigan esperanzas de poder luchar contra las tendencias negativas con la aplicación plena de la política educativa del Gobierno, encaminada a fome</w:t>
      </w:r>
      <w:r>
        <w:t>n</w:t>
      </w:r>
      <w:r>
        <w:t>tar la educación femenina mediante la ejecución del programa de educación básica unive</w:t>
      </w:r>
      <w:r>
        <w:t>r</w:t>
      </w:r>
      <w:r>
        <w:t>sal.</w:t>
      </w:r>
    </w:p>
    <w:p w:rsidR="00000000" w:rsidRDefault="00000000">
      <w:pPr>
        <w:pStyle w:val="SingleTxt"/>
      </w:pPr>
      <w:r>
        <w:tab/>
        <w:t>Pese a las prácticas discriminatorias contra las mujeres en el empleo, se están ejecutando varios programas que tienen repercusiones positivas en el empleo fem</w:t>
      </w:r>
      <w:r>
        <w:t>e</w:t>
      </w:r>
      <w:r>
        <w:t>nino. Gracias a ello, ha habido un ligero aumento del número de mujeres que cue</w:t>
      </w:r>
      <w:r>
        <w:t>n</w:t>
      </w:r>
      <w:r>
        <w:t>tan con empleos remunerativos.</w:t>
      </w:r>
    </w:p>
    <w:p w:rsidR="00000000" w:rsidRDefault="00000000">
      <w:pPr>
        <w:pStyle w:val="SingleTxt"/>
      </w:pPr>
      <w:r>
        <w:tab/>
        <w:t>El Gobierno, teniendo presentes los negativos datos resultantes de los indic</w:t>
      </w:r>
      <w:r>
        <w:t>a</w:t>
      </w:r>
      <w:r>
        <w:t>dores de salud correspondientes a las mujeres, está tomando la delantera con la adopción de medidas encaminadas a reducir las tasas de mortalidad y morbilidad maternas, neonatales e infantiles mediante iniciativas relativas a unos servicios de salud favorables para las mujeres y los niños, acompañados de servicios eficientes de planificación de la familia y una mayor concienciación en materia de educación sobre la salud y el VIH/SIDA para proteger a las mujeres de ese flagelo y mejorar su salud r</w:t>
      </w:r>
      <w:r>
        <w:t>e</w:t>
      </w:r>
      <w:r>
        <w:t>productiva y sus derechos.</w:t>
      </w:r>
    </w:p>
    <w:p w:rsidR="00000000" w:rsidRDefault="00000000">
      <w:pPr>
        <w:pStyle w:val="SingleTxt"/>
      </w:pPr>
      <w:r>
        <w:tab/>
        <w:t>Durante el período al que se refiere este informe, se han adoptado medidas p</w:t>
      </w:r>
      <w:r>
        <w:t>a</w:t>
      </w:r>
      <w:r>
        <w:t>ra velar por la eliminación de la discriminación contra la mujer en la vida social y económica. Aun así, varios obstáculos siguen impidiendo el disfrute pleno por parte de las mujeres de sus derechos socioeconómicos. Para mejorar el acceso de las m</w:t>
      </w:r>
      <w:r>
        <w:t>u</w:t>
      </w:r>
      <w:r>
        <w:t>jeres a dichos derechos, se debe permitir el recurso a la justicia a fin de lograr el cumplimiento de las disposiciones con</w:t>
      </w:r>
      <w:r>
        <w:t>s</w:t>
      </w:r>
      <w:r>
        <w:t>titucionales pertinentes.</w:t>
      </w:r>
    </w:p>
    <w:p w:rsidR="00000000" w:rsidRDefault="00000000">
      <w:pPr>
        <w:pStyle w:val="BodyText"/>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4.0</w:t>
      </w:r>
      <w:r>
        <w:tab/>
        <w:t>Otros obstáculos a la igualdad de la mujer</w:t>
      </w:r>
    </w:p>
    <w:p w:rsidR="00000000" w:rsidRDefault="00000000">
      <w:pPr>
        <w:pStyle w:val="BodyText"/>
        <w:spacing w:line="120" w:lineRule="exact"/>
        <w:jc w:val="both"/>
        <w:rPr>
          <w:b/>
          <w:sz w:val="10"/>
        </w:rPr>
      </w:pPr>
    </w:p>
    <w:p w:rsidR="00000000" w:rsidRDefault="00000000">
      <w:pPr>
        <w:pStyle w:val="SingleTxt"/>
      </w:pPr>
      <w:r>
        <w:tab/>
        <w:t>Las estadísticas de que se dispone confirman que la incidencia de la explot</w:t>
      </w:r>
      <w:r>
        <w:t>a</w:t>
      </w:r>
      <w:r>
        <w:t>ción sexual con carácter comercial y la trata de mujeres ha cobrado dimensiones alarmantes en Nigeria. Para poner coto a esa tendencia y remediar esa situación, el Gobierno y la sociedad civil están combinando sus intervenciones encaminadas a documentar esa tendencia, oponer la legislación oportuna, sensibilizar al público y brindar reh</w:t>
      </w:r>
      <w:r>
        <w:t>a</w:t>
      </w:r>
      <w:r>
        <w:t>bilitación.</w:t>
      </w:r>
    </w:p>
    <w:p w:rsidR="00000000" w:rsidRDefault="00000000">
      <w:pPr>
        <w:pStyle w:val="SingleTxt"/>
      </w:pPr>
      <w:r>
        <w:tab/>
        <w:t>Si bien el artículo 14 establece la necesidad de que las mujeres rurales alca</w:t>
      </w:r>
      <w:r>
        <w:t>n</w:t>
      </w:r>
      <w:r>
        <w:t>cen la igualdad y la equidad en el desarrollo y el mantenimiento de los recursos r</w:t>
      </w:r>
      <w:r>
        <w:t>u</w:t>
      </w:r>
      <w:r>
        <w:t>rales, en el informe se ponen de relieve muchos problemas que les impiden alcanzar esas metas. En vista de esa situación, el Gobierno está adoptando medidas y ejec</w:t>
      </w:r>
      <w:r>
        <w:t>u</w:t>
      </w:r>
      <w:r>
        <w:t>tando progr</w:t>
      </w:r>
      <w:r>
        <w:t>a</w:t>
      </w:r>
      <w:r>
        <w:t>mas en los planos federal, estatal y local para abordar esas cuestiones.</w:t>
      </w:r>
    </w:p>
    <w:p w:rsidR="00000000" w:rsidRDefault="00000000">
      <w:pPr>
        <w:pStyle w:val="SingleTxt"/>
      </w:pPr>
      <w:r>
        <w:tab/>
        <w:t>El artículo 42 de la Constitución de 1999 garantiza la ausencia de discrimin</w:t>
      </w:r>
      <w:r>
        <w:t>a</w:t>
      </w:r>
      <w:r>
        <w:t>ción por razón de sexo y la necesidad de velar por que los hombres y las mujeres tengan igualdad de acceso a los tribunales en materia de contratos, agravios y asu</w:t>
      </w:r>
      <w:r>
        <w:t>n</w:t>
      </w:r>
      <w:r>
        <w:t>tos civiles; sin embargo, dado el desconocimiento de la ley y la condición inferior atribuida a la mujer, en la práctica la capacidad jurídica de las mujeres en materia de contratos suele ser limitada.</w:t>
      </w:r>
    </w:p>
    <w:p w:rsidR="00000000" w:rsidRDefault="00000000">
      <w:pPr>
        <w:pStyle w:val="BodyText"/>
        <w:spacing w:line="120" w:lineRule="exact"/>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5.0</w:t>
      </w:r>
      <w:r>
        <w:tab/>
        <w:t>La vía por la que avanzar</w:t>
      </w:r>
    </w:p>
    <w:p w:rsidR="00000000" w:rsidRDefault="00000000">
      <w:pPr>
        <w:pStyle w:val="BodyText"/>
        <w:spacing w:line="120" w:lineRule="exact"/>
        <w:jc w:val="both"/>
        <w:rPr>
          <w:b/>
          <w:sz w:val="10"/>
        </w:rPr>
      </w:pPr>
    </w:p>
    <w:p w:rsidR="00000000" w:rsidRDefault="00000000">
      <w:pPr>
        <w:pStyle w:val="SingleTxt"/>
      </w:pPr>
      <w:r>
        <w:tab/>
        <w:t>Durante el período al que se refiere este informe, el Gobierno ha adoptado m</w:t>
      </w:r>
      <w:r>
        <w:t>e</w:t>
      </w:r>
      <w:r>
        <w:t>didas notables que mejorarán el nivel de vida de las mujeres. La nueva cooperación entre el Gobierno y las organizaciones de la sociedad civil, gracias a la actual adm</w:t>
      </w:r>
      <w:r>
        <w:t>i</w:t>
      </w:r>
      <w:r>
        <w:t>nistración democrática, ha creado las condiciones favorables para luchar contra los obstáculos a la eliminación de todas las formas de discriminación contra la mujer en el país.</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Apéndice I</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Ministerio federal de asuntos de la mujer y desarrollo </w:t>
      </w:r>
      <w:r>
        <w:br/>
        <w:t>de la juventud</w:t>
      </w:r>
    </w:p>
    <w:p w:rsidR="00000000" w:rsidRDefault="00000000">
      <w:pPr>
        <w:pStyle w:val="BodyText"/>
        <w:spacing w:line="120" w:lineRule="exact"/>
        <w:ind w:left="705"/>
        <w:rPr>
          <w:b/>
          <w:sz w:val="10"/>
        </w:rPr>
      </w:pPr>
    </w:p>
    <w:p w:rsidR="00000000" w:rsidRDefault="00000000">
      <w:pPr>
        <w:pStyle w:val="BodyText"/>
        <w:spacing w:line="120" w:lineRule="exact"/>
        <w:ind w:left="705"/>
        <w:rPr>
          <w:b/>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Solicitud de aportaciones</w:t>
      </w:r>
    </w:p>
    <w:p w:rsidR="00000000" w:rsidRDefault="00000000">
      <w:pPr>
        <w:pStyle w:val="BodyText"/>
        <w:spacing w:line="120" w:lineRule="exact"/>
        <w:ind w:left="705"/>
        <w:rPr>
          <w:b/>
          <w:sz w:val="10"/>
        </w:rPr>
      </w:pPr>
    </w:p>
    <w:p w:rsidR="00000000" w:rsidRDefault="00000000">
      <w:pPr>
        <w:pStyle w:val="BodyText"/>
        <w:spacing w:line="120" w:lineRule="exact"/>
        <w:ind w:left="705"/>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tab/>
      </w:r>
      <w:r>
        <w:tab/>
        <w:t>Informes cuarto y quinto del país relativos a la Convención sobre la eliminación de todas las formas de discriminación contra la mujer</w:t>
      </w:r>
    </w:p>
    <w:p w:rsidR="00000000" w:rsidRDefault="00000000">
      <w:pPr>
        <w:pStyle w:val="BodyText"/>
        <w:spacing w:line="120" w:lineRule="exact"/>
        <w:ind w:left="360"/>
        <w:jc w:val="both"/>
        <w:rPr>
          <w:b/>
          <w:sz w:val="10"/>
        </w:rPr>
      </w:pPr>
    </w:p>
    <w:p w:rsidR="00000000" w:rsidRDefault="00000000">
      <w:pPr>
        <w:pStyle w:val="BodyText"/>
        <w:spacing w:line="120" w:lineRule="exact"/>
        <w:ind w:left="360"/>
        <w:jc w:val="both"/>
        <w:rPr>
          <w:b/>
          <w:sz w:val="10"/>
        </w:rPr>
      </w:pPr>
    </w:p>
    <w:p w:rsidR="00000000" w:rsidRDefault="00000000">
      <w:pPr>
        <w:pStyle w:val="SingleTxt"/>
      </w:pPr>
      <w:r>
        <w:rPr>
          <w:b/>
        </w:rPr>
        <w:tab/>
      </w:r>
      <w:r>
        <w:t>El Ministerio Federal de Asuntos de la Mujer y Desarrollo de la Juventud está preparando los informes cuarto y quinto combinados del país relativos a la Conve</w:t>
      </w:r>
      <w:r>
        <w:t>n</w:t>
      </w:r>
      <w:r>
        <w:t>ción sobre la eliminación de todas las formas de discriminación contra la mujer, que debe presentar al Comité de las Naciones Unidas para la Eliminación de la Discr</w:t>
      </w:r>
      <w:r>
        <w:t>i</w:t>
      </w:r>
      <w:r>
        <w:t>minación contra la Mujer en julio de 2002, a más tardar.</w:t>
      </w:r>
    </w:p>
    <w:p w:rsidR="00000000" w:rsidRDefault="00000000">
      <w:pPr>
        <w:pStyle w:val="SingleTxt"/>
      </w:pPr>
      <w:r>
        <w:tab/>
        <w:t>Este anuncio va encaminado a solicitar a los miembros de los gobiernos fed</w:t>
      </w:r>
      <w:r>
        <w:t>e</w:t>
      </w:r>
      <w:r>
        <w:t>ral, estatales y locales, las instituciones académicas, los organismos de desarrollo, las organizaciones de medios de comunicación, las organizaciones empresariales, las organizaciones no gubernamentales, los grupos de la sociedad civil, las personas y el público en general que presenten sus aportaciones sobre la aplicación de la Conve</w:t>
      </w:r>
      <w:r>
        <w:t>n</w:t>
      </w:r>
      <w:r>
        <w:t xml:space="preserve">ción de las Naciones Unidas a la dirección citada </w:t>
      </w:r>
      <w:r>
        <w:rPr>
          <w:i/>
        </w:rPr>
        <w:t>infra</w:t>
      </w:r>
      <w:r>
        <w:t>.</w:t>
      </w:r>
    </w:p>
    <w:p w:rsidR="00000000" w:rsidRDefault="00000000">
      <w:pPr>
        <w:pStyle w:val="SingleTxt"/>
      </w:pPr>
      <w:r>
        <w:tab/>
        <w:t>Dichas aportaciones deben constar de informes, estadísticas, datos y evalu</w:t>
      </w:r>
      <w:r>
        <w:t>a</w:t>
      </w:r>
      <w:r>
        <w:t>ciones de las repercusiones de los programas, resultados positivos y negativos de las intervenciones, reformas sociales, legislación y proyectos emprendidos desde 1994. Los interesados deben centrar sus aportaciones en los asuntos comprendidos en los artículos y cuestiones enumerados a continuación y que figuran en el documento de la Convención:</w:t>
      </w:r>
    </w:p>
    <w:p w:rsidR="00000000" w:rsidRDefault="00000000">
      <w:pPr>
        <w:pStyle w:val="SingleTxt"/>
        <w:tabs>
          <w:tab w:val="clear" w:pos="2218"/>
          <w:tab w:val="left" w:pos="2340"/>
        </w:tabs>
        <w:spacing w:after="100"/>
      </w:pPr>
      <w:r>
        <w:t>Artículo 1:</w:t>
      </w:r>
      <w:r>
        <w:tab/>
        <w:t>Definición de la discriminación contra la mujer</w:t>
      </w:r>
    </w:p>
    <w:p w:rsidR="00000000" w:rsidRDefault="00000000">
      <w:pPr>
        <w:pStyle w:val="SingleTxt"/>
        <w:tabs>
          <w:tab w:val="clear" w:pos="2218"/>
          <w:tab w:val="left" w:pos="2340"/>
        </w:tabs>
        <w:spacing w:after="100"/>
      </w:pPr>
      <w:r>
        <w:t>Artículo 2:</w:t>
      </w:r>
      <w:r>
        <w:tab/>
        <w:t>Obligación de eliminar la discriminación</w:t>
      </w:r>
    </w:p>
    <w:p w:rsidR="00000000" w:rsidRDefault="00000000">
      <w:pPr>
        <w:pStyle w:val="SingleTxt"/>
        <w:tabs>
          <w:tab w:val="clear" w:pos="2218"/>
          <w:tab w:val="left" w:pos="2340"/>
        </w:tabs>
        <w:spacing w:after="100"/>
      </w:pPr>
      <w:r>
        <w:t>Artículo 3:</w:t>
      </w:r>
      <w:r>
        <w:tab/>
        <w:t>Desarrollo y adelanto de la mujer</w:t>
      </w:r>
    </w:p>
    <w:p w:rsidR="00000000" w:rsidRDefault="00000000">
      <w:pPr>
        <w:pStyle w:val="SingleTxt"/>
        <w:tabs>
          <w:tab w:val="clear" w:pos="2218"/>
          <w:tab w:val="left" w:pos="2340"/>
        </w:tabs>
        <w:spacing w:after="100"/>
      </w:pPr>
      <w:r>
        <w:t>Artículo 4:</w:t>
      </w:r>
      <w:r>
        <w:tab/>
        <w:t>Aceleración de la igualdad entre los hombres y las mujeres</w:t>
      </w:r>
    </w:p>
    <w:p w:rsidR="00000000" w:rsidRDefault="00000000">
      <w:pPr>
        <w:pStyle w:val="SingleTxt"/>
        <w:tabs>
          <w:tab w:val="clear" w:pos="2218"/>
          <w:tab w:val="left" w:pos="2340"/>
        </w:tabs>
        <w:spacing w:after="100"/>
      </w:pPr>
      <w:r>
        <w:t>Artículo 5:</w:t>
      </w:r>
      <w:r>
        <w:tab/>
        <w:t>Funciones de los sexos y estereotipos a ese respecto</w:t>
      </w:r>
    </w:p>
    <w:p w:rsidR="00000000" w:rsidRDefault="00000000">
      <w:pPr>
        <w:pStyle w:val="SingleTxt"/>
        <w:tabs>
          <w:tab w:val="clear" w:pos="2218"/>
          <w:tab w:val="left" w:pos="2340"/>
        </w:tabs>
        <w:spacing w:after="100"/>
      </w:pPr>
      <w:r>
        <w:t>Artículo 6:</w:t>
      </w:r>
      <w:r>
        <w:tab/>
        <w:t>Abolición de la explotación de la mujer</w:t>
      </w:r>
    </w:p>
    <w:p w:rsidR="00000000" w:rsidRDefault="00000000">
      <w:pPr>
        <w:pStyle w:val="SingleTxt"/>
        <w:tabs>
          <w:tab w:val="clear" w:pos="2218"/>
          <w:tab w:val="left" w:pos="2340"/>
        </w:tabs>
        <w:spacing w:after="100"/>
      </w:pPr>
      <w:r>
        <w:t>Artículo 7:</w:t>
      </w:r>
      <w:r>
        <w:tab/>
        <w:t>Vida política y pública</w:t>
      </w:r>
    </w:p>
    <w:p w:rsidR="00000000" w:rsidRDefault="00000000">
      <w:pPr>
        <w:pStyle w:val="SingleTxt"/>
        <w:tabs>
          <w:tab w:val="clear" w:pos="2218"/>
          <w:tab w:val="left" w:pos="2340"/>
        </w:tabs>
        <w:spacing w:after="100"/>
      </w:pPr>
      <w:r>
        <w:t>Artículo 8:</w:t>
      </w:r>
      <w:r>
        <w:tab/>
        <w:t>Representación y participación internacional</w:t>
      </w:r>
    </w:p>
    <w:p w:rsidR="00000000" w:rsidRDefault="00000000">
      <w:pPr>
        <w:pStyle w:val="SingleTxt"/>
        <w:tabs>
          <w:tab w:val="clear" w:pos="2218"/>
          <w:tab w:val="left" w:pos="2340"/>
        </w:tabs>
        <w:spacing w:after="100"/>
      </w:pPr>
      <w:r>
        <w:t>Artículo 9:</w:t>
      </w:r>
      <w:r>
        <w:tab/>
        <w:t>Nacionalidad</w:t>
      </w:r>
    </w:p>
    <w:p w:rsidR="00000000" w:rsidRDefault="00000000">
      <w:pPr>
        <w:pStyle w:val="SingleTxt"/>
        <w:tabs>
          <w:tab w:val="clear" w:pos="2218"/>
          <w:tab w:val="left" w:pos="2340"/>
        </w:tabs>
        <w:spacing w:after="100"/>
      </w:pPr>
      <w:r>
        <w:t>Artículo 10:</w:t>
      </w:r>
      <w:r>
        <w:tab/>
        <w:t>Educación</w:t>
      </w:r>
    </w:p>
    <w:p w:rsidR="00000000" w:rsidRDefault="00000000">
      <w:pPr>
        <w:pStyle w:val="SingleTxt"/>
        <w:tabs>
          <w:tab w:val="clear" w:pos="2218"/>
          <w:tab w:val="left" w:pos="2340"/>
        </w:tabs>
        <w:spacing w:after="100"/>
      </w:pPr>
      <w:r>
        <w:t>Artículo 11:</w:t>
      </w:r>
      <w:r>
        <w:tab/>
        <w:t>Empleo</w:t>
      </w:r>
    </w:p>
    <w:p w:rsidR="00000000" w:rsidRDefault="00000000">
      <w:pPr>
        <w:pStyle w:val="SingleTxt"/>
        <w:tabs>
          <w:tab w:val="clear" w:pos="2218"/>
          <w:tab w:val="left" w:pos="2340"/>
        </w:tabs>
        <w:spacing w:after="100"/>
      </w:pPr>
      <w:r>
        <w:t>Artículo 12:</w:t>
      </w:r>
      <w:r>
        <w:tab/>
        <w:t>Igualdad en el acceso a la atención médica</w:t>
      </w:r>
    </w:p>
    <w:p w:rsidR="00000000" w:rsidRDefault="00000000">
      <w:pPr>
        <w:pStyle w:val="SingleTxt"/>
        <w:tabs>
          <w:tab w:val="clear" w:pos="2218"/>
          <w:tab w:val="left" w:pos="2340"/>
        </w:tabs>
        <w:spacing w:after="100"/>
      </w:pPr>
      <w:r>
        <w:t>Artículo 13:</w:t>
      </w:r>
      <w:r>
        <w:tab/>
        <w:t xml:space="preserve">Prestaciones sociales </w:t>
      </w:r>
    </w:p>
    <w:p w:rsidR="00000000" w:rsidRDefault="00000000">
      <w:pPr>
        <w:pStyle w:val="SingleTxt"/>
        <w:tabs>
          <w:tab w:val="clear" w:pos="2218"/>
          <w:tab w:val="left" w:pos="2340"/>
        </w:tabs>
        <w:spacing w:after="100"/>
      </w:pPr>
      <w:r>
        <w:t>Artículo 14:</w:t>
      </w:r>
      <w:r>
        <w:tab/>
        <w:t>La mujer en las zonas rurales</w:t>
      </w:r>
    </w:p>
    <w:p w:rsidR="00000000" w:rsidRDefault="00000000">
      <w:pPr>
        <w:pStyle w:val="SingleTxt"/>
        <w:tabs>
          <w:tab w:val="clear" w:pos="2218"/>
          <w:tab w:val="left" w:pos="2340"/>
        </w:tabs>
        <w:spacing w:after="100"/>
      </w:pPr>
      <w:r>
        <w:t>Artículo 15:</w:t>
      </w:r>
      <w:r>
        <w:tab/>
        <w:t>Igualdad ante la ley y en materia de asuntos civiles</w:t>
      </w:r>
    </w:p>
    <w:p w:rsidR="00000000" w:rsidRDefault="00000000">
      <w:pPr>
        <w:pStyle w:val="SingleTxt"/>
      </w:pPr>
      <w:r>
        <w:t>Artículo 16: Igualdad ante la ley: matrimonio y familia.</w:t>
      </w:r>
    </w:p>
    <w:p w:rsidR="00000000" w:rsidRDefault="00000000">
      <w:pPr>
        <w:pStyle w:val="SingleTxt"/>
      </w:pPr>
      <w:r>
        <w:tab/>
        <w:t>Además, se agradecerá la presentación de informes sobre innovaciones y pr</w:t>
      </w:r>
      <w:r>
        <w:t>o</w:t>
      </w:r>
      <w:r>
        <w:t>cedimientos idóneos que hayan mejorado positivamente la situación y el bienestar de las mujeres en los planos nacional, estatal y comunitario.</w:t>
      </w:r>
    </w:p>
    <w:p w:rsidR="00000000" w:rsidRDefault="00000000">
      <w:pPr>
        <w:pStyle w:val="SingleTxt"/>
      </w:pPr>
      <w:r>
        <w:tab/>
        <w:t>Todas las comunicaciones deberán presentarse mecanografiadas y entregarse personalmente o enviarse por correo postal o electrónico antes del 28 de febrero de 2002 en la</w:t>
      </w:r>
    </w:p>
    <w:p w:rsidR="00000000" w:rsidRDefault="00000000">
      <w:pPr>
        <w:pStyle w:val="BodyText"/>
        <w:spacing w:line="120" w:lineRule="exact"/>
        <w:jc w:val="both"/>
        <w:rPr>
          <w:sz w:val="10"/>
        </w:rPr>
      </w:pPr>
    </w:p>
    <w:p w:rsidR="00000000" w:rsidRDefault="00000000">
      <w:pPr>
        <w:pStyle w:val="BodyText"/>
        <w:spacing w:line="120" w:lineRule="exact"/>
        <w:jc w:val="both"/>
        <w:rPr>
          <w:sz w:val="10"/>
        </w:rPr>
      </w:pPr>
    </w:p>
    <w:p w:rsidR="00000000" w:rsidRDefault="00000000">
      <w:pPr>
        <w:pStyle w:val="SingleTxt"/>
        <w:spacing w:after="0" w:line="240" w:lineRule="auto"/>
      </w:pPr>
      <w:r>
        <w:t xml:space="preserve">CEDAW TECHNICAL SECRETARIAT </w:t>
      </w:r>
    </w:p>
    <w:p w:rsidR="00000000" w:rsidRDefault="00000000">
      <w:pPr>
        <w:pStyle w:val="SingleTxt"/>
        <w:spacing w:after="0" w:line="240" w:lineRule="auto"/>
        <w:rPr>
          <w:lang w:val="en-GB"/>
        </w:rPr>
      </w:pPr>
      <w:r>
        <w:rPr>
          <w:lang w:val="en-GB"/>
        </w:rPr>
        <w:t>C/o The Director, Women Affairs Depart., Room 021,</w:t>
      </w:r>
    </w:p>
    <w:p w:rsidR="00000000" w:rsidRDefault="00000000">
      <w:pPr>
        <w:pStyle w:val="SingleTxt"/>
        <w:spacing w:after="0" w:line="240" w:lineRule="auto"/>
        <w:rPr>
          <w:lang w:val="en-GB"/>
        </w:rPr>
      </w:pPr>
      <w:r>
        <w:rPr>
          <w:lang w:val="en-GB"/>
        </w:rPr>
        <w:t>Federal Ministry of Women’s Affairs and Youth Department</w:t>
      </w:r>
    </w:p>
    <w:p w:rsidR="00000000" w:rsidRDefault="00000000">
      <w:pPr>
        <w:pStyle w:val="SingleTxt"/>
        <w:spacing w:after="0" w:line="240" w:lineRule="auto"/>
      </w:pPr>
      <w:r>
        <w:t>Federal Secretariat Complex</w:t>
      </w:r>
    </w:p>
    <w:p w:rsidR="00000000" w:rsidRDefault="00000000">
      <w:pPr>
        <w:pStyle w:val="SingleTxt"/>
        <w:spacing w:after="0" w:line="240" w:lineRule="auto"/>
        <w:rPr>
          <w:lang w:val="en-GB"/>
        </w:rPr>
      </w:pPr>
      <w:r>
        <w:rPr>
          <w:lang w:val="en-GB"/>
        </w:rPr>
        <w:t>Shehu Shagari Way, Maitama</w:t>
      </w:r>
    </w:p>
    <w:p w:rsidR="00000000" w:rsidRDefault="00000000">
      <w:pPr>
        <w:pStyle w:val="SingleTxt"/>
        <w:spacing w:after="0" w:line="240" w:lineRule="auto"/>
        <w:rPr>
          <w:lang w:val="en-GB"/>
        </w:rPr>
      </w:pPr>
      <w:r>
        <w:rPr>
          <w:lang w:val="en-GB"/>
        </w:rPr>
        <w:t>P.M.B. 229</w:t>
      </w:r>
    </w:p>
    <w:p w:rsidR="00000000" w:rsidRDefault="00000000">
      <w:pPr>
        <w:pStyle w:val="SingleTxt"/>
        <w:spacing w:after="0" w:line="240" w:lineRule="auto"/>
      </w:pPr>
      <w:r>
        <w:t>Garki – Abuja</w:t>
      </w:r>
    </w:p>
    <w:p w:rsidR="00000000" w:rsidRDefault="00000000">
      <w:pPr>
        <w:pStyle w:val="SingleTxt"/>
        <w:spacing w:after="0" w:line="240" w:lineRule="auto"/>
      </w:pPr>
      <w:r>
        <w:t>Nigeria.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Correo electrónico: </w:t>
      </w:r>
      <w:hyperlink r:id="rId17" w:history="1">
        <w:r>
          <w:rPr>
            <w:rStyle w:val="Hyperlink"/>
          </w:rPr>
          <w:t>ngcedaw@yahoo.com</w:t>
        </w:r>
      </w:hyperlink>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o en 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240" w:lineRule="auto"/>
        <w:rPr>
          <w:lang w:val="en-GB"/>
        </w:rPr>
      </w:pPr>
      <w:r>
        <w:rPr>
          <w:lang w:val="en-GB"/>
        </w:rPr>
        <w:t>FMWAYD CEDAW TECHNICAL SECRETARIAT</w:t>
      </w:r>
    </w:p>
    <w:p w:rsidR="00000000" w:rsidRDefault="00000000">
      <w:pPr>
        <w:pStyle w:val="SingleTxt"/>
        <w:spacing w:after="0" w:line="240" w:lineRule="auto"/>
        <w:rPr>
          <w:lang w:val="en-GB"/>
        </w:rPr>
      </w:pPr>
      <w:r>
        <w:rPr>
          <w:lang w:val="en-GB"/>
        </w:rPr>
        <w:t>C/o The Regional Director,</w:t>
      </w:r>
    </w:p>
    <w:p w:rsidR="00000000" w:rsidRDefault="00000000">
      <w:pPr>
        <w:pStyle w:val="SingleTxt"/>
        <w:spacing w:after="0" w:line="240" w:lineRule="auto"/>
        <w:rPr>
          <w:lang w:val="en-GB"/>
        </w:rPr>
      </w:pPr>
      <w:r>
        <w:rPr>
          <w:lang w:val="en-GB"/>
        </w:rPr>
        <w:t>UNIFEM,</w:t>
      </w:r>
    </w:p>
    <w:p w:rsidR="00000000" w:rsidRDefault="00000000">
      <w:pPr>
        <w:pStyle w:val="SingleTxt"/>
        <w:spacing w:after="0" w:line="240" w:lineRule="auto"/>
        <w:rPr>
          <w:lang w:val="en-GB"/>
        </w:rPr>
      </w:pPr>
      <w:r>
        <w:rPr>
          <w:lang w:val="en-GB"/>
        </w:rPr>
        <w:t>11, Oyinkan Abayomi Close</w:t>
      </w:r>
    </w:p>
    <w:p w:rsidR="00000000" w:rsidRDefault="00000000">
      <w:pPr>
        <w:pStyle w:val="SingleTxt"/>
        <w:spacing w:after="0" w:line="240" w:lineRule="auto"/>
        <w:rPr>
          <w:lang w:val="en-GB"/>
        </w:rPr>
      </w:pPr>
      <w:r>
        <w:rPr>
          <w:lang w:val="en-GB"/>
        </w:rPr>
        <w:t>Iyoki, Lagos.</w:t>
      </w:r>
    </w:p>
    <w:p w:rsidR="00000000" w:rsidRDefault="00000000">
      <w:pPr>
        <w:pStyle w:val="SingleTxt"/>
        <w:spacing w:after="0" w:line="120" w:lineRule="exact"/>
        <w:rPr>
          <w:sz w:val="10"/>
          <w:lang w:val="en-GB"/>
        </w:rPr>
      </w:pPr>
    </w:p>
    <w:p w:rsidR="00000000" w:rsidRDefault="00000000">
      <w:pPr>
        <w:pStyle w:val="SingleTxt"/>
        <w:spacing w:after="0" w:line="120" w:lineRule="exact"/>
        <w:rPr>
          <w:sz w:val="10"/>
          <w:lang w:val="en-GB"/>
        </w:rPr>
      </w:pPr>
    </w:p>
    <w:p w:rsidR="00000000" w:rsidRDefault="00000000">
      <w:pPr>
        <w:pStyle w:val="SingleTxt"/>
      </w:pPr>
      <w:r>
        <w:tab/>
        <w:t>Se pueden obtener aclaraciones e información suplementarias llamando al tel</w:t>
      </w:r>
      <w:r>
        <w:t>é</w:t>
      </w:r>
      <w:r>
        <w:t>fono 234-9-5237113. Las aportaciones recopiladas serán examinadas en un Foro de ONG que se reunirá antes del final de mayo de 2002.</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Apéndice II</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Lista de determinadas organizaciones no gubernamentales</w:t>
      </w:r>
    </w:p>
    <w:p w:rsidR="00000000" w:rsidRDefault="00000000">
      <w:pPr>
        <w:pStyle w:val="BodyText"/>
        <w:spacing w:line="120" w:lineRule="exact"/>
        <w:jc w:val="both"/>
        <w:rPr>
          <w:sz w:val="10"/>
        </w:rPr>
      </w:pPr>
    </w:p>
    <w:p w:rsidR="00000000" w:rsidRDefault="00000000">
      <w:pPr>
        <w:pStyle w:val="BodyText"/>
        <w:spacing w:line="120" w:lineRule="exact"/>
        <w:jc w:val="both"/>
        <w:rPr>
          <w:sz w:val="10"/>
        </w:rPr>
      </w:pPr>
    </w:p>
    <w:p w:rsidR="00000000" w:rsidRDefault="00000000">
      <w:pPr>
        <w:pStyle w:val="SingleTxt"/>
        <w:rPr>
          <w:lang w:val="en-GB"/>
        </w:rPr>
      </w:pPr>
      <w:r>
        <w:rPr>
          <w:lang w:val="en-GB"/>
        </w:rPr>
        <w:t>Agape is a Birthright</w:t>
      </w:r>
    </w:p>
    <w:p w:rsidR="00000000" w:rsidRDefault="00000000">
      <w:pPr>
        <w:pStyle w:val="SingleTxt"/>
      </w:pPr>
      <w:r>
        <w:t>Comité de Concienciación de las Mujeres de Anambra (AWAC)</w:t>
      </w:r>
    </w:p>
    <w:p w:rsidR="00000000" w:rsidRDefault="00000000">
      <w:pPr>
        <w:pStyle w:val="SingleTxt"/>
      </w:pPr>
      <w:r>
        <w:t>BAOBAB por los Derechos de la Mujer</w:t>
      </w:r>
    </w:p>
    <w:p w:rsidR="00000000" w:rsidRDefault="00000000">
      <w:pPr>
        <w:pStyle w:val="SingleTxt"/>
      </w:pPr>
      <w:r>
        <w:t>Organización de Mujeres Católicas (CWO)</w:t>
      </w:r>
    </w:p>
    <w:p w:rsidR="00000000" w:rsidRDefault="00000000">
      <w:pPr>
        <w:pStyle w:val="SingleTxt"/>
      </w:pPr>
      <w:r>
        <w:t>Centro para el Progreso de las Ciencias Sociales (CASS)</w:t>
      </w:r>
    </w:p>
    <w:p w:rsidR="00000000" w:rsidRDefault="00000000">
      <w:pPr>
        <w:pStyle w:val="SingleTxt"/>
      </w:pPr>
      <w:r>
        <w:t>Centro para el Adelanto y la Potenciación de la Mujer (CWAE)</w:t>
      </w:r>
    </w:p>
    <w:p w:rsidR="00000000" w:rsidRDefault="00000000">
      <w:pPr>
        <w:pStyle w:val="SingleTxt"/>
      </w:pPr>
      <w:r>
        <w:t>Centro de Formación y Actividades en pro de la Igualdad Sexual</w:t>
      </w:r>
    </w:p>
    <w:p w:rsidR="00000000" w:rsidRDefault="00000000">
      <w:pPr>
        <w:pStyle w:val="SingleTxt"/>
      </w:pPr>
      <w:r>
        <w:t>Child Care Trust</w:t>
      </w:r>
    </w:p>
    <w:p w:rsidR="00000000" w:rsidRDefault="00000000">
      <w:pPr>
        <w:pStyle w:val="SingleTxt"/>
      </w:pPr>
      <w:r>
        <w:t>Centro de Documentación y Desarrollo de los Recursos Civiles (CIRDDOC)</w:t>
      </w:r>
    </w:p>
    <w:p w:rsidR="00000000" w:rsidRDefault="00000000">
      <w:pPr>
        <w:pStyle w:val="SingleTxt"/>
      </w:pPr>
      <w:r>
        <w:t>Comité de Defensa de los Derechos Humanos (CDHR)</w:t>
      </w:r>
    </w:p>
    <w:p w:rsidR="00000000" w:rsidRDefault="00000000">
      <w:pPr>
        <w:pStyle w:val="SingleTxt"/>
      </w:pPr>
      <w:r>
        <w:t>Asociados Comunitarios en pro del Desarrollo (CPD)</w:t>
      </w:r>
    </w:p>
    <w:p w:rsidR="00000000" w:rsidRDefault="00000000">
      <w:pPr>
        <w:pStyle w:val="SingleTxt"/>
      </w:pPr>
      <w:r>
        <w:t>Fundación Defensores del Desarrollo de la Mujer (COWDEF)</w:t>
      </w:r>
    </w:p>
    <w:p w:rsidR="00000000" w:rsidRDefault="00000000">
      <w:pPr>
        <w:pStyle w:val="SingleTxt"/>
      </w:pPr>
      <w:r>
        <w:t>Fundación Hijas de Abraham</w:t>
      </w:r>
    </w:p>
    <w:p w:rsidR="00000000" w:rsidRDefault="00000000">
      <w:pPr>
        <w:pStyle w:val="SingleTxt"/>
      </w:pPr>
      <w:r>
        <w:t>Federación de Asociaciones de Mujeres de Akwa-Ibom (FAIWA)</w:t>
      </w:r>
    </w:p>
    <w:p w:rsidR="00000000" w:rsidRDefault="00000000">
      <w:pPr>
        <w:pStyle w:val="SingleTxt"/>
      </w:pPr>
      <w:r>
        <w:t>Federación de Asociaciones de Mujeres Musulmanas (FOMWAN)</w:t>
      </w:r>
    </w:p>
    <w:p w:rsidR="00000000" w:rsidRDefault="00000000">
      <w:pPr>
        <w:pStyle w:val="SingleTxt"/>
      </w:pPr>
      <w:r>
        <w:t>FORWARD</w:t>
      </w:r>
    </w:p>
    <w:p w:rsidR="00000000" w:rsidRDefault="00000000">
      <w:pPr>
        <w:pStyle w:val="SingleTxt"/>
      </w:pPr>
      <w:r>
        <w:t>Equipo de Acción en pro de la Igualdad Sexual (GAT)</w:t>
      </w:r>
    </w:p>
    <w:p w:rsidR="00000000" w:rsidRDefault="00000000">
      <w:pPr>
        <w:pStyle w:val="SingleTxt"/>
      </w:pPr>
      <w:r>
        <w:t>Acción en pro del Desarrollo y la Igualdad Sexual (GADA)</w:t>
      </w:r>
    </w:p>
    <w:p w:rsidR="00000000" w:rsidRDefault="00000000">
      <w:pPr>
        <w:pStyle w:val="SingleTxt"/>
      </w:pPr>
      <w:r>
        <w:t>Equipo de Acción en pro de la Igualdad Sexual (GAT)</w:t>
      </w:r>
    </w:p>
    <w:p w:rsidR="00000000" w:rsidRDefault="00000000">
      <w:pPr>
        <w:pStyle w:val="SingleTxt"/>
      </w:pPr>
      <w:r>
        <w:t>Acción en pro del Desarrollo y la Igualdad Sexual  (GADA)</w:t>
      </w:r>
    </w:p>
    <w:p w:rsidR="00000000" w:rsidRDefault="00000000">
      <w:pPr>
        <w:pStyle w:val="SingleTxt"/>
      </w:pPr>
      <w:r>
        <w:t>Iniciativa Poder Femenino (GPI)</w:t>
      </w:r>
    </w:p>
    <w:p w:rsidR="00000000" w:rsidRDefault="00000000">
      <w:pPr>
        <w:pStyle w:val="SingleTxt"/>
      </w:pPr>
      <w:r>
        <w:t>Federación Internacional de Abogadas (FIDA)</w:t>
      </w:r>
    </w:p>
    <w:p w:rsidR="00000000" w:rsidRDefault="00000000">
      <w:pPr>
        <w:pStyle w:val="SingleTxt"/>
      </w:pPr>
      <w:r>
        <w:t>Comisión de Paz y Desarrollo de la Justicia</w:t>
      </w:r>
    </w:p>
    <w:p w:rsidR="00000000" w:rsidRDefault="00000000">
      <w:pPr>
        <w:pStyle w:val="SingleTxt"/>
      </w:pPr>
      <w:r>
        <w:t>Proyecto de Defensa y Asistencia Jurídicas (LEDAP)</w:t>
      </w:r>
    </w:p>
    <w:p w:rsidR="00000000" w:rsidRDefault="00000000">
      <w:pPr>
        <w:pStyle w:val="SingleTxt"/>
      </w:pPr>
      <w:r>
        <w:t>Centro de Investigaciones y Desarrollo de los Recursos Jurídicos (LRRDC)</w:t>
      </w:r>
    </w:p>
    <w:p w:rsidR="00000000" w:rsidRDefault="00000000">
      <w:pPr>
        <w:pStyle w:val="SingleTxt"/>
      </w:pPr>
      <w:r>
        <w:t>Asociación Nacional de Pequeños Industriales</w:t>
      </w:r>
    </w:p>
    <w:p w:rsidR="00000000" w:rsidRDefault="00000000">
      <w:pPr>
        <w:pStyle w:val="SingleTxt"/>
      </w:pPr>
      <w:r>
        <w:t>Asociación Nacional de Mujeres Periodistas (NAWOJ)</w:t>
      </w:r>
    </w:p>
    <w:p w:rsidR="00000000" w:rsidRDefault="00000000">
      <w:pPr>
        <w:pStyle w:val="SingleTxt"/>
      </w:pPr>
      <w:r>
        <w:t>Asociación Nacional de Sociedades Femeninas (NECWS)</w:t>
      </w:r>
    </w:p>
    <w:p w:rsidR="00000000" w:rsidRDefault="00000000">
      <w:pPr>
        <w:pStyle w:val="SingleTxt"/>
      </w:pPr>
      <w:r>
        <w:t>Programa Nacional para Jóvenes con Sida (NYAP)</w:t>
      </w:r>
    </w:p>
    <w:p w:rsidR="00000000" w:rsidRDefault="00000000">
      <w:pPr>
        <w:pStyle w:val="SingleTxt"/>
      </w:pPr>
      <w:r>
        <w:t>Asociación Nacional de Empresarias (NAWE)</w:t>
      </w:r>
    </w:p>
    <w:p w:rsidR="00000000" w:rsidRDefault="00000000">
      <w:pPr>
        <w:pStyle w:val="SingleTxt"/>
      </w:pPr>
      <w:r>
        <w:t>Organización en pro de los Humedales del Delta del Níger</w:t>
      </w:r>
    </w:p>
    <w:p w:rsidR="00000000" w:rsidRDefault="00000000">
      <w:pPr>
        <w:pStyle w:val="SingleTxt"/>
      </w:pPr>
      <w:r>
        <w:t>Mujeres del Delta del Níger por la Justicia</w:t>
      </w:r>
    </w:p>
    <w:p w:rsidR="00000000" w:rsidRDefault="00000000">
      <w:pPr>
        <w:pStyle w:val="SingleTxt"/>
      </w:pPr>
      <w:r>
        <w:t xml:space="preserve">Congreso Laboral de Nigeria (NLC) </w:t>
      </w:r>
    </w:p>
    <w:p w:rsidR="00000000" w:rsidRDefault="00000000">
      <w:pPr>
        <w:pStyle w:val="SingleTxt"/>
      </w:pPr>
      <w:r>
        <w:t>Asociación de Mujeres del Norte de Cross River</w:t>
      </w:r>
    </w:p>
    <w:p w:rsidR="00000000" w:rsidRDefault="00000000">
      <w:pPr>
        <w:pStyle w:val="SingleTxt"/>
      </w:pPr>
      <w:r>
        <w:t>Proyecto Alerta sobre la Violencia contra la Mujer (PAVAW)</w:t>
      </w:r>
    </w:p>
    <w:p w:rsidR="00000000" w:rsidRDefault="00000000">
      <w:pPr>
        <w:pStyle w:val="SingleTxt"/>
      </w:pPr>
      <w:r>
        <w:t>Iniciativas sobre el Derecho a la Vivienda (SRI)</w:t>
      </w:r>
    </w:p>
    <w:p w:rsidR="00000000" w:rsidRDefault="00000000">
      <w:pPr>
        <w:pStyle w:val="SingleTxt"/>
      </w:pPr>
      <w:r>
        <w:t>Sociedad para el Bienestar de las Presas (SWEP)</w:t>
      </w:r>
    </w:p>
    <w:p w:rsidR="00000000" w:rsidRDefault="00000000">
      <w:pPr>
        <w:pStyle w:val="SingleTxt"/>
      </w:pPr>
      <w:r>
        <w:t>Sociedad de Mujeres con Sida de Nigeria (SWAAN)</w:t>
      </w:r>
    </w:p>
    <w:p w:rsidR="00000000" w:rsidRDefault="00000000">
      <w:pPr>
        <w:pStyle w:val="SingleTxt"/>
      </w:pPr>
      <w:r>
        <w:t>Colectivo de Ayuda a las Mujeres (WDCOL)</w:t>
      </w:r>
    </w:p>
    <w:p w:rsidR="00000000" w:rsidRDefault="00000000">
      <w:pPr>
        <w:pStyle w:val="SingleTxt"/>
      </w:pPr>
      <w:r>
        <w:t>Consorcio de Mujeres de Nigeria</w:t>
      </w:r>
    </w:p>
    <w:p w:rsidR="00000000" w:rsidRDefault="00000000">
      <w:pPr>
        <w:pStyle w:val="SingleTxt"/>
      </w:pPr>
      <w:r>
        <w:t>Mujeres en el Derecho y el Desarrollo en África (WILDAF)</w:t>
      </w:r>
    </w:p>
    <w:p w:rsidR="00000000" w:rsidRDefault="00000000">
      <w:pPr>
        <w:pStyle w:val="SingleTxt"/>
      </w:pPr>
      <w:r>
        <w:t>Mujeres en Nigeria (WIN)</w:t>
      </w:r>
    </w:p>
    <w:p w:rsidR="00000000" w:rsidRDefault="00000000">
      <w:pPr>
        <w:pStyle w:val="SingleTxt"/>
      </w:pPr>
      <w:r>
        <w:t>Vigilantes de los Derechos de las Minorías de Mujeres (WMRM)</w:t>
      </w:r>
    </w:p>
    <w:p w:rsidR="00000000" w:rsidRDefault="00000000">
      <w:pPr>
        <w:pStyle w:val="SingleTxt"/>
      </w:pPr>
      <w:r>
        <w:t>Foro de Mujeres Creadoras de Opinión (WOLF)</w:t>
      </w:r>
    </w:p>
    <w:p w:rsidR="00000000" w:rsidRDefault="00000000">
      <w:pPr>
        <w:pStyle w:val="SingleTxt"/>
      </w:pPr>
      <w:r>
        <w:t>Centro de Desarrollo y Derechos de la Mujer (WORDEC)</w:t>
      </w:r>
    </w:p>
    <w:p w:rsidR="00000000" w:rsidRDefault="00000000">
      <w:pPr>
        <w:pStyle w:val="SingleTxt"/>
      </w:pPr>
      <w:r>
        <w:t>Fundación para la Erradicación de la Trata de Mujeres y del Trabajo Infantil (WOTCLEF)</w:t>
      </w:r>
    </w:p>
    <w:p w:rsidR="00000000" w:rsidRDefault="00000000">
      <w:pPr>
        <w:pStyle w:val="SingleTxt"/>
      </w:pPr>
      <w:r>
        <w:t>Centro para la Mujer, el Derecho y el Desarrollo (WLDCN)</w:t>
      </w:r>
    </w:p>
    <w:p w:rsidR="00000000" w:rsidRDefault="00000000">
      <w:pPr>
        <w:pStyle w:val="SingleTxt"/>
      </w:pPr>
      <w:r>
        <w:t>Alternativa de Protección y Adelanto de los Derechos de la Mujer (WRAPA)</w:t>
      </w:r>
    </w:p>
    <w:p w:rsidR="00000000" w:rsidRDefault="00000000">
      <w:pPr>
        <w:pStyle w:val="SingleTxt"/>
      </w:pPr>
      <w:r>
        <w:t>Apoyo de los Jóvenes a la Gestión Democrática de los Asuntos Públicos (YSDG)</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rPr>
          <w:sz w:val="2"/>
        </w:rPr>
        <w:br w:type="page"/>
      </w: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Referencias</w:t>
      </w:r>
    </w:p>
    <w:p w:rsidR="00000000" w:rsidRDefault="00000000">
      <w:pPr>
        <w:pStyle w:val="DualTxt"/>
        <w:spacing w:after="0" w:line="120" w:lineRule="exact"/>
        <w:rPr>
          <w:sz w:val="10"/>
        </w:rPr>
      </w:pPr>
    </w:p>
    <w:p w:rsidR="00000000" w:rsidRDefault="00000000">
      <w:pPr>
        <w:pStyle w:val="DualTxt"/>
        <w:spacing w:after="0" w:line="240" w:lineRule="auto"/>
        <w:rPr>
          <w:sz w:val="2"/>
        </w:rPr>
        <w:sectPr w:rsidR="00000000">
          <w:headerReference w:type="even" r:id="rId18"/>
          <w:headerReference w:type="default" r:id="rId19"/>
          <w:endnotePr>
            <w:numFmt w:val="decimal"/>
          </w:endnotePr>
          <w:type w:val="continuous"/>
          <w:pgSz w:w="12240" w:h="15840" w:code="1"/>
          <w:pgMar w:top="1742" w:right="1195" w:bottom="1898" w:left="1195" w:header="576" w:footer="1030" w:gutter="0"/>
          <w:cols w:num="2" w:space="240"/>
          <w:noEndnote/>
        </w:sectPr>
      </w:pPr>
    </w:p>
    <w:tbl>
      <w:tblPr>
        <w:tblW w:w="0" w:type="auto"/>
        <w:tblInd w:w="-106" w:type="dxa"/>
        <w:tblLayout w:type="fixed"/>
        <w:tblLook w:val="0000" w:firstRow="0" w:lastRow="0" w:firstColumn="0" w:lastColumn="0" w:noHBand="0" w:noVBand="0"/>
      </w:tblPr>
      <w:tblGrid>
        <w:gridCol w:w="4925"/>
        <w:gridCol w:w="4993"/>
      </w:tblGrid>
      <w:tr w:rsidR="00000000">
        <w:tblPrEx>
          <w:tblCellMar>
            <w:top w:w="0" w:type="dxa"/>
            <w:bottom w:w="0" w:type="dxa"/>
          </w:tblCellMar>
        </w:tblPrEx>
        <w:tc>
          <w:tcPr>
            <w:tcW w:w="4925" w:type="dxa"/>
          </w:tcPr>
          <w:p w:rsidR="00000000" w:rsidRDefault="00000000">
            <w:pPr>
              <w:pStyle w:val="DualTxt"/>
              <w:suppressAutoHyphens/>
              <w:ind w:left="480" w:hanging="480"/>
              <w:jc w:val="left"/>
            </w:pPr>
            <w:r>
              <w:t>1.</w:t>
            </w:r>
            <w:r>
              <w:tab/>
              <w:t>Coalición de ONG de Nigeria para la redacción de un informe paralelo sobre la Convención, febrero de 2001</w:t>
            </w:r>
          </w:p>
        </w:tc>
        <w:tc>
          <w:tcPr>
            <w:tcW w:w="4993" w:type="dxa"/>
          </w:tcPr>
          <w:p w:rsidR="00000000" w:rsidRDefault="00000000">
            <w:pPr>
              <w:pStyle w:val="DualTxt"/>
              <w:suppressAutoHyphens/>
              <w:jc w:val="left"/>
              <w:rPr>
                <w:lang w:val="en-GB"/>
              </w:rPr>
            </w:pPr>
            <w:r>
              <w:rPr>
                <w:lang w:val="en-GB"/>
              </w:rPr>
              <w:t xml:space="preserve">NGOs CEDAW </w:t>
            </w:r>
            <w:r>
              <w:rPr>
                <w:i/>
                <w:lang w:val="en-GB"/>
              </w:rPr>
              <w:t>Report for Nigeria</w:t>
            </w:r>
          </w:p>
        </w:tc>
      </w:tr>
      <w:tr w:rsidR="00000000">
        <w:tblPrEx>
          <w:tblCellMar>
            <w:top w:w="0" w:type="dxa"/>
            <w:bottom w:w="0" w:type="dxa"/>
          </w:tblCellMar>
        </w:tblPrEx>
        <w:tc>
          <w:tcPr>
            <w:tcW w:w="4925" w:type="dxa"/>
          </w:tcPr>
          <w:p w:rsidR="00000000" w:rsidRDefault="00000000">
            <w:pPr>
              <w:pStyle w:val="DualTxt"/>
              <w:suppressAutoHyphens/>
              <w:ind w:left="480" w:hanging="480"/>
              <w:jc w:val="left"/>
            </w:pPr>
            <w:r>
              <w:t>2.</w:t>
            </w:r>
            <w:r>
              <w:tab/>
              <w:t>Comisión de Planificación de Abuja y UNICEF, Nigeria 2001</w:t>
            </w:r>
          </w:p>
        </w:tc>
        <w:tc>
          <w:tcPr>
            <w:tcW w:w="4993" w:type="dxa"/>
          </w:tcPr>
          <w:p w:rsidR="00000000" w:rsidRDefault="00000000">
            <w:pPr>
              <w:pStyle w:val="DualTxt"/>
              <w:suppressAutoHyphens/>
              <w:jc w:val="left"/>
              <w:rPr>
                <w:lang w:val="en-GB"/>
              </w:rPr>
            </w:pPr>
            <w:r>
              <w:rPr>
                <w:i/>
                <w:lang w:val="en-GB"/>
              </w:rPr>
              <w:t>Children’s and Women’s Rights in Nigeria. A wake-up call Situation Assessment and Analysis</w:t>
            </w:r>
          </w:p>
        </w:tc>
      </w:tr>
      <w:tr w:rsidR="00000000">
        <w:tblPrEx>
          <w:tblCellMar>
            <w:top w:w="0" w:type="dxa"/>
            <w:bottom w:w="0" w:type="dxa"/>
          </w:tblCellMar>
        </w:tblPrEx>
        <w:tc>
          <w:tcPr>
            <w:tcW w:w="4925" w:type="dxa"/>
          </w:tcPr>
          <w:p w:rsidR="00000000" w:rsidRDefault="00000000">
            <w:pPr>
              <w:pStyle w:val="DualTxt"/>
              <w:suppressAutoHyphens/>
              <w:jc w:val="left"/>
            </w:pPr>
            <w:r>
              <w:t>3.</w:t>
            </w:r>
            <w:r>
              <w:tab/>
              <w:t>República Federal de Nigeria</w:t>
            </w:r>
          </w:p>
        </w:tc>
        <w:tc>
          <w:tcPr>
            <w:tcW w:w="4993" w:type="dxa"/>
          </w:tcPr>
          <w:p w:rsidR="00000000" w:rsidRDefault="00000000">
            <w:pPr>
              <w:pStyle w:val="DualTxt"/>
              <w:suppressAutoHyphens/>
              <w:jc w:val="left"/>
              <w:rPr>
                <w:lang w:val="en-GB"/>
              </w:rPr>
            </w:pPr>
            <w:r>
              <w:t>Constitución de la República Federal de Nigeria (1999)</w:t>
            </w:r>
          </w:p>
        </w:tc>
      </w:tr>
      <w:tr w:rsidR="00000000">
        <w:tblPrEx>
          <w:tblCellMar>
            <w:top w:w="0" w:type="dxa"/>
            <w:bottom w:w="0" w:type="dxa"/>
          </w:tblCellMar>
        </w:tblPrEx>
        <w:tc>
          <w:tcPr>
            <w:tcW w:w="4925" w:type="dxa"/>
          </w:tcPr>
          <w:p w:rsidR="00000000" w:rsidRDefault="00000000">
            <w:pPr>
              <w:pStyle w:val="DualTxt"/>
              <w:suppressAutoHyphens/>
              <w:ind w:left="480" w:hanging="480"/>
              <w:jc w:val="left"/>
            </w:pPr>
            <w:r>
              <w:t>4.</w:t>
            </w:r>
            <w:r>
              <w:tab/>
              <w:t>Ministerio Federal de Asuntos de la Mujer y Desarrollo de la Juventud de Nigeria ‘ Febrero de 2000</w:t>
            </w:r>
          </w:p>
        </w:tc>
        <w:tc>
          <w:tcPr>
            <w:tcW w:w="4993" w:type="dxa"/>
          </w:tcPr>
          <w:p w:rsidR="00000000" w:rsidRDefault="00000000">
            <w:pPr>
              <w:pStyle w:val="DualTxt"/>
              <w:ind w:left="480" w:hanging="480"/>
              <w:jc w:val="left"/>
              <w:rPr>
                <w:i/>
                <w:lang w:val="en-GB"/>
              </w:rPr>
            </w:pPr>
            <w:r>
              <w:rPr>
                <w:i/>
                <w:lang w:val="en-GB"/>
              </w:rPr>
              <w:t>i.</w:t>
            </w:r>
            <w:r>
              <w:rPr>
                <w:i/>
                <w:lang w:val="en-GB"/>
              </w:rPr>
              <w:tab/>
              <w:t>Report of Training for CEDAW Technical Secr</w:t>
            </w:r>
            <w:r>
              <w:rPr>
                <w:i/>
                <w:lang w:val="en-GB"/>
              </w:rPr>
              <w:t>e</w:t>
            </w:r>
            <w:r>
              <w:rPr>
                <w:i/>
                <w:lang w:val="en-GB"/>
              </w:rPr>
              <w:t>tariat and NGOs on CEDAW Report Writing 2000</w:t>
            </w:r>
          </w:p>
          <w:p w:rsidR="00000000" w:rsidRDefault="00000000">
            <w:pPr>
              <w:pStyle w:val="DualTxt"/>
              <w:ind w:left="480" w:hanging="480"/>
              <w:jc w:val="left"/>
              <w:rPr>
                <w:i/>
                <w:lang w:val="en-GB"/>
              </w:rPr>
            </w:pPr>
            <w:r>
              <w:rPr>
                <w:i/>
                <w:lang w:val="en-GB"/>
              </w:rPr>
              <w:t>ii.</w:t>
            </w:r>
            <w:r>
              <w:rPr>
                <w:i/>
                <w:lang w:val="en-GB"/>
              </w:rPr>
              <w:tab/>
              <w:t>Cedaw Reports from States Gender Machinery 2001</w:t>
            </w:r>
          </w:p>
          <w:p w:rsidR="00000000" w:rsidRDefault="00000000">
            <w:pPr>
              <w:pStyle w:val="DualTxt"/>
              <w:jc w:val="left"/>
              <w:rPr>
                <w:i/>
                <w:lang w:val="en-GB"/>
              </w:rPr>
            </w:pPr>
            <w:r>
              <w:rPr>
                <w:i/>
                <w:lang w:val="en-GB"/>
              </w:rPr>
              <w:t>iii.</w:t>
            </w:r>
            <w:r>
              <w:rPr>
                <w:i/>
                <w:lang w:val="en-GB"/>
              </w:rPr>
              <w:tab/>
              <w:t>National Policy on Women (2000)</w:t>
            </w:r>
          </w:p>
          <w:p w:rsidR="00000000" w:rsidRDefault="00000000">
            <w:pPr>
              <w:pStyle w:val="DualTxt"/>
              <w:suppressAutoHyphens/>
              <w:ind w:left="480" w:hanging="480"/>
              <w:jc w:val="left"/>
              <w:rPr>
                <w:lang w:val="en-GB"/>
              </w:rPr>
            </w:pPr>
            <w:r>
              <w:rPr>
                <w:i/>
                <w:lang w:val="en-GB"/>
              </w:rPr>
              <w:t>iv.</w:t>
            </w:r>
            <w:r>
              <w:rPr>
                <w:i/>
                <w:lang w:val="en-GB"/>
              </w:rPr>
              <w:tab/>
              <w:t>Baseline Survey on Positive and Harmful Traditional Practices (HTPs) affecting Women and Children in Nigeria (1998)</w:t>
            </w:r>
          </w:p>
        </w:tc>
      </w:tr>
      <w:tr w:rsidR="00000000">
        <w:tblPrEx>
          <w:tblCellMar>
            <w:top w:w="0" w:type="dxa"/>
            <w:bottom w:w="0" w:type="dxa"/>
          </w:tblCellMar>
        </w:tblPrEx>
        <w:tc>
          <w:tcPr>
            <w:tcW w:w="4925" w:type="dxa"/>
          </w:tcPr>
          <w:p w:rsidR="00000000" w:rsidRDefault="00000000">
            <w:pPr>
              <w:pStyle w:val="DualTxt"/>
              <w:suppressAutoHyphens/>
              <w:jc w:val="left"/>
            </w:pPr>
            <w:r>
              <w:t>5.</w:t>
            </w:r>
            <w:r>
              <w:tab/>
              <w:t>Oficina Federal de Estadística</w:t>
            </w:r>
          </w:p>
        </w:tc>
        <w:tc>
          <w:tcPr>
            <w:tcW w:w="4993" w:type="dxa"/>
          </w:tcPr>
          <w:p w:rsidR="00000000" w:rsidRDefault="00000000">
            <w:pPr>
              <w:pStyle w:val="DualTxt"/>
              <w:jc w:val="left"/>
              <w:rPr>
                <w:i/>
                <w:lang w:val="en-GB"/>
              </w:rPr>
            </w:pPr>
            <w:r>
              <w:rPr>
                <w:i/>
                <w:lang w:val="en-GB"/>
              </w:rPr>
              <w:t>i.</w:t>
            </w:r>
            <w:r>
              <w:rPr>
                <w:i/>
                <w:lang w:val="en-GB"/>
              </w:rPr>
              <w:tab/>
              <w:t>Multiple Indicator Cluster Survey 1999</w:t>
            </w:r>
          </w:p>
          <w:p w:rsidR="00000000" w:rsidRDefault="00000000">
            <w:pPr>
              <w:pStyle w:val="DualTxt"/>
              <w:jc w:val="left"/>
              <w:rPr>
                <w:i/>
                <w:lang w:val="en-GB"/>
              </w:rPr>
            </w:pPr>
            <w:r>
              <w:rPr>
                <w:i/>
                <w:lang w:val="en-GB"/>
              </w:rPr>
              <w:t>ii.</w:t>
            </w:r>
            <w:r>
              <w:rPr>
                <w:i/>
                <w:lang w:val="en-GB"/>
              </w:rPr>
              <w:tab/>
              <w:t>Annual Abstract of Statistics 1999</w:t>
            </w:r>
          </w:p>
          <w:p w:rsidR="00000000" w:rsidRDefault="00000000">
            <w:pPr>
              <w:pStyle w:val="DualTxt"/>
              <w:jc w:val="left"/>
              <w:rPr>
                <w:i/>
                <w:lang w:val="en-GB"/>
              </w:rPr>
            </w:pPr>
            <w:r>
              <w:rPr>
                <w:i/>
                <w:lang w:val="en-GB"/>
              </w:rPr>
              <w:t>iii.</w:t>
            </w:r>
            <w:r>
              <w:rPr>
                <w:i/>
                <w:lang w:val="en-GB"/>
              </w:rPr>
              <w:tab/>
              <w:t>Social Statistics in Nigeria 1999</w:t>
            </w:r>
          </w:p>
          <w:p w:rsidR="00000000" w:rsidRDefault="00000000">
            <w:pPr>
              <w:pStyle w:val="DualTxt"/>
              <w:jc w:val="left"/>
              <w:rPr>
                <w:i/>
                <w:lang w:val="en-GB"/>
              </w:rPr>
            </w:pPr>
            <w:r>
              <w:rPr>
                <w:i/>
                <w:lang w:val="en-GB"/>
              </w:rPr>
              <w:t>iv.</w:t>
            </w:r>
            <w:r>
              <w:rPr>
                <w:i/>
                <w:lang w:val="en-GB"/>
              </w:rPr>
              <w:tab/>
              <w:t>General Household Survey 1995/96 to 1998/99</w:t>
            </w:r>
          </w:p>
          <w:p w:rsidR="00000000" w:rsidRDefault="00000000">
            <w:pPr>
              <w:pStyle w:val="DualTxt"/>
              <w:ind w:left="475" w:hanging="475"/>
              <w:jc w:val="left"/>
              <w:rPr>
                <w:i/>
                <w:lang w:val="en-GB"/>
              </w:rPr>
            </w:pPr>
            <w:r>
              <w:rPr>
                <w:i/>
                <w:lang w:val="en-GB"/>
              </w:rPr>
              <w:t>v.</w:t>
            </w:r>
            <w:r>
              <w:rPr>
                <w:i/>
                <w:lang w:val="en-GB"/>
              </w:rPr>
              <w:tab/>
              <w:t>Statistical Article of Nigerian Women 1995, 1997</w:t>
            </w:r>
          </w:p>
          <w:p w:rsidR="00000000" w:rsidRDefault="00000000">
            <w:pPr>
              <w:pStyle w:val="DualTxt"/>
              <w:ind w:left="475" w:hanging="475"/>
              <w:jc w:val="left"/>
              <w:rPr>
                <w:i/>
                <w:lang w:val="en-GB"/>
              </w:rPr>
            </w:pPr>
            <w:r>
              <w:rPr>
                <w:i/>
                <w:lang w:val="en-GB"/>
              </w:rPr>
              <w:t>vi.</w:t>
            </w:r>
            <w:r>
              <w:rPr>
                <w:i/>
                <w:lang w:val="en-GB"/>
              </w:rPr>
              <w:tab/>
              <w:t>National Agricultural Sample Census 1993/1994</w:t>
            </w:r>
          </w:p>
          <w:p w:rsidR="00000000" w:rsidRDefault="00000000">
            <w:pPr>
              <w:pStyle w:val="DualTxt"/>
              <w:jc w:val="left"/>
              <w:rPr>
                <w:lang w:val="en-GB"/>
              </w:rPr>
            </w:pPr>
            <w:r>
              <w:rPr>
                <w:i/>
                <w:lang w:val="en-GB"/>
              </w:rPr>
              <w:t>vii.</w:t>
            </w:r>
            <w:r>
              <w:rPr>
                <w:i/>
                <w:lang w:val="en-GB"/>
              </w:rPr>
              <w:tab/>
              <w:t>Poverty Profile of Nigeria 1980 – 1996</w:t>
            </w:r>
          </w:p>
        </w:tc>
      </w:tr>
      <w:tr w:rsidR="00000000">
        <w:tblPrEx>
          <w:tblCellMar>
            <w:top w:w="0" w:type="dxa"/>
            <w:bottom w:w="0" w:type="dxa"/>
          </w:tblCellMar>
        </w:tblPrEx>
        <w:tc>
          <w:tcPr>
            <w:tcW w:w="4925" w:type="dxa"/>
          </w:tcPr>
          <w:p w:rsidR="00000000" w:rsidRDefault="00000000">
            <w:pPr>
              <w:pStyle w:val="DualTxt"/>
              <w:suppressAutoHyphens/>
              <w:jc w:val="left"/>
            </w:pPr>
            <w:r>
              <w:t>6.</w:t>
            </w:r>
            <w:r>
              <w:tab/>
              <w:t>Junta Nacional de Recursos Humanos de Nigeria</w:t>
            </w:r>
          </w:p>
        </w:tc>
        <w:tc>
          <w:tcPr>
            <w:tcW w:w="4993" w:type="dxa"/>
          </w:tcPr>
          <w:p w:rsidR="00000000" w:rsidRDefault="00000000">
            <w:pPr>
              <w:pStyle w:val="DualTxt"/>
              <w:suppressAutoHyphens/>
              <w:jc w:val="left"/>
              <w:rPr>
                <w:lang w:val="en-GB"/>
              </w:rPr>
            </w:pPr>
            <w:r>
              <w:rPr>
                <w:i/>
                <w:lang w:val="en-GB"/>
              </w:rPr>
              <w:t>National Manpower Statistics Bulletins</w:t>
            </w:r>
          </w:p>
        </w:tc>
      </w:tr>
      <w:tr w:rsidR="00000000">
        <w:tblPrEx>
          <w:tblCellMar>
            <w:top w:w="0" w:type="dxa"/>
            <w:bottom w:w="0" w:type="dxa"/>
          </w:tblCellMar>
        </w:tblPrEx>
        <w:tc>
          <w:tcPr>
            <w:tcW w:w="4925" w:type="dxa"/>
          </w:tcPr>
          <w:p w:rsidR="00000000" w:rsidRDefault="00000000">
            <w:pPr>
              <w:pStyle w:val="DualTxt"/>
              <w:suppressAutoHyphens/>
              <w:ind w:left="480" w:hanging="480"/>
              <w:jc w:val="left"/>
            </w:pPr>
            <w:r>
              <w:t>7.</w:t>
            </w:r>
            <w:r>
              <w:tab/>
              <w:t>Comisión Nacional Electoral Independiente de Nigeria</w:t>
            </w:r>
          </w:p>
        </w:tc>
        <w:tc>
          <w:tcPr>
            <w:tcW w:w="4993" w:type="dxa"/>
          </w:tcPr>
          <w:p w:rsidR="00000000" w:rsidRDefault="00000000">
            <w:pPr>
              <w:pStyle w:val="DualTxt"/>
              <w:jc w:val="left"/>
              <w:rPr>
                <w:i/>
                <w:lang w:val="en-GB"/>
              </w:rPr>
            </w:pPr>
            <w:r>
              <w:rPr>
                <w:i/>
                <w:lang w:val="en-GB"/>
              </w:rPr>
              <w:t>Compendium of Electoral Results in Nigeria 1999</w:t>
            </w:r>
          </w:p>
          <w:p w:rsidR="00000000" w:rsidRDefault="00000000">
            <w:pPr>
              <w:pStyle w:val="DualTxt"/>
              <w:jc w:val="left"/>
              <w:rPr>
                <w:i/>
                <w:lang w:val="en-GB"/>
              </w:rPr>
            </w:pPr>
            <w:r>
              <w:rPr>
                <w:i/>
                <w:lang w:val="en-GB"/>
              </w:rPr>
              <w:t>i.</w:t>
            </w:r>
            <w:r>
              <w:rPr>
                <w:i/>
                <w:lang w:val="en-GB"/>
              </w:rPr>
              <w:tab/>
              <w:t>National Assembly (Senators)</w:t>
            </w:r>
          </w:p>
          <w:p w:rsidR="00000000" w:rsidRDefault="00000000">
            <w:pPr>
              <w:pStyle w:val="DualTxt"/>
              <w:jc w:val="left"/>
              <w:rPr>
                <w:i/>
                <w:lang w:val="en-GB"/>
              </w:rPr>
            </w:pPr>
            <w:r>
              <w:rPr>
                <w:i/>
                <w:lang w:val="en-GB"/>
              </w:rPr>
              <w:t>ii.</w:t>
            </w:r>
            <w:r>
              <w:rPr>
                <w:i/>
                <w:lang w:val="en-GB"/>
              </w:rPr>
              <w:tab/>
              <w:t>National Assembly (House of Representatives)</w:t>
            </w:r>
          </w:p>
          <w:p w:rsidR="00000000" w:rsidRDefault="00000000">
            <w:pPr>
              <w:pStyle w:val="DualTxt"/>
              <w:ind w:left="480" w:hanging="480"/>
              <w:jc w:val="left"/>
              <w:rPr>
                <w:i/>
                <w:lang w:val="en-GB"/>
              </w:rPr>
            </w:pPr>
            <w:r>
              <w:rPr>
                <w:i/>
                <w:lang w:val="en-GB"/>
              </w:rPr>
              <w:t>iii.</w:t>
            </w:r>
            <w:r>
              <w:rPr>
                <w:i/>
                <w:lang w:val="en-GB"/>
              </w:rPr>
              <w:tab/>
              <w:t>Governors and Deputy Governors/State Houses of Assembly</w:t>
            </w:r>
          </w:p>
          <w:p w:rsidR="00000000" w:rsidRDefault="00000000">
            <w:pPr>
              <w:pStyle w:val="DualTxt"/>
              <w:jc w:val="left"/>
              <w:rPr>
                <w:lang w:val="en-GB"/>
              </w:rPr>
            </w:pPr>
            <w:r>
              <w:rPr>
                <w:i/>
                <w:lang w:val="en-GB"/>
              </w:rPr>
              <w:t>iv.</w:t>
            </w:r>
            <w:r>
              <w:rPr>
                <w:i/>
                <w:lang w:val="en-GB"/>
              </w:rPr>
              <w:tab/>
              <w:t>Local Government Areas</w:t>
            </w:r>
          </w:p>
        </w:tc>
      </w:tr>
      <w:tr w:rsidR="00000000">
        <w:tblPrEx>
          <w:tblCellMar>
            <w:top w:w="0" w:type="dxa"/>
            <w:bottom w:w="0" w:type="dxa"/>
          </w:tblCellMar>
        </w:tblPrEx>
        <w:tc>
          <w:tcPr>
            <w:tcW w:w="4925" w:type="dxa"/>
          </w:tcPr>
          <w:p w:rsidR="00000000" w:rsidRDefault="00000000">
            <w:pPr>
              <w:pStyle w:val="DualTxt"/>
              <w:suppressAutoHyphens/>
              <w:jc w:val="left"/>
            </w:pPr>
            <w:r>
              <w:t>8.</w:t>
            </w:r>
            <w:r>
              <w:rPr>
                <w:i/>
              </w:rPr>
              <w:tab/>
            </w:r>
            <w:r>
              <w:t>Ministerio Federal de Educación</w:t>
            </w:r>
          </w:p>
        </w:tc>
        <w:tc>
          <w:tcPr>
            <w:tcW w:w="4993" w:type="dxa"/>
          </w:tcPr>
          <w:p w:rsidR="00000000" w:rsidRDefault="00000000">
            <w:pPr>
              <w:pStyle w:val="DualTxt"/>
              <w:ind w:left="475" w:hanging="475"/>
              <w:jc w:val="left"/>
              <w:rPr>
                <w:i/>
                <w:lang w:val="en-GB"/>
              </w:rPr>
            </w:pPr>
            <w:r>
              <w:rPr>
                <w:i/>
                <w:lang w:val="en-GB"/>
              </w:rPr>
              <w:t>i.</w:t>
            </w:r>
            <w:r>
              <w:rPr>
                <w:i/>
                <w:lang w:val="en-GB"/>
              </w:rPr>
              <w:tab/>
              <w:t>Comprehensive Education Analysis Project 2000</w:t>
            </w:r>
          </w:p>
          <w:p w:rsidR="00000000" w:rsidRDefault="00000000">
            <w:pPr>
              <w:pStyle w:val="DualTxt"/>
              <w:ind w:left="475" w:hanging="475"/>
              <w:jc w:val="left"/>
              <w:rPr>
                <w:i/>
                <w:lang w:val="en-GB"/>
              </w:rPr>
            </w:pPr>
            <w:r>
              <w:rPr>
                <w:i/>
                <w:lang w:val="en-GB"/>
              </w:rPr>
              <w:t>ii.</w:t>
            </w:r>
            <w:r>
              <w:rPr>
                <w:i/>
                <w:lang w:val="en-GB"/>
              </w:rPr>
              <w:tab/>
              <w:t>National Policy on Education, 1981</w:t>
            </w:r>
          </w:p>
          <w:p w:rsidR="00000000" w:rsidRDefault="00000000">
            <w:pPr>
              <w:pStyle w:val="DualTxt"/>
              <w:ind w:left="475" w:hanging="475"/>
              <w:jc w:val="left"/>
              <w:rPr>
                <w:lang w:val="en-GB"/>
              </w:rPr>
            </w:pPr>
            <w:r>
              <w:rPr>
                <w:lang w:val="en-GB"/>
              </w:rPr>
              <w:t>iii.</w:t>
            </w:r>
            <w:r>
              <w:rPr>
                <w:lang w:val="en-GB"/>
              </w:rPr>
              <w:tab/>
            </w:r>
            <w:r>
              <w:rPr>
                <w:i/>
                <w:lang w:val="en-GB"/>
              </w:rPr>
              <w:t>Statistics of Education in Nigeria, 1996</w:t>
            </w:r>
          </w:p>
          <w:p w:rsidR="00000000" w:rsidRDefault="00000000">
            <w:pPr>
              <w:pStyle w:val="DualTxt"/>
              <w:suppressAutoHyphens/>
              <w:jc w:val="left"/>
              <w:rPr>
                <w:lang w:val="en-GB"/>
              </w:rPr>
            </w:pPr>
            <w:r>
              <w:rPr>
                <w:i/>
                <w:lang w:val="en-GB"/>
              </w:rPr>
              <w:t>iv.</w:t>
            </w:r>
            <w:r>
              <w:rPr>
                <w:i/>
                <w:lang w:val="en-GB"/>
              </w:rPr>
              <w:tab/>
              <w:t>Blue Print on Women Education in Nigeria, 1999</w:t>
            </w:r>
          </w:p>
        </w:tc>
      </w:tr>
      <w:tr w:rsidR="00000000">
        <w:tblPrEx>
          <w:tblCellMar>
            <w:top w:w="0" w:type="dxa"/>
            <w:bottom w:w="0" w:type="dxa"/>
          </w:tblCellMar>
        </w:tblPrEx>
        <w:tc>
          <w:tcPr>
            <w:tcW w:w="4925" w:type="dxa"/>
          </w:tcPr>
          <w:p w:rsidR="00000000" w:rsidRDefault="00000000">
            <w:pPr>
              <w:pStyle w:val="DualTxt"/>
              <w:pageBreakBefore/>
              <w:suppressAutoHyphens/>
              <w:jc w:val="left"/>
            </w:pPr>
            <w:r>
              <w:t>9.</w:t>
            </w:r>
            <w:r>
              <w:tab/>
              <w:t>Ministerio Federal de Salud</w:t>
            </w:r>
          </w:p>
        </w:tc>
        <w:tc>
          <w:tcPr>
            <w:tcW w:w="4993" w:type="dxa"/>
          </w:tcPr>
          <w:p w:rsidR="00000000" w:rsidRDefault="00000000">
            <w:pPr>
              <w:pStyle w:val="DualTxt"/>
              <w:ind w:left="480" w:hanging="480"/>
              <w:rPr>
                <w:i/>
                <w:lang w:val="en-GB"/>
              </w:rPr>
            </w:pPr>
            <w:r>
              <w:rPr>
                <w:i/>
                <w:lang w:val="en-GB"/>
              </w:rPr>
              <w:t>i.</w:t>
            </w:r>
            <w:r>
              <w:rPr>
                <w:lang w:val="en-GB"/>
              </w:rPr>
              <w:tab/>
            </w:r>
            <w:r>
              <w:rPr>
                <w:i/>
                <w:lang w:val="en-GB"/>
              </w:rPr>
              <w:t>The National Health Policy and the Strategy to Achieve Health for All Nigerians (1998)</w:t>
            </w:r>
          </w:p>
          <w:p w:rsidR="00000000" w:rsidRDefault="00000000">
            <w:pPr>
              <w:pStyle w:val="DualTxt"/>
              <w:ind w:left="480" w:hanging="480"/>
              <w:rPr>
                <w:lang w:val="en-GB"/>
              </w:rPr>
            </w:pPr>
            <w:r>
              <w:rPr>
                <w:i/>
                <w:lang w:val="en-GB"/>
              </w:rPr>
              <w:t>ii.</w:t>
            </w:r>
            <w:r>
              <w:rPr>
                <w:i/>
                <w:lang w:val="en-GB"/>
              </w:rPr>
              <w:tab/>
              <w:t>Nigeria Health profile (1992/93)</w:t>
            </w:r>
          </w:p>
          <w:p w:rsidR="00000000" w:rsidRDefault="00000000">
            <w:pPr>
              <w:pStyle w:val="DualTxt"/>
              <w:rPr>
                <w:i/>
                <w:lang w:val="en-GB"/>
              </w:rPr>
            </w:pPr>
            <w:r>
              <w:rPr>
                <w:i/>
                <w:lang w:val="en-GB"/>
              </w:rPr>
              <w:t>iii.</w:t>
            </w:r>
            <w:r>
              <w:rPr>
                <w:i/>
                <w:lang w:val="en-GB"/>
              </w:rPr>
              <w:tab/>
              <w:t>Health in Nigeria (1994/95)</w:t>
            </w:r>
          </w:p>
          <w:p w:rsidR="00000000" w:rsidRDefault="00000000">
            <w:pPr>
              <w:pStyle w:val="DualTxt"/>
              <w:ind w:left="475" w:hanging="475"/>
              <w:jc w:val="left"/>
              <w:rPr>
                <w:i/>
                <w:lang w:val="en-GB"/>
              </w:rPr>
            </w:pPr>
            <w:r>
              <w:rPr>
                <w:i/>
                <w:lang w:val="en-GB"/>
              </w:rPr>
              <w:t>iv.</w:t>
            </w:r>
            <w:r>
              <w:rPr>
                <w:i/>
                <w:lang w:val="en-GB"/>
              </w:rPr>
              <w:tab/>
              <w:t>Sector Reform, Medium Term Plan of Action (2000)</w:t>
            </w:r>
          </w:p>
          <w:p w:rsidR="00000000" w:rsidRDefault="00000000">
            <w:pPr>
              <w:pStyle w:val="DualTxt"/>
              <w:rPr>
                <w:i/>
                <w:lang w:val="en-GB"/>
              </w:rPr>
            </w:pPr>
            <w:r>
              <w:rPr>
                <w:i/>
                <w:lang w:val="en-GB"/>
              </w:rPr>
              <w:t>v.</w:t>
            </w:r>
            <w:r>
              <w:rPr>
                <w:i/>
                <w:lang w:val="en-GB"/>
              </w:rPr>
              <w:tab/>
              <w:t>National Breastfeeding Policy (1990)</w:t>
            </w:r>
          </w:p>
          <w:p w:rsidR="00000000" w:rsidRDefault="00000000">
            <w:pPr>
              <w:pStyle w:val="DualTxt"/>
              <w:ind w:left="480" w:hanging="480"/>
              <w:rPr>
                <w:i/>
                <w:lang w:val="en-GB"/>
              </w:rPr>
            </w:pPr>
            <w:r>
              <w:rPr>
                <w:i/>
                <w:lang w:val="en-GB"/>
              </w:rPr>
              <w:t>vi.</w:t>
            </w:r>
            <w:r>
              <w:rPr>
                <w:i/>
                <w:lang w:val="en-GB"/>
              </w:rPr>
              <w:tab/>
              <w:t>National Reproductive Health Policy and Stra</w:t>
            </w:r>
            <w:r>
              <w:rPr>
                <w:i/>
                <w:lang w:val="en-GB"/>
              </w:rPr>
              <w:t>t</w:t>
            </w:r>
            <w:r>
              <w:rPr>
                <w:i/>
                <w:lang w:val="en-GB"/>
              </w:rPr>
              <w:t>egy (2001)</w:t>
            </w:r>
          </w:p>
          <w:p w:rsidR="00000000" w:rsidRDefault="00000000">
            <w:pPr>
              <w:pStyle w:val="DualTxt"/>
              <w:ind w:left="480" w:hanging="480"/>
              <w:rPr>
                <w:i/>
                <w:lang w:val="en-GB"/>
              </w:rPr>
            </w:pPr>
            <w:r>
              <w:rPr>
                <w:i/>
                <w:lang w:val="en-GB"/>
              </w:rPr>
              <w:t>vii.</w:t>
            </w:r>
            <w:r>
              <w:rPr>
                <w:i/>
                <w:lang w:val="en-GB"/>
              </w:rPr>
              <w:tab/>
              <w:t>National Policy on Food and Nutrition in Nigeria (2001)</w:t>
            </w:r>
          </w:p>
          <w:p w:rsidR="00000000" w:rsidRDefault="00000000">
            <w:pPr>
              <w:pStyle w:val="DualTxt"/>
              <w:ind w:left="480" w:hanging="480"/>
              <w:rPr>
                <w:lang w:val="en-GB"/>
              </w:rPr>
            </w:pPr>
            <w:r>
              <w:rPr>
                <w:i/>
                <w:lang w:val="en-GB"/>
              </w:rPr>
              <w:t>viii.</w:t>
            </w:r>
            <w:r>
              <w:rPr>
                <w:i/>
                <w:lang w:val="en-GB"/>
              </w:rPr>
              <w:tab/>
              <w:t>National Policy on Population for Development, Unity, Progress and Self-Reliance (1988)</w:t>
            </w:r>
          </w:p>
        </w:tc>
      </w:tr>
      <w:tr w:rsidR="00000000">
        <w:tblPrEx>
          <w:tblCellMar>
            <w:top w:w="0" w:type="dxa"/>
            <w:bottom w:w="0" w:type="dxa"/>
          </w:tblCellMar>
        </w:tblPrEx>
        <w:tc>
          <w:tcPr>
            <w:tcW w:w="4925" w:type="dxa"/>
          </w:tcPr>
          <w:p w:rsidR="00000000" w:rsidRDefault="00000000">
            <w:pPr>
              <w:pStyle w:val="DualTxt"/>
              <w:suppressAutoHyphens/>
              <w:jc w:val="left"/>
            </w:pPr>
            <w:r>
              <w:t>10.</w:t>
            </w:r>
            <w:r>
              <w:tab/>
              <w:t>Protección jurídica de los derechos de la mujer</w:t>
            </w:r>
          </w:p>
        </w:tc>
        <w:tc>
          <w:tcPr>
            <w:tcW w:w="4993" w:type="dxa"/>
          </w:tcPr>
          <w:p w:rsidR="00000000" w:rsidRDefault="00000000">
            <w:pPr>
              <w:pStyle w:val="DualTxt"/>
              <w:suppressAutoHyphens/>
              <w:jc w:val="left"/>
            </w:pPr>
            <w:r>
              <w:rPr>
                <w:i/>
                <w:lang w:val="en-GB"/>
              </w:rPr>
              <w:t>A Compilation of Domestic and International Standards</w:t>
            </w:r>
            <w:r>
              <w:rPr>
                <w:lang w:val="en-GB"/>
              </w:rPr>
              <w:t>, publicada por Shelter Rights Initiative, Lagos 2001.</w:t>
            </w:r>
            <w:r>
              <w:rPr>
                <w:lang w:val="en-GB"/>
              </w:rPr>
              <w:br w:type="column"/>
            </w:r>
          </w:p>
        </w:tc>
      </w:tr>
      <w:tr w:rsidR="00000000">
        <w:tblPrEx>
          <w:tblCellMar>
            <w:top w:w="0" w:type="dxa"/>
            <w:bottom w:w="0" w:type="dxa"/>
          </w:tblCellMar>
        </w:tblPrEx>
        <w:tc>
          <w:tcPr>
            <w:tcW w:w="4925" w:type="dxa"/>
          </w:tcPr>
          <w:p w:rsidR="00000000" w:rsidRDefault="00000000">
            <w:pPr>
              <w:pStyle w:val="DualTxt"/>
              <w:suppressAutoHyphens/>
              <w:ind w:left="480" w:hanging="480"/>
              <w:jc w:val="left"/>
              <w:rPr>
                <w:lang w:val="en-US"/>
              </w:rPr>
            </w:pPr>
            <w:r>
              <w:t>11.</w:t>
            </w:r>
            <w:r>
              <w:tab/>
            </w:r>
            <w:r>
              <w:rPr>
                <w:i/>
              </w:rPr>
              <w:t>Update on Women</w:t>
            </w:r>
            <w:r>
              <w:rPr>
                <w:i/>
                <w:lang w:val="en-US"/>
              </w:rPr>
              <w:t>’s Socio-Economic Rights in Nigeria</w:t>
            </w:r>
          </w:p>
        </w:tc>
        <w:tc>
          <w:tcPr>
            <w:tcW w:w="4993" w:type="dxa"/>
          </w:tcPr>
          <w:p w:rsidR="00000000" w:rsidRDefault="00000000">
            <w:pPr>
              <w:pStyle w:val="DualTxt"/>
              <w:suppressAutoHyphens/>
              <w:jc w:val="left"/>
            </w:pPr>
            <w:r>
              <w:rPr>
                <w:lang w:val="en-GB"/>
              </w:rPr>
              <w:t>Por R. U. Onyegu y J. Essiet, Shelter Rights Initiative, Lagos 2002</w:t>
            </w:r>
          </w:p>
        </w:tc>
      </w:tr>
      <w:tr w:rsidR="00000000">
        <w:tblPrEx>
          <w:tblCellMar>
            <w:top w:w="0" w:type="dxa"/>
            <w:bottom w:w="0" w:type="dxa"/>
          </w:tblCellMar>
        </w:tblPrEx>
        <w:tc>
          <w:tcPr>
            <w:tcW w:w="4925" w:type="dxa"/>
          </w:tcPr>
          <w:p w:rsidR="00000000" w:rsidRDefault="00000000">
            <w:pPr>
              <w:pStyle w:val="DualTxt"/>
              <w:suppressAutoHyphens/>
              <w:ind w:left="480" w:right="144" w:hanging="480"/>
              <w:jc w:val="left"/>
            </w:pPr>
            <w:r>
              <w:t>12.</w:t>
            </w:r>
            <w:r>
              <w:tab/>
              <w:t>Ladan, M.T.</w:t>
            </w:r>
          </w:p>
        </w:tc>
        <w:tc>
          <w:tcPr>
            <w:tcW w:w="4993" w:type="dxa"/>
          </w:tcPr>
          <w:p w:rsidR="00000000" w:rsidRDefault="00000000">
            <w:pPr>
              <w:pStyle w:val="DualTxt"/>
              <w:suppressAutoHyphens/>
              <w:jc w:val="left"/>
            </w:pPr>
            <w:r>
              <w:rPr>
                <w:i/>
                <w:lang w:val="en-GB"/>
              </w:rPr>
              <w:t>Introduction to International Human Rights and Humanitarian Laws</w:t>
            </w:r>
            <w:r>
              <w:rPr>
                <w:lang w:val="en-GB"/>
              </w:rPr>
              <w:t>, 2001, Ahmadu Bello University Press, Zaria, Nigeria, capítulo 3</w:t>
            </w:r>
          </w:p>
        </w:tc>
      </w:tr>
      <w:tr w:rsidR="00000000">
        <w:tblPrEx>
          <w:tblCellMar>
            <w:top w:w="0" w:type="dxa"/>
            <w:bottom w:w="0" w:type="dxa"/>
          </w:tblCellMar>
        </w:tblPrEx>
        <w:tc>
          <w:tcPr>
            <w:tcW w:w="4925" w:type="dxa"/>
          </w:tcPr>
          <w:p w:rsidR="00000000" w:rsidRDefault="00000000">
            <w:pPr>
              <w:pStyle w:val="DualTxt"/>
              <w:suppressAutoHyphens/>
              <w:jc w:val="left"/>
            </w:pPr>
            <w:r>
              <w:t>13.</w:t>
            </w:r>
            <w:r>
              <w:tab/>
              <w:t>Ladan, M.T.</w:t>
            </w:r>
          </w:p>
        </w:tc>
        <w:tc>
          <w:tcPr>
            <w:tcW w:w="4993" w:type="dxa"/>
          </w:tcPr>
          <w:p w:rsidR="00000000" w:rsidRDefault="00000000">
            <w:pPr>
              <w:pStyle w:val="DualTxt"/>
              <w:suppressAutoHyphens/>
              <w:jc w:val="left"/>
            </w:pPr>
            <w:r>
              <w:rPr>
                <w:i/>
                <w:lang w:val="en-GB"/>
              </w:rPr>
              <w:t>Law, Human Rights and the Administration of Justice in Nigeria</w:t>
            </w:r>
            <w:r>
              <w:rPr>
                <w:lang w:val="en-GB"/>
              </w:rPr>
              <w:t xml:space="preserve"> (ed) 2001, Ahmadu Bello University Press, Zaria, Nigeria, págs. 66-96 y 183-217.</w:t>
            </w:r>
          </w:p>
        </w:tc>
      </w:tr>
      <w:tr w:rsidR="00000000">
        <w:tblPrEx>
          <w:tblCellMar>
            <w:top w:w="0" w:type="dxa"/>
            <w:bottom w:w="0" w:type="dxa"/>
          </w:tblCellMar>
        </w:tblPrEx>
        <w:tc>
          <w:tcPr>
            <w:tcW w:w="4925" w:type="dxa"/>
          </w:tcPr>
          <w:p w:rsidR="00000000" w:rsidRDefault="00000000">
            <w:pPr>
              <w:pStyle w:val="DualTxt"/>
              <w:suppressAutoHyphens/>
              <w:ind w:left="480" w:right="144" w:hanging="480"/>
              <w:jc w:val="left"/>
            </w:pPr>
            <w:r>
              <w:t>14.</w:t>
            </w:r>
            <w:r>
              <w:tab/>
              <w:t>UNESCO</w:t>
            </w:r>
          </w:p>
        </w:tc>
        <w:tc>
          <w:tcPr>
            <w:tcW w:w="4993" w:type="dxa"/>
          </w:tcPr>
          <w:p w:rsidR="00000000" w:rsidRDefault="00000000">
            <w:pPr>
              <w:pStyle w:val="DualTxt"/>
              <w:suppressAutoHyphens/>
              <w:jc w:val="left"/>
            </w:pPr>
            <w:r>
              <w:rPr>
                <w:lang w:val="en-GB"/>
              </w:rPr>
              <w:t xml:space="preserve">Janusz, S. y Vladimir V., </w:t>
            </w:r>
            <w:r>
              <w:rPr>
                <w:i/>
                <w:lang w:val="en-GB"/>
              </w:rPr>
              <w:t>Human Rights of Women</w:t>
            </w:r>
            <w:r>
              <w:rPr>
                <w:lang w:val="en-GB"/>
              </w:rPr>
              <w:t>, 1999</w:t>
            </w:r>
          </w:p>
        </w:tc>
      </w:tr>
      <w:tr w:rsidR="00000000">
        <w:tblPrEx>
          <w:tblCellMar>
            <w:top w:w="0" w:type="dxa"/>
            <w:bottom w:w="0" w:type="dxa"/>
          </w:tblCellMar>
        </w:tblPrEx>
        <w:tc>
          <w:tcPr>
            <w:tcW w:w="4925" w:type="dxa"/>
          </w:tcPr>
          <w:p w:rsidR="00000000" w:rsidRDefault="00000000">
            <w:pPr>
              <w:pStyle w:val="DualTxt"/>
              <w:suppressAutoHyphens/>
              <w:jc w:val="left"/>
            </w:pPr>
            <w:r>
              <w:t>15.</w:t>
            </w:r>
            <w:r>
              <w:tab/>
              <w:t>Abiola, A.A. y Akinbode R.</w:t>
            </w:r>
          </w:p>
        </w:tc>
        <w:tc>
          <w:tcPr>
            <w:tcW w:w="4993" w:type="dxa"/>
          </w:tcPr>
          <w:p w:rsidR="00000000" w:rsidRDefault="00000000">
            <w:pPr>
              <w:pStyle w:val="DualTxt"/>
              <w:suppressAutoHyphens/>
              <w:jc w:val="left"/>
            </w:pPr>
            <w:r>
              <w:rPr>
                <w:i/>
                <w:lang w:val="en-GB"/>
              </w:rPr>
              <w:t>Women and Constitutionalism in Nigeria</w:t>
            </w:r>
            <w:r>
              <w:rPr>
                <w:lang w:val="en-GB"/>
              </w:rPr>
              <w:t>, 2001, publicado por WARD C, Lagos.</w:t>
            </w:r>
          </w:p>
        </w:tc>
      </w:tr>
      <w:tr w:rsidR="00000000">
        <w:tblPrEx>
          <w:tblCellMar>
            <w:top w:w="0" w:type="dxa"/>
            <w:bottom w:w="0" w:type="dxa"/>
          </w:tblCellMar>
        </w:tblPrEx>
        <w:tc>
          <w:tcPr>
            <w:tcW w:w="4925" w:type="dxa"/>
          </w:tcPr>
          <w:p w:rsidR="00000000" w:rsidRDefault="00000000">
            <w:pPr>
              <w:pStyle w:val="DualTxt"/>
              <w:suppressAutoHyphens/>
              <w:ind w:left="480" w:hanging="480"/>
              <w:jc w:val="left"/>
            </w:pPr>
            <w:r>
              <w:t>16.</w:t>
            </w:r>
            <w:r>
              <w:tab/>
              <w:t>Centro de Derechos Humanos de las Naciones Unidas, Ginebra</w:t>
            </w:r>
          </w:p>
        </w:tc>
        <w:tc>
          <w:tcPr>
            <w:tcW w:w="4993" w:type="dxa"/>
          </w:tcPr>
          <w:p w:rsidR="00000000" w:rsidRDefault="00000000">
            <w:pPr>
              <w:pStyle w:val="DualTxt"/>
              <w:suppressAutoHyphens/>
              <w:jc w:val="left"/>
            </w:pPr>
            <w:r>
              <w:rPr>
                <w:lang w:val="en-GB"/>
              </w:rPr>
              <w:t xml:space="preserve">Hoja informativa No. 22, </w:t>
            </w:r>
            <w:r>
              <w:rPr>
                <w:i/>
                <w:lang w:val="en-GB"/>
              </w:rPr>
              <w:t>Discrimination Against Women: The Convention and the Committee</w:t>
            </w:r>
            <w:r>
              <w:rPr>
                <w:lang w:val="en-GB"/>
              </w:rPr>
              <w:t>, 1994</w:t>
            </w:r>
          </w:p>
        </w:tc>
      </w:tr>
      <w:tr w:rsidR="00000000">
        <w:tblPrEx>
          <w:tblCellMar>
            <w:top w:w="0" w:type="dxa"/>
            <w:bottom w:w="0" w:type="dxa"/>
          </w:tblCellMar>
        </w:tblPrEx>
        <w:tc>
          <w:tcPr>
            <w:tcW w:w="4925" w:type="dxa"/>
          </w:tcPr>
          <w:p w:rsidR="00000000" w:rsidRDefault="00000000">
            <w:pPr>
              <w:pStyle w:val="DualTxt"/>
              <w:suppressAutoHyphens/>
              <w:jc w:val="left"/>
            </w:pPr>
            <w:r>
              <w:t>17.</w:t>
            </w:r>
            <w:r>
              <w:tab/>
              <w:t>Ezeilo, Joy</w:t>
            </w:r>
          </w:p>
        </w:tc>
        <w:tc>
          <w:tcPr>
            <w:tcW w:w="4993" w:type="dxa"/>
          </w:tcPr>
          <w:p w:rsidR="00000000" w:rsidRDefault="00000000">
            <w:pPr>
              <w:pStyle w:val="DualTxt"/>
              <w:suppressAutoHyphens/>
              <w:jc w:val="left"/>
            </w:pPr>
            <w:r>
              <w:rPr>
                <w:i/>
                <w:lang w:val="en-GB"/>
              </w:rPr>
              <w:t>Women and Children’s Rights in Nigeria</w:t>
            </w:r>
            <w:r>
              <w:rPr>
                <w:lang w:val="en-GB"/>
              </w:rPr>
              <w:t>, 2001, publicado por Women’s Aid Collective, Enugu (Nigeria)</w:t>
            </w:r>
          </w:p>
        </w:tc>
      </w:tr>
      <w:tr w:rsidR="00000000">
        <w:tblPrEx>
          <w:tblCellMar>
            <w:top w:w="0" w:type="dxa"/>
            <w:bottom w:w="0" w:type="dxa"/>
          </w:tblCellMar>
        </w:tblPrEx>
        <w:tc>
          <w:tcPr>
            <w:tcW w:w="4925" w:type="dxa"/>
          </w:tcPr>
          <w:p w:rsidR="00000000" w:rsidRDefault="00000000">
            <w:pPr>
              <w:pStyle w:val="DualTxt"/>
              <w:suppressAutoHyphens/>
              <w:jc w:val="left"/>
            </w:pPr>
            <w:r>
              <w:t>18.</w:t>
            </w:r>
            <w:r>
              <w:tab/>
              <w:t>UNIFEM Y cinu, Lagos (Nigeria)</w:t>
            </w:r>
          </w:p>
        </w:tc>
        <w:tc>
          <w:tcPr>
            <w:tcW w:w="4993" w:type="dxa"/>
          </w:tcPr>
          <w:p w:rsidR="00000000" w:rsidRDefault="00000000">
            <w:pPr>
              <w:pStyle w:val="DualTxt"/>
              <w:suppressAutoHyphens/>
              <w:jc w:val="left"/>
            </w:pPr>
            <w:r>
              <w:rPr>
                <w:i/>
                <w:lang w:val="en-GB"/>
              </w:rPr>
              <w:t>Beijing Declaration and Platform for Action</w:t>
            </w:r>
            <w:r>
              <w:rPr>
                <w:lang w:val="en-GB"/>
              </w:rPr>
              <w:t>, 1995</w:t>
            </w:r>
          </w:p>
        </w:tc>
      </w:tr>
      <w:tr w:rsidR="00000000">
        <w:tblPrEx>
          <w:tblCellMar>
            <w:top w:w="0" w:type="dxa"/>
            <w:bottom w:w="0" w:type="dxa"/>
          </w:tblCellMar>
        </w:tblPrEx>
        <w:tc>
          <w:tcPr>
            <w:tcW w:w="4925" w:type="dxa"/>
          </w:tcPr>
          <w:p w:rsidR="00000000" w:rsidRDefault="00000000">
            <w:pPr>
              <w:pStyle w:val="DualTxt"/>
              <w:suppressAutoHyphens/>
              <w:jc w:val="left"/>
            </w:pPr>
            <w:r>
              <w:t>19.</w:t>
            </w:r>
            <w:r>
              <w:tab/>
              <w:t>Declaración de Abuja sobre la trata de pers</w:t>
            </w:r>
            <w:r>
              <w:t>o</w:t>
            </w:r>
            <w:r>
              <w:t>nas</w:t>
            </w:r>
          </w:p>
        </w:tc>
        <w:tc>
          <w:tcPr>
            <w:tcW w:w="4993" w:type="dxa"/>
          </w:tcPr>
          <w:p w:rsidR="00000000" w:rsidRDefault="00000000">
            <w:pPr>
              <w:pStyle w:val="DualTxt"/>
              <w:suppressAutoHyphens/>
              <w:jc w:val="left"/>
            </w:pPr>
            <w:r>
              <w:rPr>
                <w:i/>
                <w:lang w:val="en-GB"/>
              </w:rPr>
              <w:t>Women Trafficking and Child Labour</w:t>
            </w:r>
            <w:r>
              <w:rPr>
                <w:lang w:val="en-GB"/>
              </w:rPr>
              <w:t xml:space="preserve"> </w:t>
            </w:r>
            <w:r>
              <w:rPr>
                <w:lang w:val="en-GB"/>
              </w:rPr>
              <w:br/>
              <w:t>Eradication Foundation 2001 (WOTCLEF)</w:t>
            </w:r>
          </w:p>
        </w:tc>
      </w:tr>
    </w:tbl>
    <w:p w:rsidR="00000000" w:rsidRDefault="00000000">
      <w:pPr>
        <w:pStyle w:val="SingleTxt"/>
        <w:spacing w:after="0" w:line="240" w:lineRule="auto"/>
      </w:pPr>
      <w:r>
        <w:rPr>
          <w:noProof/>
          <w:w w:val="100"/>
        </w:rPr>
        <w:pict>
          <v:line id="_x0000_s2702" style="position:absolute;left:0;text-align:left;z-index:4;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NO&gt;&gt;N0334568S&lt;&lt;ODS JOB NO&gt;&gt;</w:t>
      </w:r>
    </w:p>
    <w:p w:rsidR="00000000" w:rsidRDefault="00000000">
      <w:pPr>
        <w:pStyle w:val="CommentText"/>
      </w:pPr>
      <w:r>
        <w:t>&lt;&lt;ODS DOC SYMBOL1&gt;&gt;CEDAW/C/NGA/4-5&lt;&lt;ODS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0334568s.doc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0334568s.doc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03-34568 (S)    180803    220803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*0334568*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CEDAW/C/NGA/4-5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CEDAW/C/NGA/4-5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/C/NGA/4-5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28 de abril de 2003</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73</w:t>
    </w:r>
    <w:r>
      <w:rPr>
        <w:rStyle w:val="PageNumber"/>
      </w:rPr>
      <w:fldChar w:fldCharType="end"/>
    </w:r>
  </w:p>
  <w:p w:rsidR="00000000" w:rsidRDefault="00000000">
    <w:pPr>
      <w:pStyle w:val="Header"/>
      <w:ind w:right="360"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outside" w:y="1"/>
      <w:rPr>
        <w:rStyle w:val="PageNumber"/>
      </w:rPr>
    </w:pPr>
  </w:p>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CEDAW/C/NGA/4-5</w:t>
          </w:r>
        </w:p>
      </w:tc>
    </w:tr>
  </w:tbl>
  <w:p w:rsidR="00000000" w:rsidRDefault="00000000">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7611C"/>
    <w:multiLevelType w:val="singleLevel"/>
    <w:tmpl w:val="9A369E76"/>
    <w:lvl w:ilvl="0">
      <w:start w:val="8"/>
      <w:numFmt w:val="decimal"/>
      <w:lvlRestart w:val="0"/>
      <w:lvlText w:val="%1."/>
      <w:lvlJc w:val="left"/>
      <w:pPr>
        <w:tabs>
          <w:tab w:val="num" w:pos="475"/>
        </w:tabs>
        <w:ind w:left="0" w:firstLine="0"/>
      </w:pPr>
    </w:lvl>
  </w:abstractNum>
  <w:abstractNum w:abstractNumId="1">
    <w:nsid w:val="045568FB"/>
    <w:multiLevelType w:val="multilevel"/>
    <w:tmpl w:val="4E62929C"/>
    <w:lvl w:ilvl="0">
      <w:start w:val="1"/>
      <w:numFmt w:val="decimal"/>
      <w:lvlText w:val="%1.0"/>
      <w:lvlJc w:val="left"/>
      <w:pPr>
        <w:tabs>
          <w:tab w:val="num" w:pos="705"/>
        </w:tabs>
        <w:ind w:left="705" w:hanging="705"/>
      </w:pPr>
      <w:rPr>
        <w:rFonts w:hint="default"/>
      </w:rPr>
    </w:lvl>
    <w:lvl w:ilvl="1">
      <w:start w:val="1"/>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74C19CA"/>
    <w:multiLevelType w:val="multilevel"/>
    <w:tmpl w:val="0D164B1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1410"/>
        </w:tabs>
        <w:ind w:left="1410" w:hanging="70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3">
    <w:nsid w:val="08915992"/>
    <w:multiLevelType w:val="multilevel"/>
    <w:tmpl w:val="FAD0B7F2"/>
    <w:lvl w:ilvl="0">
      <w:start w:val="1"/>
      <w:numFmt w:val="decimal"/>
      <w:lvlText w:val="%1"/>
      <w:lvlJc w:val="left"/>
      <w:pPr>
        <w:tabs>
          <w:tab w:val="num" w:pos="705"/>
        </w:tabs>
        <w:ind w:left="705" w:hanging="705"/>
      </w:pPr>
      <w:rPr>
        <w:rFonts w:hint="default"/>
        <w:i/>
      </w:rPr>
    </w:lvl>
    <w:lvl w:ilvl="1">
      <w:start w:val="2"/>
      <w:numFmt w:val="decimal"/>
      <w:lvlText w:val="%1.%2"/>
      <w:lvlJc w:val="left"/>
      <w:pPr>
        <w:tabs>
          <w:tab w:val="num" w:pos="705"/>
        </w:tabs>
        <w:ind w:left="705" w:hanging="705"/>
      </w:pPr>
      <w:rPr>
        <w:rFonts w:hint="default"/>
        <w:i/>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4">
    <w:nsid w:val="0A092A3B"/>
    <w:multiLevelType w:val="multilevel"/>
    <w:tmpl w:val="C8B66C04"/>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5">
    <w:nsid w:val="0BD52597"/>
    <w:multiLevelType w:val="multilevel"/>
    <w:tmpl w:val="82C4218E"/>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6">
    <w:nsid w:val="0DDF57E9"/>
    <w:multiLevelType w:val="multilevel"/>
    <w:tmpl w:val="D134312C"/>
    <w:lvl w:ilvl="0">
      <w:start w:val="17"/>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0F474E43"/>
    <w:multiLevelType w:val="multilevel"/>
    <w:tmpl w:val="493850BA"/>
    <w:lvl w:ilvl="0">
      <w:start w:val="2"/>
      <w:numFmt w:val="decimal"/>
      <w:lvlText w:val="%1.0"/>
      <w:lvlJc w:val="left"/>
      <w:pPr>
        <w:tabs>
          <w:tab w:val="num" w:pos="1410"/>
        </w:tabs>
        <w:ind w:left="1410" w:hanging="1050"/>
      </w:pPr>
      <w:rPr>
        <w:rFonts w:hint="default"/>
      </w:rPr>
    </w:lvl>
    <w:lvl w:ilvl="1">
      <w:start w:val="1"/>
      <w:numFmt w:val="decimal"/>
      <w:lvlText w:val="%1.%2"/>
      <w:lvlJc w:val="left"/>
      <w:pPr>
        <w:tabs>
          <w:tab w:val="num" w:pos="2118"/>
        </w:tabs>
        <w:ind w:left="2118" w:hanging="1050"/>
      </w:pPr>
      <w:rPr>
        <w:rFonts w:hint="default"/>
      </w:rPr>
    </w:lvl>
    <w:lvl w:ilvl="2">
      <w:start w:val="1"/>
      <w:numFmt w:val="decimal"/>
      <w:lvlText w:val="%1.%2.%3"/>
      <w:lvlJc w:val="left"/>
      <w:pPr>
        <w:tabs>
          <w:tab w:val="num" w:pos="2826"/>
        </w:tabs>
        <w:ind w:left="2826" w:hanging="1050"/>
      </w:pPr>
      <w:rPr>
        <w:rFonts w:hint="default"/>
      </w:rPr>
    </w:lvl>
    <w:lvl w:ilvl="3">
      <w:start w:val="1"/>
      <w:numFmt w:val="decimal"/>
      <w:lvlText w:val="%1.%2.%3.%4"/>
      <w:lvlJc w:val="left"/>
      <w:pPr>
        <w:tabs>
          <w:tab w:val="num" w:pos="3534"/>
        </w:tabs>
        <w:ind w:left="3534" w:hanging="1050"/>
      </w:pPr>
      <w:rPr>
        <w:rFonts w:hint="default"/>
      </w:rPr>
    </w:lvl>
    <w:lvl w:ilvl="4">
      <w:start w:val="1"/>
      <w:numFmt w:val="decimal"/>
      <w:lvlText w:val="%1.%2.%3.%4.%5"/>
      <w:lvlJc w:val="left"/>
      <w:pPr>
        <w:tabs>
          <w:tab w:val="num" w:pos="4272"/>
        </w:tabs>
        <w:ind w:left="4272" w:hanging="1080"/>
      </w:pPr>
      <w:rPr>
        <w:rFonts w:hint="default"/>
      </w:rPr>
    </w:lvl>
    <w:lvl w:ilvl="5">
      <w:start w:val="1"/>
      <w:numFmt w:val="decimal"/>
      <w:lvlText w:val="%1.%2.%3.%4.%5.%6"/>
      <w:lvlJc w:val="left"/>
      <w:pPr>
        <w:tabs>
          <w:tab w:val="num" w:pos="4980"/>
        </w:tabs>
        <w:ind w:left="4980" w:hanging="1080"/>
      </w:pPr>
      <w:rPr>
        <w:rFonts w:hint="default"/>
      </w:rPr>
    </w:lvl>
    <w:lvl w:ilvl="6">
      <w:start w:val="1"/>
      <w:numFmt w:val="decimal"/>
      <w:lvlText w:val="%1.%2.%3.%4.%5.%6.%7"/>
      <w:lvlJc w:val="left"/>
      <w:pPr>
        <w:tabs>
          <w:tab w:val="num" w:pos="6048"/>
        </w:tabs>
        <w:ind w:left="6048" w:hanging="1440"/>
      </w:pPr>
      <w:rPr>
        <w:rFonts w:hint="default"/>
      </w:rPr>
    </w:lvl>
    <w:lvl w:ilvl="7">
      <w:start w:val="1"/>
      <w:numFmt w:val="decimal"/>
      <w:lvlText w:val="%1.%2.%3.%4.%5.%6.%7.%8"/>
      <w:lvlJc w:val="left"/>
      <w:pPr>
        <w:tabs>
          <w:tab w:val="num" w:pos="6756"/>
        </w:tabs>
        <w:ind w:left="6756" w:hanging="1440"/>
      </w:pPr>
      <w:rPr>
        <w:rFonts w:hint="default"/>
      </w:rPr>
    </w:lvl>
    <w:lvl w:ilvl="8">
      <w:start w:val="1"/>
      <w:numFmt w:val="decimal"/>
      <w:lvlText w:val="%1.%2.%3.%4.%5.%6.%7.%8.%9"/>
      <w:lvlJc w:val="left"/>
      <w:pPr>
        <w:tabs>
          <w:tab w:val="num" w:pos="7824"/>
        </w:tabs>
        <w:ind w:left="7824" w:hanging="1800"/>
      </w:pPr>
      <w:rPr>
        <w:rFonts w:hint="default"/>
      </w:rPr>
    </w:lvl>
  </w:abstractNum>
  <w:abstractNum w:abstractNumId="8">
    <w:nsid w:val="10571958"/>
    <w:multiLevelType w:val="multilevel"/>
    <w:tmpl w:val="01AEDD04"/>
    <w:lvl w:ilvl="0">
      <w:start w:val="1"/>
      <w:numFmt w:val="decimal"/>
      <w:lvlText w:val="%1.0"/>
      <w:lvlJc w:val="left"/>
      <w:pPr>
        <w:tabs>
          <w:tab w:val="num" w:pos="360"/>
        </w:tabs>
        <w:ind w:left="360" w:hanging="360"/>
      </w:pPr>
      <w:rPr>
        <w:rFonts w:hint="default"/>
        <w:b/>
      </w:rPr>
    </w:lvl>
    <w:lvl w:ilvl="1">
      <w:start w:val="1"/>
      <w:numFmt w:val="decimal"/>
      <w:lvlText w:val="%1.%2"/>
      <w:lvlJc w:val="left"/>
      <w:pPr>
        <w:tabs>
          <w:tab w:val="num" w:pos="1068"/>
        </w:tabs>
        <w:ind w:left="1068" w:hanging="360"/>
      </w:pPr>
      <w:rPr>
        <w:rFonts w:hint="default"/>
        <w:b/>
      </w:rPr>
    </w:lvl>
    <w:lvl w:ilvl="2">
      <w:start w:val="1"/>
      <w:numFmt w:val="decimal"/>
      <w:lvlText w:val="%1.%2.%3"/>
      <w:lvlJc w:val="left"/>
      <w:pPr>
        <w:tabs>
          <w:tab w:val="num" w:pos="2136"/>
        </w:tabs>
        <w:ind w:left="2136" w:hanging="720"/>
      </w:pPr>
      <w:rPr>
        <w:rFonts w:hint="default"/>
        <w:b/>
      </w:rPr>
    </w:lvl>
    <w:lvl w:ilvl="3">
      <w:start w:val="1"/>
      <w:numFmt w:val="decimal"/>
      <w:lvlText w:val="%1.%2.%3.%4"/>
      <w:lvlJc w:val="left"/>
      <w:pPr>
        <w:tabs>
          <w:tab w:val="num" w:pos="2844"/>
        </w:tabs>
        <w:ind w:left="2844" w:hanging="720"/>
      </w:pPr>
      <w:rPr>
        <w:rFonts w:hint="default"/>
        <w:b/>
      </w:rPr>
    </w:lvl>
    <w:lvl w:ilvl="4">
      <w:start w:val="1"/>
      <w:numFmt w:val="decimal"/>
      <w:lvlText w:val="%1.%2.%3.%4.%5"/>
      <w:lvlJc w:val="left"/>
      <w:pPr>
        <w:tabs>
          <w:tab w:val="num" w:pos="3912"/>
        </w:tabs>
        <w:ind w:left="3912" w:hanging="1080"/>
      </w:pPr>
      <w:rPr>
        <w:rFonts w:hint="default"/>
        <w:b/>
      </w:rPr>
    </w:lvl>
    <w:lvl w:ilvl="5">
      <w:start w:val="1"/>
      <w:numFmt w:val="decimal"/>
      <w:lvlText w:val="%1.%2.%3.%4.%5.%6"/>
      <w:lvlJc w:val="left"/>
      <w:pPr>
        <w:tabs>
          <w:tab w:val="num" w:pos="4620"/>
        </w:tabs>
        <w:ind w:left="4620" w:hanging="1080"/>
      </w:pPr>
      <w:rPr>
        <w:rFonts w:hint="default"/>
        <w:b/>
      </w:rPr>
    </w:lvl>
    <w:lvl w:ilvl="6">
      <w:start w:val="1"/>
      <w:numFmt w:val="decimal"/>
      <w:lvlText w:val="%1.%2.%3.%4.%5.%6.%7"/>
      <w:lvlJc w:val="left"/>
      <w:pPr>
        <w:tabs>
          <w:tab w:val="num" w:pos="5688"/>
        </w:tabs>
        <w:ind w:left="5688" w:hanging="1440"/>
      </w:pPr>
      <w:rPr>
        <w:rFonts w:hint="default"/>
        <w:b/>
      </w:rPr>
    </w:lvl>
    <w:lvl w:ilvl="7">
      <w:start w:val="1"/>
      <w:numFmt w:val="decimal"/>
      <w:lvlText w:val="%1.%2.%3.%4.%5.%6.%7.%8"/>
      <w:lvlJc w:val="left"/>
      <w:pPr>
        <w:tabs>
          <w:tab w:val="num" w:pos="6396"/>
        </w:tabs>
        <w:ind w:left="6396" w:hanging="1440"/>
      </w:pPr>
      <w:rPr>
        <w:rFonts w:hint="default"/>
        <w:b/>
      </w:rPr>
    </w:lvl>
    <w:lvl w:ilvl="8">
      <w:start w:val="1"/>
      <w:numFmt w:val="decimal"/>
      <w:lvlText w:val="%1.%2.%3.%4.%5.%6.%7.%8.%9"/>
      <w:lvlJc w:val="left"/>
      <w:pPr>
        <w:tabs>
          <w:tab w:val="num" w:pos="7464"/>
        </w:tabs>
        <w:ind w:left="7464" w:hanging="1800"/>
      </w:pPr>
      <w:rPr>
        <w:rFonts w:hint="default"/>
        <w:b/>
      </w:rPr>
    </w:lvl>
  </w:abstractNum>
  <w:abstractNum w:abstractNumId="9">
    <w:nsid w:val="10985808"/>
    <w:multiLevelType w:val="multilevel"/>
    <w:tmpl w:val="D5D022D8"/>
    <w:lvl w:ilvl="0">
      <w:start w:val="16"/>
      <w:numFmt w:val="decimal"/>
      <w:lvlText w:val="%1"/>
      <w:lvlJc w:val="left"/>
      <w:pPr>
        <w:tabs>
          <w:tab w:val="num" w:pos="1050"/>
        </w:tabs>
        <w:ind w:left="1050" w:hanging="1050"/>
      </w:pPr>
      <w:rPr>
        <w:rFonts w:hint="default"/>
      </w:rPr>
    </w:lvl>
    <w:lvl w:ilvl="1">
      <w:start w:val="2"/>
      <w:numFmt w:val="decimal"/>
      <w:lvlText w:val="%1.%2"/>
      <w:lvlJc w:val="left"/>
      <w:pPr>
        <w:tabs>
          <w:tab w:val="num" w:pos="1410"/>
        </w:tabs>
        <w:ind w:left="1410" w:hanging="1050"/>
      </w:pPr>
      <w:rPr>
        <w:rFonts w:hint="default"/>
      </w:rPr>
    </w:lvl>
    <w:lvl w:ilvl="2">
      <w:start w:val="1"/>
      <w:numFmt w:val="decimal"/>
      <w:lvlText w:val="%1.%2.%3"/>
      <w:lvlJc w:val="left"/>
      <w:pPr>
        <w:tabs>
          <w:tab w:val="num" w:pos="1770"/>
        </w:tabs>
        <w:ind w:left="1770" w:hanging="1050"/>
      </w:pPr>
      <w:rPr>
        <w:rFonts w:hint="default"/>
      </w:rPr>
    </w:lvl>
    <w:lvl w:ilvl="3">
      <w:start w:val="1"/>
      <w:numFmt w:val="decimal"/>
      <w:lvlText w:val="%1.%2.%3.%4"/>
      <w:lvlJc w:val="left"/>
      <w:pPr>
        <w:tabs>
          <w:tab w:val="num" w:pos="2130"/>
        </w:tabs>
        <w:ind w:left="2130" w:hanging="105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11AD5165"/>
    <w:multiLevelType w:val="multilevel"/>
    <w:tmpl w:val="9EBC119A"/>
    <w:lvl w:ilvl="0">
      <w:start w:val="12"/>
      <w:numFmt w:val="decimal"/>
      <w:lvlText w:val="%1"/>
      <w:lvlJc w:val="left"/>
      <w:pPr>
        <w:tabs>
          <w:tab w:val="num" w:pos="420"/>
        </w:tabs>
        <w:ind w:left="420" w:hanging="420"/>
      </w:pPr>
      <w:rPr>
        <w:rFonts w:hint="default"/>
      </w:rPr>
    </w:lvl>
    <w:lvl w:ilvl="1">
      <w:start w:val="6"/>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2156763"/>
    <w:multiLevelType w:val="multilevel"/>
    <w:tmpl w:val="039CE352"/>
    <w:lvl w:ilvl="0">
      <w:start w:val="5"/>
      <w:numFmt w:val="decimal"/>
      <w:lvlText w:val="%1"/>
      <w:lvlJc w:val="left"/>
      <w:pPr>
        <w:tabs>
          <w:tab w:val="num" w:pos="705"/>
        </w:tabs>
        <w:ind w:left="705" w:hanging="705"/>
      </w:pPr>
      <w:rPr>
        <w:rFonts w:hint="default"/>
        <w:b/>
        <w:i/>
      </w:rPr>
    </w:lvl>
    <w:lvl w:ilvl="1">
      <w:start w:val="2"/>
      <w:numFmt w:val="decimal"/>
      <w:lvlText w:val="%1.%2"/>
      <w:lvlJc w:val="left"/>
      <w:pPr>
        <w:tabs>
          <w:tab w:val="num" w:pos="705"/>
        </w:tabs>
        <w:ind w:left="705" w:hanging="705"/>
      </w:pPr>
      <w:rPr>
        <w:rFonts w:hint="default"/>
        <w:b/>
        <w:i/>
      </w:rPr>
    </w:lvl>
    <w:lvl w:ilvl="2">
      <w:start w:val="1"/>
      <w:numFmt w:val="decimal"/>
      <w:lvlText w:val="%1.%2.%3"/>
      <w:lvlJc w:val="left"/>
      <w:pPr>
        <w:tabs>
          <w:tab w:val="num" w:pos="720"/>
        </w:tabs>
        <w:ind w:left="720" w:hanging="720"/>
      </w:pPr>
      <w:rPr>
        <w:rFonts w:hint="default"/>
        <w:b/>
        <w:i/>
      </w:rPr>
    </w:lvl>
    <w:lvl w:ilvl="3">
      <w:start w:val="1"/>
      <w:numFmt w:val="decimal"/>
      <w:lvlText w:val="%1.%2.%3.%4"/>
      <w:lvlJc w:val="left"/>
      <w:pPr>
        <w:tabs>
          <w:tab w:val="num" w:pos="720"/>
        </w:tabs>
        <w:ind w:left="720" w:hanging="72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080"/>
        </w:tabs>
        <w:ind w:left="1080" w:hanging="1080"/>
      </w:pPr>
      <w:rPr>
        <w:rFonts w:hint="default"/>
        <w:b/>
        <w:i/>
      </w:rPr>
    </w:lvl>
    <w:lvl w:ilvl="6">
      <w:start w:val="1"/>
      <w:numFmt w:val="decimal"/>
      <w:lvlText w:val="%1.%2.%3.%4.%5.%6.%7"/>
      <w:lvlJc w:val="left"/>
      <w:pPr>
        <w:tabs>
          <w:tab w:val="num" w:pos="1440"/>
        </w:tabs>
        <w:ind w:left="1440" w:hanging="1440"/>
      </w:pPr>
      <w:rPr>
        <w:rFonts w:hint="default"/>
        <w:b/>
        <w:i/>
      </w:rPr>
    </w:lvl>
    <w:lvl w:ilvl="7">
      <w:start w:val="1"/>
      <w:numFmt w:val="decimal"/>
      <w:lvlText w:val="%1.%2.%3.%4.%5.%6.%7.%8"/>
      <w:lvlJc w:val="left"/>
      <w:pPr>
        <w:tabs>
          <w:tab w:val="num" w:pos="1440"/>
        </w:tabs>
        <w:ind w:left="1440" w:hanging="1440"/>
      </w:pPr>
      <w:rPr>
        <w:rFonts w:hint="default"/>
        <w:b/>
        <w:i/>
      </w:rPr>
    </w:lvl>
    <w:lvl w:ilvl="8">
      <w:start w:val="1"/>
      <w:numFmt w:val="decimal"/>
      <w:lvlText w:val="%1.%2.%3.%4.%5.%6.%7.%8.%9"/>
      <w:lvlJc w:val="left"/>
      <w:pPr>
        <w:tabs>
          <w:tab w:val="num" w:pos="1800"/>
        </w:tabs>
        <w:ind w:left="1800" w:hanging="1800"/>
      </w:pPr>
      <w:rPr>
        <w:rFonts w:hint="default"/>
        <w:b/>
        <w:i/>
      </w:rPr>
    </w:lvl>
  </w:abstractNum>
  <w:abstractNum w:abstractNumId="12">
    <w:nsid w:val="14A47B0F"/>
    <w:multiLevelType w:val="multilevel"/>
    <w:tmpl w:val="9F0AA9CE"/>
    <w:lvl w:ilvl="0">
      <w:start w:val="7"/>
      <w:numFmt w:val="decimal"/>
      <w:lvlText w:val="%1"/>
      <w:lvlJc w:val="left"/>
      <w:pPr>
        <w:tabs>
          <w:tab w:val="num" w:pos="705"/>
        </w:tabs>
        <w:ind w:left="705" w:hanging="705"/>
      </w:pPr>
      <w:rPr>
        <w:rFonts w:hint="default"/>
      </w:rPr>
    </w:lvl>
    <w:lvl w:ilvl="1">
      <w:start w:val="2"/>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3">
    <w:nsid w:val="17140B74"/>
    <w:multiLevelType w:val="multilevel"/>
    <w:tmpl w:val="1270C704"/>
    <w:lvl w:ilvl="0">
      <w:start w:val="15"/>
      <w:numFmt w:val="decimal"/>
      <w:lvlText w:val="%1"/>
      <w:lvlJc w:val="left"/>
      <w:pPr>
        <w:tabs>
          <w:tab w:val="num" w:pos="705"/>
        </w:tabs>
        <w:ind w:left="705" w:hanging="705"/>
      </w:pPr>
      <w:rPr>
        <w:rFonts w:hint="default"/>
        <w:b/>
        <w:i/>
      </w:rPr>
    </w:lvl>
    <w:lvl w:ilvl="1">
      <w:start w:val="2"/>
      <w:numFmt w:val="decimal"/>
      <w:lvlText w:val="%1.%2"/>
      <w:lvlJc w:val="left"/>
      <w:pPr>
        <w:tabs>
          <w:tab w:val="num" w:pos="705"/>
        </w:tabs>
        <w:ind w:left="705" w:hanging="705"/>
      </w:pPr>
      <w:rPr>
        <w:rFonts w:hint="default"/>
        <w:b/>
        <w:i/>
      </w:rPr>
    </w:lvl>
    <w:lvl w:ilvl="2">
      <w:start w:val="1"/>
      <w:numFmt w:val="decimal"/>
      <w:lvlText w:val="%1.%2.%3"/>
      <w:lvlJc w:val="left"/>
      <w:pPr>
        <w:tabs>
          <w:tab w:val="num" w:pos="720"/>
        </w:tabs>
        <w:ind w:left="720" w:hanging="720"/>
      </w:pPr>
      <w:rPr>
        <w:rFonts w:hint="default"/>
        <w:b/>
        <w:i/>
      </w:rPr>
    </w:lvl>
    <w:lvl w:ilvl="3">
      <w:start w:val="1"/>
      <w:numFmt w:val="decimal"/>
      <w:lvlText w:val="%1.%2.%3.%4"/>
      <w:lvlJc w:val="left"/>
      <w:pPr>
        <w:tabs>
          <w:tab w:val="num" w:pos="720"/>
        </w:tabs>
        <w:ind w:left="720" w:hanging="72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080"/>
        </w:tabs>
        <w:ind w:left="1080" w:hanging="1080"/>
      </w:pPr>
      <w:rPr>
        <w:rFonts w:hint="default"/>
        <w:b/>
        <w:i/>
      </w:rPr>
    </w:lvl>
    <w:lvl w:ilvl="6">
      <w:start w:val="1"/>
      <w:numFmt w:val="decimal"/>
      <w:lvlText w:val="%1.%2.%3.%4.%5.%6.%7"/>
      <w:lvlJc w:val="left"/>
      <w:pPr>
        <w:tabs>
          <w:tab w:val="num" w:pos="1440"/>
        </w:tabs>
        <w:ind w:left="1440" w:hanging="1440"/>
      </w:pPr>
      <w:rPr>
        <w:rFonts w:hint="default"/>
        <w:b/>
        <w:i/>
      </w:rPr>
    </w:lvl>
    <w:lvl w:ilvl="7">
      <w:start w:val="1"/>
      <w:numFmt w:val="decimal"/>
      <w:lvlText w:val="%1.%2.%3.%4.%5.%6.%7.%8"/>
      <w:lvlJc w:val="left"/>
      <w:pPr>
        <w:tabs>
          <w:tab w:val="num" w:pos="1440"/>
        </w:tabs>
        <w:ind w:left="1440" w:hanging="1440"/>
      </w:pPr>
      <w:rPr>
        <w:rFonts w:hint="default"/>
        <w:b/>
        <w:i/>
      </w:rPr>
    </w:lvl>
    <w:lvl w:ilvl="8">
      <w:start w:val="1"/>
      <w:numFmt w:val="decimal"/>
      <w:lvlText w:val="%1.%2.%3.%4.%5.%6.%7.%8.%9"/>
      <w:lvlJc w:val="left"/>
      <w:pPr>
        <w:tabs>
          <w:tab w:val="num" w:pos="1800"/>
        </w:tabs>
        <w:ind w:left="1800" w:hanging="1800"/>
      </w:pPr>
      <w:rPr>
        <w:rFonts w:hint="default"/>
        <w:b/>
        <w:i/>
      </w:rPr>
    </w:lvl>
  </w:abstractNum>
  <w:abstractNum w:abstractNumId="14">
    <w:nsid w:val="18BD303E"/>
    <w:multiLevelType w:val="multilevel"/>
    <w:tmpl w:val="F73AF7F0"/>
    <w:lvl w:ilvl="0">
      <w:start w:val="10"/>
      <w:numFmt w:val="decimal"/>
      <w:lvlText w:val="%1"/>
      <w:lvlJc w:val="left"/>
      <w:pPr>
        <w:tabs>
          <w:tab w:val="num" w:pos="705"/>
        </w:tabs>
        <w:ind w:left="705" w:hanging="705"/>
      </w:pPr>
      <w:rPr>
        <w:rFonts w:hint="default"/>
        <w:b/>
        <w:i/>
      </w:rPr>
    </w:lvl>
    <w:lvl w:ilvl="1">
      <w:start w:val="2"/>
      <w:numFmt w:val="decimal"/>
      <w:lvlText w:val="%1.%2"/>
      <w:lvlJc w:val="left"/>
      <w:pPr>
        <w:tabs>
          <w:tab w:val="num" w:pos="705"/>
        </w:tabs>
        <w:ind w:left="705" w:hanging="705"/>
      </w:pPr>
      <w:rPr>
        <w:rFonts w:hint="default"/>
        <w:b/>
        <w:i/>
      </w:rPr>
    </w:lvl>
    <w:lvl w:ilvl="2">
      <w:start w:val="1"/>
      <w:numFmt w:val="decimal"/>
      <w:lvlText w:val="%1.%2.%3"/>
      <w:lvlJc w:val="left"/>
      <w:pPr>
        <w:tabs>
          <w:tab w:val="num" w:pos="720"/>
        </w:tabs>
        <w:ind w:left="720" w:hanging="720"/>
      </w:pPr>
      <w:rPr>
        <w:rFonts w:hint="default"/>
        <w:b/>
        <w:i/>
      </w:rPr>
    </w:lvl>
    <w:lvl w:ilvl="3">
      <w:start w:val="1"/>
      <w:numFmt w:val="decimal"/>
      <w:lvlText w:val="%1.%2.%3.%4"/>
      <w:lvlJc w:val="left"/>
      <w:pPr>
        <w:tabs>
          <w:tab w:val="num" w:pos="720"/>
        </w:tabs>
        <w:ind w:left="720" w:hanging="72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080"/>
        </w:tabs>
        <w:ind w:left="1080" w:hanging="1080"/>
      </w:pPr>
      <w:rPr>
        <w:rFonts w:hint="default"/>
        <w:b/>
        <w:i/>
      </w:rPr>
    </w:lvl>
    <w:lvl w:ilvl="6">
      <w:start w:val="1"/>
      <w:numFmt w:val="decimal"/>
      <w:lvlText w:val="%1.%2.%3.%4.%5.%6.%7"/>
      <w:lvlJc w:val="left"/>
      <w:pPr>
        <w:tabs>
          <w:tab w:val="num" w:pos="1440"/>
        </w:tabs>
        <w:ind w:left="1440" w:hanging="1440"/>
      </w:pPr>
      <w:rPr>
        <w:rFonts w:hint="default"/>
        <w:b/>
        <w:i/>
      </w:rPr>
    </w:lvl>
    <w:lvl w:ilvl="7">
      <w:start w:val="1"/>
      <w:numFmt w:val="decimal"/>
      <w:lvlText w:val="%1.%2.%3.%4.%5.%6.%7.%8"/>
      <w:lvlJc w:val="left"/>
      <w:pPr>
        <w:tabs>
          <w:tab w:val="num" w:pos="1440"/>
        </w:tabs>
        <w:ind w:left="1440" w:hanging="1440"/>
      </w:pPr>
      <w:rPr>
        <w:rFonts w:hint="default"/>
        <w:b/>
        <w:i/>
      </w:rPr>
    </w:lvl>
    <w:lvl w:ilvl="8">
      <w:start w:val="1"/>
      <w:numFmt w:val="decimal"/>
      <w:lvlText w:val="%1.%2.%3.%4.%5.%6.%7.%8.%9"/>
      <w:lvlJc w:val="left"/>
      <w:pPr>
        <w:tabs>
          <w:tab w:val="num" w:pos="1800"/>
        </w:tabs>
        <w:ind w:left="1800" w:hanging="1800"/>
      </w:pPr>
      <w:rPr>
        <w:rFonts w:hint="default"/>
        <w:b/>
        <w:i/>
      </w:rPr>
    </w:lvl>
  </w:abstractNum>
  <w:abstractNum w:abstractNumId="15">
    <w:nsid w:val="197B461A"/>
    <w:multiLevelType w:val="multilevel"/>
    <w:tmpl w:val="12440A66"/>
    <w:lvl w:ilvl="0">
      <w:start w:val="12"/>
      <w:numFmt w:val="decimal"/>
      <w:lvlText w:val="%1"/>
      <w:lvlJc w:val="left"/>
      <w:pPr>
        <w:tabs>
          <w:tab w:val="num" w:pos="705"/>
        </w:tabs>
        <w:ind w:left="705" w:hanging="705"/>
      </w:pPr>
      <w:rPr>
        <w:rFonts w:hint="default"/>
      </w:rPr>
    </w:lvl>
    <w:lvl w:ilvl="1">
      <w:start w:val="8"/>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1AEE4500"/>
    <w:multiLevelType w:val="multilevel"/>
    <w:tmpl w:val="CAC6944E"/>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1B3508F5"/>
    <w:multiLevelType w:val="multilevel"/>
    <w:tmpl w:val="C6240A76"/>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1C2D1F31"/>
    <w:multiLevelType w:val="multilevel"/>
    <w:tmpl w:val="A612A42A"/>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1FF52EF1"/>
    <w:multiLevelType w:val="multilevel"/>
    <w:tmpl w:val="140666B2"/>
    <w:lvl w:ilvl="0">
      <w:start w:val="1"/>
      <w:numFmt w:val="bullet"/>
      <w:lvlText w:val=""/>
      <w:lvlJc w:val="left"/>
      <w:pPr>
        <w:tabs>
          <w:tab w:val="num" w:pos="2484"/>
        </w:tabs>
        <w:ind w:left="2464" w:hanging="340"/>
      </w:pPr>
      <w:rPr>
        <w:rFonts w:ascii="Symbol" w:hAnsi="Symbol" w:hint="default"/>
      </w:rPr>
    </w:lvl>
    <w:lvl w:ilvl="1" w:tentative="1">
      <w:start w:val="1"/>
      <w:numFmt w:val="bullet"/>
      <w:lvlText w:val="o"/>
      <w:lvlJc w:val="left"/>
      <w:pPr>
        <w:tabs>
          <w:tab w:val="num" w:pos="3564"/>
        </w:tabs>
        <w:ind w:left="3564" w:hanging="360"/>
      </w:pPr>
      <w:rPr>
        <w:rFonts w:ascii="Courier New" w:hAnsi="Courier New" w:hint="default"/>
      </w:rPr>
    </w:lvl>
    <w:lvl w:ilvl="2" w:tentative="1">
      <w:start w:val="1"/>
      <w:numFmt w:val="bullet"/>
      <w:lvlText w:val=""/>
      <w:lvlJc w:val="left"/>
      <w:pPr>
        <w:tabs>
          <w:tab w:val="num" w:pos="4284"/>
        </w:tabs>
        <w:ind w:left="4284" w:hanging="360"/>
      </w:pPr>
      <w:rPr>
        <w:rFonts w:ascii="Wingdings" w:hAnsi="Wingdings" w:hint="default"/>
      </w:rPr>
    </w:lvl>
    <w:lvl w:ilvl="3" w:tentative="1">
      <w:start w:val="1"/>
      <w:numFmt w:val="bullet"/>
      <w:lvlText w:val=""/>
      <w:lvlJc w:val="left"/>
      <w:pPr>
        <w:tabs>
          <w:tab w:val="num" w:pos="5004"/>
        </w:tabs>
        <w:ind w:left="5004" w:hanging="360"/>
      </w:pPr>
      <w:rPr>
        <w:rFonts w:ascii="Symbol" w:hAnsi="Symbol" w:hint="default"/>
      </w:rPr>
    </w:lvl>
    <w:lvl w:ilvl="4" w:tentative="1">
      <w:start w:val="1"/>
      <w:numFmt w:val="bullet"/>
      <w:lvlText w:val="o"/>
      <w:lvlJc w:val="left"/>
      <w:pPr>
        <w:tabs>
          <w:tab w:val="num" w:pos="5724"/>
        </w:tabs>
        <w:ind w:left="5724" w:hanging="360"/>
      </w:pPr>
      <w:rPr>
        <w:rFonts w:ascii="Courier New" w:hAnsi="Courier New" w:hint="default"/>
      </w:rPr>
    </w:lvl>
    <w:lvl w:ilvl="5" w:tentative="1">
      <w:start w:val="1"/>
      <w:numFmt w:val="bullet"/>
      <w:lvlText w:val=""/>
      <w:lvlJc w:val="left"/>
      <w:pPr>
        <w:tabs>
          <w:tab w:val="num" w:pos="6444"/>
        </w:tabs>
        <w:ind w:left="6444" w:hanging="360"/>
      </w:pPr>
      <w:rPr>
        <w:rFonts w:ascii="Wingdings" w:hAnsi="Wingdings" w:hint="default"/>
      </w:rPr>
    </w:lvl>
    <w:lvl w:ilvl="6" w:tentative="1">
      <w:start w:val="1"/>
      <w:numFmt w:val="bullet"/>
      <w:lvlText w:val=""/>
      <w:lvlJc w:val="left"/>
      <w:pPr>
        <w:tabs>
          <w:tab w:val="num" w:pos="7164"/>
        </w:tabs>
        <w:ind w:left="7164" w:hanging="360"/>
      </w:pPr>
      <w:rPr>
        <w:rFonts w:ascii="Symbol" w:hAnsi="Symbol" w:hint="default"/>
      </w:rPr>
    </w:lvl>
    <w:lvl w:ilvl="7" w:tentative="1">
      <w:start w:val="1"/>
      <w:numFmt w:val="bullet"/>
      <w:lvlText w:val="o"/>
      <w:lvlJc w:val="left"/>
      <w:pPr>
        <w:tabs>
          <w:tab w:val="num" w:pos="7884"/>
        </w:tabs>
        <w:ind w:left="7884" w:hanging="360"/>
      </w:pPr>
      <w:rPr>
        <w:rFonts w:ascii="Courier New" w:hAnsi="Courier New" w:hint="default"/>
      </w:rPr>
    </w:lvl>
    <w:lvl w:ilvl="8" w:tentative="1">
      <w:start w:val="1"/>
      <w:numFmt w:val="bullet"/>
      <w:lvlText w:val=""/>
      <w:lvlJc w:val="left"/>
      <w:pPr>
        <w:tabs>
          <w:tab w:val="num" w:pos="8604"/>
        </w:tabs>
        <w:ind w:left="8604" w:hanging="360"/>
      </w:pPr>
      <w:rPr>
        <w:rFonts w:ascii="Wingdings" w:hAnsi="Wingdings" w:hint="default"/>
      </w:rPr>
    </w:lvl>
  </w:abstractNum>
  <w:abstractNum w:abstractNumId="20">
    <w:nsid w:val="2090758D"/>
    <w:multiLevelType w:val="multilevel"/>
    <w:tmpl w:val="B8809282"/>
    <w:lvl w:ilvl="0">
      <w:start w:val="1"/>
      <w:numFmt w:val="lowerLetter"/>
      <w:lvlText w:val="%1."/>
      <w:lvlJc w:val="left"/>
      <w:pPr>
        <w:tabs>
          <w:tab w:val="num" w:pos="2136"/>
        </w:tabs>
        <w:ind w:left="2136" w:hanging="720"/>
      </w:pPr>
      <w:rPr>
        <w:rFonts w:hint="default"/>
      </w:rPr>
    </w:lvl>
    <w:lvl w:ilvl="1">
      <w:start w:val="1"/>
      <w:numFmt w:val="bullet"/>
      <w:lvlText w:val=""/>
      <w:lvlJc w:val="left"/>
      <w:pPr>
        <w:tabs>
          <w:tab w:val="num" w:pos="2496"/>
        </w:tabs>
        <w:ind w:left="2476" w:hanging="340"/>
      </w:pPr>
      <w:rPr>
        <w:rFonts w:ascii="Symbol" w:hAnsi="Symbol" w:hint="default"/>
      </w:rPr>
    </w:lvl>
    <w:lvl w:ilvl="2" w:tentative="1">
      <w:start w:val="1"/>
      <w:numFmt w:val="lowerRoman"/>
      <w:lvlText w:val="%3."/>
      <w:lvlJc w:val="right"/>
      <w:pPr>
        <w:tabs>
          <w:tab w:val="num" w:pos="3216"/>
        </w:tabs>
        <w:ind w:left="3216" w:hanging="180"/>
      </w:pPr>
    </w:lvl>
    <w:lvl w:ilvl="3" w:tentative="1">
      <w:start w:val="1"/>
      <w:numFmt w:val="decimal"/>
      <w:lvlText w:val="%4."/>
      <w:lvlJc w:val="left"/>
      <w:pPr>
        <w:tabs>
          <w:tab w:val="num" w:pos="3936"/>
        </w:tabs>
        <w:ind w:left="3936" w:hanging="360"/>
      </w:pPr>
    </w:lvl>
    <w:lvl w:ilvl="4" w:tentative="1">
      <w:start w:val="1"/>
      <w:numFmt w:val="lowerLetter"/>
      <w:lvlText w:val="%5."/>
      <w:lvlJc w:val="left"/>
      <w:pPr>
        <w:tabs>
          <w:tab w:val="num" w:pos="4656"/>
        </w:tabs>
        <w:ind w:left="4656" w:hanging="360"/>
      </w:pPr>
    </w:lvl>
    <w:lvl w:ilvl="5" w:tentative="1">
      <w:start w:val="1"/>
      <w:numFmt w:val="lowerRoman"/>
      <w:lvlText w:val="%6."/>
      <w:lvlJc w:val="right"/>
      <w:pPr>
        <w:tabs>
          <w:tab w:val="num" w:pos="5376"/>
        </w:tabs>
        <w:ind w:left="5376" w:hanging="180"/>
      </w:pPr>
    </w:lvl>
    <w:lvl w:ilvl="6" w:tentative="1">
      <w:start w:val="1"/>
      <w:numFmt w:val="decimal"/>
      <w:lvlText w:val="%7."/>
      <w:lvlJc w:val="left"/>
      <w:pPr>
        <w:tabs>
          <w:tab w:val="num" w:pos="6096"/>
        </w:tabs>
        <w:ind w:left="6096" w:hanging="360"/>
      </w:pPr>
    </w:lvl>
    <w:lvl w:ilvl="7" w:tentative="1">
      <w:start w:val="1"/>
      <w:numFmt w:val="lowerLetter"/>
      <w:lvlText w:val="%8."/>
      <w:lvlJc w:val="left"/>
      <w:pPr>
        <w:tabs>
          <w:tab w:val="num" w:pos="6816"/>
        </w:tabs>
        <w:ind w:left="6816" w:hanging="360"/>
      </w:pPr>
    </w:lvl>
    <w:lvl w:ilvl="8" w:tentative="1">
      <w:start w:val="1"/>
      <w:numFmt w:val="lowerRoman"/>
      <w:lvlText w:val="%9."/>
      <w:lvlJc w:val="right"/>
      <w:pPr>
        <w:tabs>
          <w:tab w:val="num" w:pos="7536"/>
        </w:tabs>
        <w:ind w:left="7536" w:hanging="180"/>
      </w:pPr>
    </w:lvl>
  </w:abstractNum>
  <w:abstractNum w:abstractNumId="21">
    <w:nsid w:val="24DA0815"/>
    <w:multiLevelType w:val="multilevel"/>
    <w:tmpl w:val="7D14F886"/>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22">
    <w:nsid w:val="269134C8"/>
    <w:multiLevelType w:val="multilevel"/>
    <w:tmpl w:val="37EA651C"/>
    <w:lvl w:ilvl="0">
      <w:start w:val="1"/>
      <w:numFmt w:val="bullet"/>
      <w:lvlText w:val=""/>
      <w:lvlJc w:val="left"/>
      <w:pPr>
        <w:tabs>
          <w:tab w:val="num" w:pos="1776"/>
        </w:tabs>
        <w:ind w:left="1776" w:hanging="360"/>
      </w:pPr>
      <w:rPr>
        <w:rFonts w:ascii="Symbol" w:hAnsi="Symbol" w:hint="default"/>
      </w:rPr>
    </w:lvl>
    <w:lvl w:ilvl="1" w:tentative="1">
      <w:start w:val="1"/>
      <w:numFmt w:val="bullet"/>
      <w:lvlText w:val="o"/>
      <w:lvlJc w:val="left"/>
      <w:pPr>
        <w:tabs>
          <w:tab w:val="num" w:pos="2496"/>
        </w:tabs>
        <w:ind w:left="2496" w:hanging="360"/>
      </w:pPr>
      <w:rPr>
        <w:rFonts w:ascii="Courier New" w:hAnsi="Courier New" w:hint="default"/>
      </w:rPr>
    </w:lvl>
    <w:lvl w:ilvl="2" w:tentative="1">
      <w:start w:val="1"/>
      <w:numFmt w:val="bullet"/>
      <w:lvlText w:val=""/>
      <w:lvlJc w:val="left"/>
      <w:pPr>
        <w:tabs>
          <w:tab w:val="num" w:pos="3216"/>
        </w:tabs>
        <w:ind w:left="3216" w:hanging="360"/>
      </w:pPr>
      <w:rPr>
        <w:rFonts w:ascii="Wingdings" w:hAnsi="Wingdings" w:hint="default"/>
      </w:rPr>
    </w:lvl>
    <w:lvl w:ilvl="3" w:tentative="1">
      <w:start w:val="1"/>
      <w:numFmt w:val="bullet"/>
      <w:lvlText w:val=""/>
      <w:lvlJc w:val="left"/>
      <w:pPr>
        <w:tabs>
          <w:tab w:val="num" w:pos="3936"/>
        </w:tabs>
        <w:ind w:left="3936" w:hanging="360"/>
      </w:pPr>
      <w:rPr>
        <w:rFonts w:ascii="Symbol" w:hAnsi="Symbol" w:hint="default"/>
      </w:rPr>
    </w:lvl>
    <w:lvl w:ilvl="4" w:tentative="1">
      <w:start w:val="1"/>
      <w:numFmt w:val="bullet"/>
      <w:lvlText w:val="o"/>
      <w:lvlJc w:val="left"/>
      <w:pPr>
        <w:tabs>
          <w:tab w:val="num" w:pos="4656"/>
        </w:tabs>
        <w:ind w:left="4656" w:hanging="360"/>
      </w:pPr>
      <w:rPr>
        <w:rFonts w:ascii="Courier New" w:hAnsi="Courier New" w:hint="default"/>
      </w:rPr>
    </w:lvl>
    <w:lvl w:ilvl="5" w:tentative="1">
      <w:start w:val="1"/>
      <w:numFmt w:val="bullet"/>
      <w:lvlText w:val=""/>
      <w:lvlJc w:val="left"/>
      <w:pPr>
        <w:tabs>
          <w:tab w:val="num" w:pos="5376"/>
        </w:tabs>
        <w:ind w:left="5376" w:hanging="360"/>
      </w:pPr>
      <w:rPr>
        <w:rFonts w:ascii="Wingdings" w:hAnsi="Wingdings" w:hint="default"/>
      </w:rPr>
    </w:lvl>
    <w:lvl w:ilvl="6" w:tentative="1">
      <w:start w:val="1"/>
      <w:numFmt w:val="bullet"/>
      <w:lvlText w:val=""/>
      <w:lvlJc w:val="left"/>
      <w:pPr>
        <w:tabs>
          <w:tab w:val="num" w:pos="6096"/>
        </w:tabs>
        <w:ind w:left="6096" w:hanging="360"/>
      </w:pPr>
      <w:rPr>
        <w:rFonts w:ascii="Symbol" w:hAnsi="Symbol" w:hint="default"/>
      </w:rPr>
    </w:lvl>
    <w:lvl w:ilvl="7" w:tentative="1">
      <w:start w:val="1"/>
      <w:numFmt w:val="bullet"/>
      <w:lvlText w:val="o"/>
      <w:lvlJc w:val="left"/>
      <w:pPr>
        <w:tabs>
          <w:tab w:val="num" w:pos="6816"/>
        </w:tabs>
        <w:ind w:left="6816" w:hanging="360"/>
      </w:pPr>
      <w:rPr>
        <w:rFonts w:ascii="Courier New" w:hAnsi="Courier New" w:hint="default"/>
      </w:rPr>
    </w:lvl>
    <w:lvl w:ilvl="8" w:tentative="1">
      <w:start w:val="1"/>
      <w:numFmt w:val="bullet"/>
      <w:lvlText w:val=""/>
      <w:lvlJc w:val="left"/>
      <w:pPr>
        <w:tabs>
          <w:tab w:val="num" w:pos="7536"/>
        </w:tabs>
        <w:ind w:left="7536" w:hanging="360"/>
      </w:pPr>
      <w:rPr>
        <w:rFonts w:ascii="Wingdings" w:hAnsi="Wingdings" w:hint="default"/>
      </w:rPr>
    </w:lvl>
  </w:abstractNum>
  <w:abstractNum w:abstractNumId="23">
    <w:nsid w:val="27981F2B"/>
    <w:multiLevelType w:val="multilevel"/>
    <w:tmpl w:val="A9942188"/>
    <w:lvl w:ilvl="0">
      <w:start w:val="13"/>
      <w:numFmt w:val="decimal"/>
      <w:lvlText w:val="%1"/>
      <w:lvlJc w:val="left"/>
      <w:pPr>
        <w:tabs>
          <w:tab w:val="num" w:pos="705"/>
        </w:tabs>
        <w:ind w:left="705" w:hanging="705"/>
      </w:pPr>
      <w:rPr>
        <w:rFonts w:hint="default"/>
      </w:rPr>
    </w:lvl>
    <w:lvl w:ilv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27F3402B"/>
    <w:multiLevelType w:val="multilevel"/>
    <w:tmpl w:val="0066B958"/>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25">
    <w:nsid w:val="294326F1"/>
    <w:multiLevelType w:val="multilevel"/>
    <w:tmpl w:val="646AA450"/>
    <w:lvl w:ilvl="0">
      <w:start w:val="1"/>
      <w:numFmt w:val="bullet"/>
      <w:lvlText w:val=""/>
      <w:lvlJc w:val="left"/>
      <w:pPr>
        <w:tabs>
          <w:tab w:val="num" w:pos="1770"/>
        </w:tabs>
        <w:ind w:left="1750" w:hanging="340"/>
      </w:pPr>
      <w:rPr>
        <w:rFonts w:ascii="Symbol" w:hAnsi="Symbol" w:hint="default"/>
      </w:rPr>
    </w:lvl>
    <w:lvl w:ilvl="1" w:tentative="1">
      <w:start w:val="1"/>
      <w:numFmt w:val="bullet"/>
      <w:lvlText w:val="o"/>
      <w:lvlJc w:val="left"/>
      <w:pPr>
        <w:tabs>
          <w:tab w:val="num" w:pos="2850"/>
        </w:tabs>
        <w:ind w:left="2850" w:hanging="360"/>
      </w:pPr>
      <w:rPr>
        <w:rFonts w:ascii="Courier New" w:hAnsi="Courier New" w:hint="default"/>
      </w:rPr>
    </w:lvl>
    <w:lvl w:ilvl="2" w:tentative="1">
      <w:start w:val="1"/>
      <w:numFmt w:val="bullet"/>
      <w:lvlText w:val=""/>
      <w:lvlJc w:val="left"/>
      <w:pPr>
        <w:tabs>
          <w:tab w:val="num" w:pos="3570"/>
        </w:tabs>
        <w:ind w:left="3570" w:hanging="360"/>
      </w:pPr>
      <w:rPr>
        <w:rFonts w:ascii="Wingdings" w:hAnsi="Wingdings" w:hint="default"/>
      </w:rPr>
    </w:lvl>
    <w:lvl w:ilvl="3" w:tentative="1">
      <w:start w:val="1"/>
      <w:numFmt w:val="bullet"/>
      <w:lvlText w:val=""/>
      <w:lvlJc w:val="left"/>
      <w:pPr>
        <w:tabs>
          <w:tab w:val="num" w:pos="4290"/>
        </w:tabs>
        <w:ind w:left="4290" w:hanging="360"/>
      </w:pPr>
      <w:rPr>
        <w:rFonts w:ascii="Symbol" w:hAnsi="Symbol" w:hint="default"/>
      </w:rPr>
    </w:lvl>
    <w:lvl w:ilvl="4" w:tentative="1">
      <w:start w:val="1"/>
      <w:numFmt w:val="bullet"/>
      <w:lvlText w:val="o"/>
      <w:lvlJc w:val="left"/>
      <w:pPr>
        <w:tabs>
          <w:tab w:val="num" w:pos="5010"/>
        </w:tabs>
        <w:ind w:left="5010" w:hanging="360"/>
      </w:pPr>
      <w:rPr>
        <w:rFonts w:ascii="Courier New" w:hAnsi="Courier New" w:hint="default"/>
      </w:rPr>
    </w:lvl>
    <w:lvl w:ilvl="5" w:tentative="1">
      <w:start w:val="1"/>
      <w:numFmt w:val="bullet"/>
      <w:lvlText w:val=""/>
      <w:lvlJc w:val="left"/>
      <w:pPr>
        <w:tabs>
          <w:tab w:val="num" w:pos="5730"/>
        </w:tabs>
        <w:ind w:left="5730" w:hanging="360"/>
      </w:pPr>
      <w:rPr>
        <w:rFonts w:ascii="Wingdings" w:hAnsi="Wingdings" w:hint="default"/>
      </w:rPr>
    </w:lvl>
    <w:lvl w:ilvl="6" w:tentative="1">
      <w:start w:val="1"/>
      <w:numFmt w:val="bullet"/>
      <w:lvlText w:val=""/>
      <w:lvlJc w:val="left"/>
      <w:pPr>
        <w:tabs>
          <w:tab w:val="num" w:pos="6450"/>
        </w:tabs>
        <w:ind w:left="6450" w:hanging="360"/>
      </w:pPr>
      <w:rPr>
        <w:rFonts w:ascii="Symbol" w:hAnsi="Symbol" w:hint="default"/>
      </w:rPr>
    </w:lvl>
    <w:lvl w:ilvl="7" w:tentative="1">
      <w:start w:val="1"/>
      <w:numFmt w:val="bullet"/>
      <w:lvlText w:val="o"/>
      <w:lvlJc w:val="left"/>
      <w:pPr>
        <w:tabs>
          <w:tab w:val="num" w:pos="7170"/>
        </w:tabs>
        <w:ind w:left="7170" w:hanging="360"/>
      </w:pPr>
      <w:rPr>
        <w:rFonts w:ascii="Courier New" w:hAnsi="Courier New" w:hint="default"/>
      </w:rPr>
    </w:lvl>
    <w:lvl w:ilvl="8" w:tentative="1">
      <w:start w:val="1"/>
      <w:numFmt w:val="bullet"/>
      <w:lvlText w:val=""/>
      <w:lvlJc w:val="left"/>
      <w:pPr>
        <w:tabs>
          <w:tab w:val="num" w:pos="7890"/>
        </w:tabs>
        <w:ind w:left="7890" w:hanging="360"/>
      </w:pPr>
      <w:rPr>
        <w:rFonts w:ascii="Wingdings" w:hAnsi="Wingdings" w:hint="default"/>
      </w:rPr>
    </w:lvl>
  </w:abstractNum>
  <w:abstractNum w:abstractNumId="26">
    <w:nsid w:val="305C0005"/>
    <w:multiLevelType w:val="multilevel"/>
    <w:tmpl w:val="D540B538"/>
    <w:lvl w:ilvl="0">
      <w:start w:val="5"/>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2285CC1"/>
    <w:multiLevelType w:val="multilevel"/>
    <w:tmpl w:val="59581806"/>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35A125AC"/>
    <w:multiLevelType w:val="multilevel"/>
    <w:tmpl w:val="FCD2B00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6615C92"/>
    <w:multiLevelType w:val="multilevel"/>
    <w:tmpl w:val="4142E300"/>
    <w:lvl w:ilvl="0">
      <w:start w:val="1"/>
      <w:numFmt w:val="decimal"/>
      <w:lvlText w:val="%1.0"/>
      <w:lvlJc w:val="left"/>
      <w:pPr>
        <w:tabs>
          <w:tab w:val="num" w:pos="1410"/>
        </w:tabs>
        <w:ind w:left="1410" w:hanging="1050"/>
      </w:pPr>
      <w:rPr>
        <w:rFonts w:hint="default"/>
      </w:rPr>
    </w:lvl>
    <w:lvl w:ilvl="1">
      <w:start w:val="1"/>
      <w:numFmt w:val="decimal"/>
      <w:lvlText w:val="%1.%2"/>
      <w:lvlJc w:val="left"/>
      <w:pPr>
        <w:tabs>
          <w:tab w:val="num" w:pos="2118"/>
        </w:tabs>
        <w:ind w:left="2118" w:hanging="1050"/>
      </w:pPr>
      <w:rPr>
        <w:rFonts w:hint="default"/>
      </w:rPr>
    </w:lvl>
    <w:lvl w:ilvl="2">
      <w:start w:val="1"/>
      <w:numFmt w:val="decimal"/>
      <w:lvlText w:val="%1.%2.%3"/>
      <w:lvlJc w:val="left"/>
      <w:pPr>
        <w:tabs>
          <w:tab w:val="num" w:pos="2826"/>
        </w:tabs>
        <w:ind w:left="2826" w:hanging="1050"/>
      </w:pPr>
      <w:rPr>
        <w:rFonts w:hint="default"/>
      </w:rPr>
    </w:lvl>
    <w:lvl w:ilvl="3">
      <w:start w:val="1"/>
      <w:numFmt w:val="decimal"/>
      <w:lvlText w:val="%1.%2.%3.%4"/>
      <w:lvlJc w:val="left"/>
      <w:pPr>
        <w:tabs>
          <w:tab w:val="num" w:pos="3534"/>
        </w:tabs>
        <w:ind w:left="3534" w:hanging="1050"/>
      </w:pPr>
      <w:rPr>
        <w:rFonts w:hint="default"/>
      </w:rPr>
    </w:lvl>
    <w:lvl w:ilvl="4">
      <w:start w:val="1"/>
      <w:numFmt w:val="decimal"/>
      <w:lvlText w:val="%1.%2.%3.%4.%5"/>
      <w:lvlJc w:val="left"/>
      <w:pPr>
        <w:tabs>
          <w:tab w:val="num" w:pos="4272"/>
        </w:tabs>
        <w:ind w:left="4272" w:hanging="1080"/>
      </w:pPr>
      <w:rPr>
        <w:rFonts w:hint="default"/>
      </w:rPr>
    </w:lvl>
    <w:lvl w:ilvl="5">
      <w:start w:val="1"/>
      <w:numFmt w:val="decimal"/>
      <w:lvlText w:val="%1.%2.%3.%4.%5.%6"/>
      <w:lvlJc w:val="left"/>
      <w:pPr>
        <w:tabs>
          <w:tab w:val="num" w:pos="4980"/>
        </w:tabs>
        <w:ind w:left="4980" w:hanging="1080"/>
      </w:pPr>
      <w:rPr>
        <w:rFonts w:hint="default"/>
      </w:rPr>
    </w:lvl>
    <w:lvl w:ilvl="6">
      <w:start w:val="1"/>
      <w:numFmt w:val="decimal"/>
      <w:lvlText w:val="%1.%2.%3.%4.%5.%6.%7"/>
      <w:lvlJc w:val="left"/>
      <w:pPr>
        <w:tabs>
          <w:tab w:val="num" w:pos="6048"/>
        </w:tabs>
        <w:ind w:left="6048" w:hanging="1440"/>
      </w:pPr>
      <w:rPr>
        <w:rFonts w:hint="default"/>
      </w:rPr>
    </w:lvl>
    <w:lvl w:ilvl="7">
      <w:start w:val="1"/>
      <w:numFmt w:val="decimal"/>
      <w:lvlText w:val="%1.%2.%3.%4.%5.%6.%7.%8"/>
      <w:lvlJc w:val="left"/>
      <w:pPr>
        <w:tabs>
          <w:tab w:val="num" w:pos="6756"/>
        </w:tabs>
        <w:ind w:left="6756" w:hanging="1440"/>
      </w:pPr>
      <w:rPr>
        <w:rFonts w:hint="default"/>
      </w:rPr>
    </w:lvl>
    <w:lvl w:ilvl="8">
      <w:start w:val="1"/>
      <w:numFmt w:val="decimal"/>
      <w:lvlText w:val="%1.%2.%3.%4.%5.%6.%7.%8.%9"/>
      <w:lvlJc w:val="left"/>
      <w:pPr>
        <w:tabs>
          <w:tab w:val="num" w:pos="7824"/>
        </w:tabs>
        <w:ind w:left="7824" w:hanging="1800"/>
      </w:pPr>
      <w:rPr>
        <w:rFonts w:hint="default"/>
      </w:rPr>
    </w:lvl>
  </w:abstractNum>
  <w:abstractNum w:abstractNumId="30">
    <w:nsid w:val="36837CD7"/>
    <w:multiLevelType w:val="multilevel"/>
    <w:tmpl w:val="0C1268C8"/>
    <w:lvl w:ilvl="0">
      <w:start w:val="2"/>
      <w:numFmt w:val="lowerLetter"/>
      <w:lvlText w:val="%1)"/>
      <w:lvlJc w:val="left"/>
      <w:pPr>
        <w:tabs>
          <w:tab w:val="num" w:pos="1410"/>
        </w:tabs>
        <w:ind w:left="1410" w:hanging="705"/>
      </w:pPr>
      <w:rPr>
        <w:rFonts w:hint="default"/>
      </w:rPr>
    </w:lvl>
    <w:lvl w:ilvl="1">
      <w:start w:val="11"/>
      <w:numFmt w:val="bullet"/>
      <w:lvlText w:val="-"/>
      <w:lvlJc w:val="left"/>
      <w:pPr>
        <w:tabs>
          <w:tab w:val="num" w:pos="2145"/>
        </w:tabs>
        <w:ind w:left="2145" w:hanging="720"/>
      </w:pPr>
      <w:rPr>
        <w:rFonts w:ascii="Times New Roman" w:eastAsia="Times New Roman" w:hAnsi="Times New Roman" w:cs="Times New Roman" w:hint="default"/>
      </w:rPr>
    </w:lvl>
    <w:lvl w:ilvl="2">
      <w:start w:val="1"/>
      <w:numFmt w:val="decimal"/>
      <w:lvlText w:val="%3"/>
      <w:lvlJc w:val="left"/>
      <w:pPr>
        <w:tabs>
          <w:tab w:val="num" w:pos="3030"/>
        </w:tabs>
        <w:ind w:left="3030" w:hanging="705"/>
      </w:pPr>
      <w:rPr>
        <w:rFonts w:hint="default"/>
      </w:r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31">
    <w:nsid w:val="36EA66C5"/>
    <w:multiLevelType w:val="multilevel"/>
    <w:tmpl w:val="B002D81E"/>
    <w:lvl w:ilvl="0">
      <w:start w:val="2"/>
      <w:numFmt w:val="decimal"/>
      <w:lvlText w:val="%1)"/>
      <w:lvlJc w:val="left"/>
      <w:pPr>
        <w:tabs>
          <w:tab w:val="num" w:pos="2136"/>
        </w:tabs>
        <w:ind w:left="2136" w:hanging="720"/>
      </w:pPr>
      <w:rPr>
        <w:rFonts w:hint="default"/>
      </w:rPr>
    </w:lvl>
    <w:lvl w:ilvl="1">
      <w:start w:val="1"/>
      <w:numFmt w:val="lowerLetter"/>
      <w:lvlText w:val="%2."/>
      <w:lvlJc w:val="left"/>
      <w:pPr>
        <w:tabs>
          <w:tab w:val="num" w:pos="2841"/>
        </w:tabs>
        <w:ind w:left="2841" w:hanging="705"/>
      </w:pPr>
      <w:rPr>
        <w:rFonts w:hint="default"/>
      </w:rPr>
    </w:lvl>
    <w:lvl w:ilvl="2">
      <w:start w:val="1"/>
      <w:numFmt w:val="lowerLetter"/>
      <w:lvlText w:val="%3)"/>
      <w:lvlJc w:val="left"/>
      <w:pPr>
        <w:tabs>
          <w:tab w:val="num" w:pos="3726"/>
        </w:tabs>
        <w:ind w:left="3726" w:hanging="690"/>
      </w:pPr>
      <w:rPr>
        <w:rFonts w:hint="default"/>
      </w:rPr>
    </w:lvl>
    <w:lvl w:ilvl="3" w:tentative="1">
      <w:start w:val="1"/>
      <w:numFmt w:val="decimal"/>
      <w:lvlText w:val="%4."/>
      <w:lvlJc w:val="left"/>
      <w:pPr>
        <w:tabs>
          <w:tab w:val="num" w:pos="3936"/>
        </w:tabs>
        <w:ind w:left="3936" w:hanging="360"/>
      </w:pPr>
    </w:lvl>
    <w:lvl w:ilvl="4" w:tentative="1">
      <w:start w:val="1"/>
      <w:numFmt w:val="lowerLetter"/>
      <w:lvlText w:val="%5."/>
      <w:lvlJc w:val="left"/>
      <w:pPr>
        <w:tabs>
          <w:tab w:val="num" w:pos="4656"/>
        </w:tabs>
        <w:ind w:left="4656" w:hanging="360"/>
      </w:pPr>
    </w:lvl>
    <w:lvl w:ilvl="5" w:tentative="1">
      <w:start w:val="1"/>
      <w:numFmt w:val="lowerRoman"/>
      <w:lvlText w:val="%6."/>
      <w:lvlJc w:val="right"/>
      <w:pPr>
        <w:tabs>
          <w:tab w:val="num" w:pos="5376"/>
        </w:tabs>
        <w:ind w:left="5376" w:hanging="180"/>
      </w:pPr>
    </w:lvl>
    <w:lvl w:ilvl="6" w:tentative="1">
      <w:start w:val="1"/>
      <w:numFmt w:val="decimal"/>
      <w:lvlText w:val="%7."/>
      <w:lvlJc w:val="left"/>
      <w:pPr>
        <w:tabs>
          <w:tab w:val="num" w:pos="6096"/>
        </w:tabs>
        <w:ind w:left="6096" w:hanging="360"/>
      </w:pPr>
    </w:lvl>
    <w:lvl w:ilvl="7" w:tentative="1">
      <w:start w:val="1"/>
      <w:numFmt w:val="lowerLetter"/>
      <w:lvlText w:val="%8."/>
      <w:lvlJc w:val="left"/>
      <w:pPr>
        <w:tabs>
          <w:tab w:val="num" w:pos="6816"/>
        </w:tabs>
        <w:ind w:left="6816" w:hanging="360"/>
      </w:pPr>
    </w:lvl>
    <w:lvl w:ilvl="8" w:tentative="1">
      <w:start w:val="1"/>
      <w:numFmt w:val="lowerRoman"/>
      <w:lvlText w:val="%9."/>
      <w:lvlJc w:val="right"/>
      <w:pPr>
        <w:tabs>
          <w:tab w:val="num" w:pos="7536"/>
        </w:tabs>
        <w:ind w:left="7536" w:hanging="180"/>
      </w:pPr>
    </w:lvl>
  </w:abstractNum>
  <w:abstractNum w:abstractNumId="32">
    <w:nsid w:val="38CD55E1"/>
    <w:multiLevelType w:val="multilevel"/>
    <w:tmpl w:val="67F0BB76"/>
    <w:lvl w:ilvl="0">
      <w:start w:val="1"/>
      <w:numFmt w:val="lowerRoman"/>
      <w:lvlText w:val="%1."/>
      <w:lvlJc w:val="left"/>
      <w:pPr>
        <w:tabs>
          <w:tab w:val="num" w:pos="1800"/>
        </w:tabs>
        <w:ind w:left="1800" w:hanging="72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3">
    <w:nsid w:val="395C2CB9"/>
    <w:multiLevelType w:val="singleLevel"/>
    <w:tmpl w:val="9A369E76"/>
    <w:lvl w:ilvl="0">
      <w:start w:val="8"/>
      <w:numFmt w:val="decimal"/>
      <w:lvlRestart w:val="0"/>
      <w:lvlText w:val="%1."/>
      <w:lvlJc w:val="left"/>
      <w:pPr>
        <w:tabs>
          <w:tab w:val="num" w:pos="475"/>
        </w:tabs>
        <w:ind w:left="0" w:firstLine="0"/>
      </w:pPr>
    </w:lvl>
  </w:abstractNum>
  <w:abstractNum w:abstractNumId="34">
    <w:nsid w:val="3A4B7F5B"/>
    <w:multiLevelType w:val="singleLevel"/>
    <w:tmpl w:val="0809000F"/>
    <w:lvl w:ilvl="0">
      <w:start w:val="1"/>
      <w:numFmt w:val="decimal"/>
      <w:lvlText w:val="%1."/>
      <w:lvlJc w:val="left"/>
      <w:pPr>
        <w:tabs>
          <w:tab w:val="num" w:pos="360"/>
        </w:tabs>
        <w:ind w:left="360" w:hanging="360"/>
      </w:pPr>
    </w:lvl>
  </w:abstractNum>
  <w:abstractNum w:abstractNumId="35">
    <w:nsid w:val="3AB74C71"/>
    <w:multiLevelType w:val="multilevel"/>
    <w:tmpl w:val="87CE6312"/>
    <w:lvl w:ilvl="0">
      <w:start w:val="1"/>
      <w:numFmt w:val="bullet"/>
      <w:lvlText w:val=""/>
      <w:lvlJc w:val="left"/>
      <w:pPr>
        <w:tabs>
          <w:tab w:val="num" w:pos="1770"/>
        </w:tabs>
        <w:ind w:left="1750" w:hanging="340"/>
      </w:pPr>
      <w:rPr>
        <w:rFonts w:ascii="Symbol" w:hAnsi="Symbol" w:hint="default"/>
      </w:rPr>
    </w:lvl>
    <w:lvl w:ilvl="1" w:tentative="1">
      <w:start w:val="1"/>
      <w:numFmt w:val="bullet"/>
      <w:lvlText w:val="o"/>
      <w:lvlJc w:val="left"/>
      <w:pPr>
        <w:tabs>
          <w:tab w:val="num" w:pos="2850"/>
        </w:tabs>
        <w:ind w:left="2850" w:hanging="360"/>
      </w:pPr>
      <w:rPr>
        <w:rFonts w:ascii="Courier New" w:hAnsi="Courier New" w:hint="default"/>
      </w:rPr>
    </w:lvl>
    <w:lvl w:ilvl="2" w:tentative="1">
      <w:start w:val="1"/>
      <w:numFmt w:val="bullet"/>
      <w:lvlText w:val=""/>
      <w:lvlJc w:val="left"/>
      <w:pPr>
        <w:tabs>
          <w:tab w:val="num" w:pos="3570"/>
        </w:tabs>
        <w:ind w:left="3570" w:hanging="360"/>
      </w:pPr>
      <w:rPr>
        <w:rFonts w:ascii="Wingdings" w:hAnsi="Wingdings" w:hint="default"/>
      </w:rPr>
    </w:lvl>
    <w:lvl w:ilvl="3" w:tentative="1">
      <w:start w:val="1"/>
      <w:numFmt w:val="bullet"/>
      <w:lvlText w:val=""/>
      <w:lvlJc w:val="left"/>
      <w:pPr>
        <w:tabs>
          <w:tab w:val="num" w:pos="4290"/>
        </w:tabs>
        <w:ind w:left="4290" w:hanging="360"/>
      </w:pPr>
      <w:rPr>
        <w:rFonts w:ascii="Symbol" w:hAnsi="Symbol" w:hint="default"/>
      </w:rPr>
    </w:lvl>
    <w:lvl w:ilvl="4" w:tentative="1">
      <w:start w:val="1"/>
      <w:numFmt w:val="bullet"/>
      <w:lvlText w:val="o"/>
      <w:lvlJc w:val="left"/>
      <w:pPr>
        <w:tabs>
          <w:tab w:val="num" w:pos="5010"/>
        </w:tabs>
        <w:ind w:left="5010" w:hanging="360"/>
      </w:pPr>
      <w:rPr>
        <w:rFonts w:ascii="Courier New" w:hAnsi="Courier New" w:hint="default"/>
      </w:rPr>
    </w:lvl>
    <w:lvl w:ilvl="5" w:tentative="1">
      <w:start w:val="1"/>
      <w:numFmt w:val="bullet"/>
      <w:lvlText w:val=""/>
      <w:lvlJc w:val="left"/>
      <w:pPr>
        <w:tabs>
          <w:tab w:val="num" w:pos="5730"/>
        </w:tabs>
        <w:ind w:left="5730" w:hanging="360"/>
      </w:pPr>
      <w:rPr>
        <w:rFonts w:ascii="Wingdings" w:hAnsi="Wingdings" w:hint="default"/>
      </w:rPr>
    </w:lvl>
    <w:lvl w:ilvl="6" w:tentative="1">
      <w:start w:val="1"/>
      <w:numFmt w:val="bullet"/>
      <w:lvlText w:val=""/>
      <w:lvlJc w:val="left"/>
      <w:pPr>
        <w:tabs>
          <w:tab w:val="num" w:pos="6450"/>
        </w:tabs>
        <w:ind w:left="6450" w:hanging="360"/>
      </w:pPr>
      <w:rPr>
        <w:rFonts w:ascii="Symbol" w:hAnsi="Symbol" w:hint="default"/>
      </w:rPr>
    </w:lvl>
    <w:lvl w:ilvl="7" w:tentative="1">
      <w:start w:val="1"/>
      <w:numFmt w:val="bullet"/>
      <w:lvlText w:val="o"/>
      <w:lvlJc w:val="left"/>
      <w:pPr>
        <w:tabs>
          <w:tab w:val="num" w:pos="7170"/>
        </w:tabs>
        <w:ind w:left="7170" w:hanging="360"/>
      </w:pPr>
      <w:rPr>
        <w:rFonts w:ascii="Courier New" w:hAnsi="Courier New" w:hint="default"/>
      </w:rPr>
    </w:lvl>
    <w:lvl w:ilvl="8" w:tentative="1">
      <w:start w:val="1"/>
      <w:numFmt w:val="bullet"/>
      <w:lvlText w:val=""/>
      <w:lvlJc w:val="left"/>
      <w:pPr>
        <w:tabs>
          <w:tab w:val="num" w:pos="7890"/>
        </w:tabs>
        <w:ind w:left="7890" w:hanging="360"/>
      </w:pPr>
      <w:rPr>
        <w:rFonts w:ascii="Wingdings" w:hAnsi="Wingdings" w:hint="default"/>
      </w:rPr>
    </w:lvl>
  </w:abstractNum>
  <w:abstractNum w:abstractNumId="36">
    <w:nsid w:val="3E527EA6"/>
    <w:multiLevelType w:val="multilevel"/>
    <w:tmpl w:val="ED5A5728"/>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37">
    <w:nsid w:val="44A36DBC"/>
    <w:multiLevelType w:val="multilevel"/>
    <w:tmpl w:val="4A30A100"/>
    <w:lvl w:ilvl="0">
      <w:start w:val="15"/>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057EF8"/>
    <w:multiLevelType w:val="singleLevel"/>
    <w:tmpl w:val="FC001C36"/>
    <w:lvl w:ilvl="0">
      <w:start w:val="7"/>
      <w:numFmt w:val="decimal"/>
      <w:lvlRestart w:val="0"/>
      <w:lvlText w:val="%1."/>
      <w:lvlJc w:val="left"/>
      <w:pPr>
        <w:tabs>
          <w:tab w:val="num" w:pos="475"/>
        </w:tabs>
        <w:ind w:left="0" w:firstLine="0"/>
      </w:pPr>
    </w:lvl>
  </w:abstractNum>
  <w:abstractNum w:abstractNumId="39">
    <w:nsid w:val="465C0DC5"/>
    <w:multiLevelType w:val="multilevel"/>
    <w:tmpl w:val="D952B67A"/>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6A2217"/>
    <w:multiLevelType w:val="multilevel"/>
    <w:tmpl w:val="22020104"/>
    <w:lvl w:ilvl="0">
      <w:start w:val="12"/>
      <w:numFmt w:val="decimal"/>
      <w:lvlText w:val="%1"/>
      <w:lvlJc w:val="left"/>
      <w:pPr>
        <w:tabs>
          <w:tab w:val="num" w:pos="420"/>
        </w:tabs>
        <w:ind w:left="420" w:hanging="420"/>
      </w:pPr>
      <w:rPr>
        <w:rFonts w:hint="default"/>
      </w:rPr>
    </w:lvl>
    <w:lvl w:ilvl="1">
      <w:start w:val="6"/>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D76F65"/>
    <w:multiLevelType w:val="multilevel"/>
    <w:tmpl w:val="E09C80BC"/>
    <w:lvl w:ilvl="0">
      <w:start w:val="1"/>
      <w:numFmt w:val="decimal"/>
      <w:lvlText w:val="%1"/>
      <w:lvlJc w:val="left"/>
      <w:pPr>
        <w:tabs>
          <w:tab w:val="num" w:pos="360"/>
        </w:tabs>
        <w:ind w:left="360" w:hanging="360"/>
      </w:pPr>
      <w:rPr>
        <w:rFonts w:hint="default"/>
      </w:rPr>
    </w:lvl>
    <w:lvl w:ilvl="1">
      <w:start w:val="1"/>
      <w:numFmt w:val="lowerRoman"/>
      <w:lvlText w:val="%2."/>
      <w:lvlJc w:val="left"/>
      <w:pPr>
        <w:tabs>
          <w:tab w:val="num" w:pos="1440"/>
        </w:tabs>
        <w:ind w:left="1440" w:hanging="72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2">
    <w:nsid w:val="49DC313A"/>
    <w:multiLevelType w:val="multilevel"/>
    <w:tmpl w:val="676C1BA8"/>
    <w:lvl w:ilvl="0">
      <w:start w:val="14"/>
      <w:numFmt w:val="decimal"/>
      <w:lvlText w:val="%1"/>
      <w:lvlJc w:val="left"/>
      <w:pPr>
        <w:tabs>
          <w:tab w:val="num" w:pos="705"/>
        </w:tabs>
        <w:ind w:left="705" w:hanging="705"/>
      </w:pPr>
      <w:rPr>
        <w:rFonts w:hint="default"/>
      </w:rPr>
    </w:lvl>
    <w:lvl w:ilvl="1">
      <w:start w:val="7"/>
      <w:numFmt w:val="decimal"/>
      <w:lvlText w:val="%1.%2"/>
      <w:lvlJc w:val="left"/>
      <w:pPr>
        <w:tabs>
          <w:tab w:val="num" w:pos="1059"/>
        </w:tabs>
        <w:ind w:left="1059" w:hanging="705"/>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43">
    <w:nsid w:val="4B6D4717"/>
    <w:multiLevelType w:val="multilevel"/>
    <w:tmpl w:val="3D3C7574"/>
    <w:lvl w:ilvl="0">
      <w:start w:val="2"/>
      <w:numFmt w:val="lowerLetter"/>
      <w:lvlText w:val="%1)"/>
      <w:lvlJc w:val="left"/>
      <w:pPr>
        <w:tabs>
          <w:tab w:val="num" w:pos="1413"/>
        </w:tabs>
        <w:ind w:left="1413" w:hanging="705"/>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44">
    <w:nsid w:val="4BFA0870"/>
    <w:multiLevelType w:val="multilevel"/>
    <w:tmpl w:val="D33E7CC6"/>
    <w:lvl w:ilvl="0">
      <w:start w:val="6"/>
      <w:numFmt w:val="decimal"/>
      <w:lvlText w:val="%1"/>
      <w:lvlJc w:val="left"/>
      <w:pPr>
        <w:tabs>
          <w:tab w:val="num" w:pos="705"/>
        </w:tabs>
        <w:ind w:left="705" w:hanging="705"/>
      </w:pPr>
      <w:rPr>
        <w:rFonts w:hint="default"/>
        <w:b/>
        <w:i/>
      </w:rPr>
    </w:lvl>
    <w:lvl w:ilvl="1">
      <w:start w:val="2"/>
      <w:numFmt w:val="decimal"/>
      <w:lvlText w:val="%1.%2"/>
      <w:lvlJc w:val="left"/>
      <w:pPr>
        <w:tabs>
          <w:tab w:val="num" w:pos="705"/>
        </w:tabs>
        <w:ind w:left="705" w:hanging="705"/>
      </w:pPr>
      <w:rPr>
        <w:rFonts w:hint="default"/>
        <w:b/>
        <w:i/>
      </w:rPr>
    </w:lvl>
    <w:lvl w:ilvl="2">
      <w:start w:val="1"/>
      <w:numFmt w:val="decimal"/>
      <w:lvlText w:val="%1.%2.%3"/>
      <w:lvlJc w:val="left"/>
      <w:pPr>
        <w:tabs>
          <w:tab w:val="num" w:pos="720"/>
        </w:tabs>
        <w:ind w:left="720" w:hanging="720"/>
      </w:pPr>
      <w:rPr>
        <w:rFonts w:hint="default"/>
        <w:b/>
        <w:i/>
      </w:rPr>
    </w:lvl>
    <w:lvl w:ilvl="3">
      <w:start w:val="1"/>
      <w:numFmt w:val="decimal"/>
      <w:lvlText w:val="%1.%2.%3.%4"/>
      <w:lvlJc w:val="left"/>
      <w:pPr>
        <w:tabs>
          <w:tab w:val="num" w:pos="720"/>
        </w:tabs>
        <w:ind w:left="720" w:hanging="72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080"/>
        </w:tabs>
        <w:ind w:left="1080" w:hanging="1080"/>
      </w:pPr>
      <w:rPr>
        <w:rFonts w:hint="default"/>
        <w:b/>
        <w:i/>
      </w:rPr>
    </w:lvl>
    <w:lvl w:ilvl="6">
      <w:start w:val="1"/>
      <w:numFmt w:val="decimal"/>
      <w:lvlText w:val="%1.%2.%3.%4.%5.%6.%7"/>
      <w:lvlJc w:val="left"/>
      <w:pPr>
        <w:tabs>
          <w:tab w:val="num" w:pos="1440"/>
        </w:tabs>
        <w:ind w:left="1440" w:hanging="1440"/>
      </w:pPr>
      <w:rPr>
        <w:rFonts w:hint="default"/>
        <w:b/>
        <w:i/>
      </w:rPr>
    </w:lvl>
    <w:lvl w:ilvl="7">
      <w:start w:val="1"/>
      <w:numFmt w:val="decimal"/>
      <w:lvlText w:val="%1.%2.%3.%4.%5.%6.%7.%8"/>
      <w:lvlJc w:val="left"/>
      <w:pPr>
        <w:tabs>
          <w:tab w:val="num" w:pos="1440"/>
        </w:tabs>
        <w:ind w:left="1440" w:hanging="1440"/>
      </w:pPr>
      <w:rPr>
        <w:rFonts w:hint="default"/>
        <w:b/>
        <w:i/>
      </w:rPr>
    </w:lvl>
    <w:lvl w:ilvl="8">
      <w:start w:val="1"/>
      <w:numFmt w:val="decimal"/>
      <w:lvlText w:val="%1.%2.%3.%4.%5.%6.%7.%8.%9"/>
      <w:lvlJc w:val="left"/>
      <w:pPr>
        <w:tabs>
          <w:tab w:val="num" w:pos="1800"/>
        </w:tabs>
        <w:ind w:left="1800" w:hanging="1800"/>
      </w:pPr>
      <w:rPr>
        <w:rFonts w:hint="default"/>
        <w:b/>
        <w:i/>
      </w:rPr>
    </w:lvl>
  </w:abstractNum>
  <w:abstractNum w:abstractNumId="45">
    <w:nsid w:val="4C701E9D"/>
    <w:multiLevelType w:val="multilevel"/>
    <w:tmpl w:val="5B46FE78"/>
    <w:lvl w:ilvl="0">
      <w:start w:val="10"/>
      <w:numFmt w:val="decimal"/>
      <w:lvlText w:val="%1"/>
      <w:lvlJc w:val="left"/>
      <w:pPr>
        <w:tabs>
          <w:tab w:val="num" w:pos="495"/>
        </w:tabs>
        <w:ind w:left="495" w:hanging="495"/>
      </w:pPr>
      <w:rPr>
        <w:rFonts w:hint="default"/>
      </w:rPr>
    </w:lvl>
    <w:lvl w:ilvl="1">
      <w:start w:val="4"/>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nsid w:val="4D9C191C"/>
    <w:multiLevelType w:val="multilevel"/>
    <w:tmpl w:val="DF8CB8CE"/>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DD644F0"/>
    <w:multiLevelType w:val="multilevel"/>
    <w:tmpl w:val="CC1243AA"/>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48">
    <w:nsid w:val="4EB77E9E"/>
    <w:multiLevelType w:val="singleLevel"/>
    <w:tmpl w:val="9A369E76"/>
    <w:lvl w:ilvl="0">
      <w:start w:val="8"/>
      <w:numFmt w:val="decimal"/>
      <w:lvlRestart w:val="0"/>
      <w:lvlText w:val="%1."/>
      <w:lvlJc w:val="left"/>
      <w:pPr>
        <w:tabs>
          <w:tab w:val="num" w:pos="475"/>
        </w:tabs>
        <w:ind w:left="0" w:firstLine="0"/>
      </w:pPr>
    </w:lvl>
  </w:abstractNum>
  <w:abstractNum w:abstractNumId="49">
    <w:nsid w:val="52862515"/>
    <w:multiLevelType w:val="singleLevel"/>
    <w:tmpl w:val="0809001B"/>
    <w:lvl w:ilvl="0">
      <w:start w:val="1"/>
      <w:numFmt w:val="lowerRoman"/>
      <w:lvlText w:val="%1."/>
      <w:lvlJc w:val="right"/>
      <w:pPr>
        <w:tabs>
          <w:tab w:val="num" w:pos="504"/>
        </w:tabs>
        <w:ind w:left="504" w:hanging="216"/>
      </w:pPr>
    </w:lvl>
  </w:abstractNum>
  <w:abstractNum w:abstractNumId="50">
    <w:nsid w:val="5538097E"/>
    <w:multiLevelType w:val="multilevel"/>
    <w:tmpl w:val="C8AE59E4"/>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51">
    <w:nsid w:val="56471F55"/>
    <w:multiLevelType w:val="multilevel"/>
    <w:tmpl w:val="0AEC6372"/>
    <w:lvl w:ilvl="0">
      <w:start w:val="11"/>
      <w:numFmt w:val="decimal"/>
      <w:lvlText w:val="%1"/>
      <w:lvlJc w:val="left"/>
      <w:pPr>
        <w:tabs>
          <w:tab w:val="num" w:pos="705"/>
        </w:tabs>
        <w:ind w:left="705" w:hanging="705"/>
      </w:pPr>
      <w:rPr>
        <w:rFonts w:hint="default"/>
      </w:rPr>
    </w:lvl>
    <w:lvl w:ilv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6CE6B98"/>
    <w:multiLevelType w:val="multilevel"/>
    <w:tmpl w:val="D04C758C"/>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nsid w:val="56CF0B25"/>
    <w:multiLevelType w:val="multilevel"/>
    <w:tmpl w:val="6BB2FC46"/>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54">
    <w:nsid w:val="57E64D66"/>
    <w:multiLevelType w:val="multilevel"/>
    <w:tmpl w:val="1462434A"/>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55">
    <w:nsid w:val="594A397D"/>
    <w:multiLevelType w:val="multilevel"/>
    <w:tmpl w:val="8B92F286"/>
    <w:lvl w:ilvl="0">
      <w:start w:val="1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99A250A"/>
    <w:multiLevelType w:val="multilevel"/>
    <w:tmpl w:val="97982238"/>
    <w:lvl w:ilvl="0">
      <w:start w:val="12"/>
      <w:numFmt w:val="decimal"/>
      <w:lvlText w:val="%1"/>
      <w:lvlJc w:val="left"/>
      <w:pPr>
        <w:tabs>
          <w:tab w:val="num" w:pos="705"/>
        </w:tabs>
        <w:ind w:left="705" w:hanging="705"/>
      </w:pPr>
      <w:rPr>
        <w:rFonts w:hint="default"/>
      </w:rPr>
    </w:lvl>
    <w:lvl w:ilv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B521471"/>
    <w:multiLevelType w:val="multilevel"/>
    <w:tmpl w:val="B3B6D3EC"/>
    <w:lvl w:ilvl="0">
      <w:start w:val="10"/>
      <w:numFmt w:val="decimal"/>
      <w:lvlText w:val="%1."/>
      <w:lvlJc w:val="left"/>
      <w:pPr>
        <w:tabs>
          <w:tab w:val="num" w:pos="705"/>
        </w:tabs>
        <w:ind w:left="705" w:hanging="705"/>
      </w:pPr>
      <w:rPr>
        <w:rFonts w:hint="default"/>
      </w:rPr>
    </w:lvl>
    <w:lvl w:ilvl="1">
      <w:start w:val="4"/>
      <w:numFmt w:val="decimal"/>
      <w:lvlText w:val="%1.%2."/>
      <w:lvlJc w:val="left"/>
      <w:pPr>
        <w:tabs>
          <w:tab w:val="num" w:pos="705"/>
        </w:tabs>
        <w:ind w:left="705" w:hanging="7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BA45F79"/>
    <w:multiLevelType w:val="multilevel"/>
    <w:tmpl w:val="5D3AF2F4"/>
    <w:lvl w:ilvl="0">
      <w:start w:val="11"/>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
    <w:nsid w:val="5BC84F0B"/>
    <w:multiLevelType w:val="multilevel"/>
    <w:tmpl w:val="2F5099B2"/>
    <w:lvl w:ilvl="0">
      <w:start w:val="1"/>
      <w:numFmt w:val="bullet"/>
      <w:lvlText w:val=""/>
      <w:lvlJc w:val="left"/>
      <w:pPr>
        <w:tabs>
          <w:tab w:val="num" w:pos="1776"/>
        </w:tabs>
        <w:ind w:left="1756" w:hanging="340"/>
      </w:pPr>
      <w:rPr>
        <w:rFonts w:ascii="Symbol" w:hAnsi="Symbol" w:hint="default"/>
      </w:rPr>
    </w:lvl>
    <w:lvl w:ilvl="1">
      <w:start w:val="1"/>
      <w:numFmt w:val="bullet"/>
      <w:lvlText w:val=""/>
      <w:lvlJc w:val="left"/>
      <w:pPr>
        <w:tabs>
          <w:tab w:val="num" w:pos="2856"/>
        </w:tabs>
        <w:ind w:left="2856" w:hanging="360"/>
      </w:pPr>
      <w:rPr>
        <w:rFonts w:ascii="Wingdings" w:hAnsi="Wingdings" w:hint="default"/>
        <w:sz w:val="16"/>
      </w:rPr>
    </w:lvl>
    <w:lvl w:ilvl="2">
      <w:start w:val="1"/>
      <w:numFmt w:val="bullet"/>
      <w:lvlText w:val=""/>
      <w:lvlJc w:val="left"/>
      <w:pPr>
        <w:tabs>
          <w:tab w:val="num" w:pos="3576"/>
        </w:tabs>
        <w:ind w:left="3556" w:hanging="340"/>
      </w:pPr>
      <w:rPr>
        <w:rFonts w:ascii="Symbol" w:hAnsi="Symbol"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60">
    <w:nsid w:val="5C155C9F"/>
    <w:multiLevelType w:val="multilevel"/>
    <w:tmpl w:val="2CA2AC5C"/>
    <w:lvl w:ilvl="0">
      <w:start w:val="1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1">
    <w:nsid w:val="5F643729"/>
    <w:multiLevelType w:val="multilevel"/>
    <w:tmpl w:val="A80EC866"/>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62">
    <w:nsid w:val="601E1C87"/>
    <w:multiLevelType w:val="multilevel"/>
    <w:tmpl w:val="2AE8747A"/>
    <w:lvl w:ilvl="0">
      <w:start w:val="1"/>
      <w:numFmt w:val="decimal"/>
      <w:lvlText w:val="%1.0"/>
      <w:lvlJc w:val="left"/>
      <w:pPr>
        <w:tabs>
          <w:tab w:val="num" w:pos="705"/>
        </w:tabs>
        <w:ind w:left="705" w:hanging="705"/>
      </w:pPr>
      <w:rPr>
        <w:rFonts w:hint="default"/>
        <w:u w:val="none"/>
      </w:rPr>
    </w:lvl>
    <w:lvl w:ilvl="1">
      <w:start w:val="1"/>
      <w:numFmt w:val="decimal"/>
      <w:lvlText w:val="%1.%2"/>
      <w:lvlJc w:val="left"/>
      <w:pPr>
        <w:tabs>
          <w:tab w:val="num" w:pos="1413"/>
        </w:tabs>
        <w:ind w:left="1413" w:hanging="705"/>
      </w:pPr>
      <w:rPr>
        <w:rFonts w:hint="default"/>
        <w:u w:val="none"/>
      </w:rPr>
    </w:lvl>
    <w:lvl w:ilvl="2">
      <w:start w:val="1"/>
      <w:numFmt w:val="decimal"/>
      <w:lvlText w:val="%1.%2.%3"/>
      <w:lvlJc w:val="left"/>
      <w:pPr>
        <w:tabs>
          <w:tab w:val="num" w:pos="2136"/>
        </w:tabs>
        <w:ind w:left="2136" w:hanging="720"/>
      </w:pPr>
      <w:rPr>
        <w:rFonts w:hint="default"/>
        <w:u w:val="none"/>
      </w:rPr>
    </w:lvl>
    <w:lvl w:ilvl="3">
      <w:start w:val="1"/>
      <w:numFmt w:val="decimal"/>
      <w:lvlText w:val="%1.%2.%3.%4"/>
      <w:lvlJc w:val="left"/>
      <w:pPr>
        <w:tabs>
          <w:tab w:val="num" w:pos="2844"/>
        </w:tabs>
        <w:ind w:left="2844" w:hanging="720"/>
      </w:pPr>
      <w:rPr>
        <w:rFonts w:hint="default"/>
        <w:u w:val="none"/>
      </w:rPr>
    </w:lvl>
    <w:lvl w:ilvl="4">
      <w:start w:val="1"/>
      <w:numFmt w:val="decimal"/>
      <w:lvlText w:val="%1.%2.%3.%4.%5"/>
      <w:lvlJc w:val="left"/>
      <w:pPr>
        <w:tabs>
          <w:tab w:val="num" w:pos="3912"/>
        </w:tabs>
        <w:ind w:left="3912" w:hanging="1080"/>
      </w:pPr>
      <w:rPr>
        <w:rFonts w:hint="default"/>
        <w:u w:val="none"/>
      </w:rPr>
    </w:lvl>
    <w:lvl w:ilvl="5">
      <w:start w:val="1"/>
      <w:numFmt w:val="decimal"/>
      <w:lvlText w:val="%1.%2.%3.%4.%5.%6"/>
      <w:lvlJc w:val="left"/>
      <w:pPr>
        <w:tabs>
          <w:tab w:val="num" w:pos="4620"/>
        </w:tabs>
        <w:ind w:left="4620" w:hanging="1080"/>
      </w:pPr>
      <w:rPr>
        <w:rFonts w:hint="default"/>
        <w:u w:val="none"/>
      </w:rPr>
    </w:lvl>
    <w:lvl w:ilvl="6">
      <w:start w:val="1"/>
      <w:numFmt w:val="decimal"/>
      <w:lvlText w:val="%1.%2.%3.%4.%5.%6.%7"/>
      <w:lvlJc w:val="left"/>
      <w:pPr>
        <w:tabs>
          <w:tab w:val="num" w:pos="5688"/>
        </w:tabs>
        <w:ind w:left="5688" w:hanging="1440"/>
      </w:pPr>
      <w:rPr>
        <w:rFonts w:hint="default"/>
        <w:u w:val="none"/>
      </w:rPr>
    </w:lvl>
    <w:lvl w:ilvl="7">
      <w:start w:val="1"/>
      <w:numFmt w:val="decimal"/>
      <w:lvlText w:val="%1.%2.%3.%4.%5.%6.%7.%8"/>
      <w:lvlJc w:val="left"/>
      <w:pPr>
        <w:tabs>
          <w:tab w:val="num" w:pos="6396"/>
        </w:tabs>
        <w:ind w:left="6396" w:hanging="1440"/>
      </w:pPr>
      <w:rPr>
        <w:rFonts w:hint="default"/>
        <w:u w:val="none"/>
      </w:rPr>
    </w:lvl>
    <w:lvl w:ilvl="8">
      <w:start w:val="1"/>
      <w:numFmt w:val="decimal"/>
      <w:lvlText w:val="%1.%2.%3.%4.%5.%6.%7.%8.%9"/>
      <w:lvlJc w:val="left"/>
      <w:pPr>
        <w:tabs>
          <w:tab w:val="num" w:pos="7464"/>
        </w:tabs>
        <w:ind w:left="7464" w:hanging="1800"/>
      </w:pPr>
      <w:rPr>
        <w:rFonts w:hint="default"/>
        <w:u w:val="none"/>
      </w:rPr>
    </w:lvl>
  </w:abstractNum>
  <w:abstractNum w:abstractNumId="63">
    <w:nsid w:val="60561ACF"/>
    <w:multiLevelType w:val="multilevel"/>
    <w:tmpl w:val="428666C4"/>
    <w:lvl w:ilvl="0">
      <w:start w:val="1"/>
      <w:numFmt w:val="lowerRoman"/>
      <w:lvlText w:val="%1."/>
      <w:lvlJc w:val="left"/>
      <w:pPr>
        <w:tabs>
          <w:tab w:val="num" w:pos="1440"/>
        </w:tabs>
        <w:ind w:left="144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61426AC2"/>
    <w:multiLevelType w:val="multilevel"/>
    <w:tmpl w:val="E5A0AE38"/>
    <w:lvl w:ilvl="0">
      <w:start w:val="2"/>
      <w:numFmt w:val="decimal"/>
      <w:lvlText w:val="%1"/>
      <w:lvlJc w:val="left"/>
      <w:pPr>
        <w:tabs>
          <w:tab w:val="num" w:pos="1410"/>
        </w:tabs>
        <w:ind w:left="1410" w:hanging="1410"/>
      </w:pPr>
      <w:rPr>
        <w:rFonts w:hint="default"/>
      </w:rPr>
    </w:lvl>
    <w:lvl w:ilvl="1">
      <w:start w:val="2"/>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640738D7"/>
    <w:multiLevelType w:val="multilevel"/>
    <w:tmpl w:val="919C9246"/>
    <w:lvl w:ilvl="0">
      <w:start w:val="1"/>
      <w:numFmt w:val="decimal"/>
      <w:lvlText w:val="%1.0"/>
      <w:lvlJc w:val="left"/>
      <w:pPr>
        <w:tabs>
          <w:tab w:val="num" w:pos="1410"/>
        </w:tabs>
        <w:ind w:left="1410" w:hanging="1050"/>
      </w:pPr>
      <w:rPr>
        <w:rFonts w:hint="default"/>
        <w:b/>
      </w:rPr>
    </w:lvl>
    <w:lvl w:ilvl="1">
      <w:start w:val="1"/>
      <w:numFmt w:val="decimal"/>
      <w:lvlText w:val="%1.%2"/>
      <w:lvlJc w:val="left"/>
      <w:pPr>
        <w:tabs>
          <w:tab w:val="num" w:pos="2118"/>
        </w:tabs>
        <w:ind w:left="2118" w:hanging="1050"/>
      </w:pPr>
      <w:rPr>
        <w:rFonts w:hint="default"/>
        <w:b/>
      </w:rPr>
    </w:lvl>
    <w:lvl w:ilvl="2">
      <w:start w:val="1"/>
      <w:numFmt w:val="decimal"/>
      <w:lvlText w:val="%1.%2.%3"/>
      <w:lvlJc w:val="left"/>
      <w:pPr>
        <w:tabs>
          <w:tab w:val="num" w:pos="2826"/>
        </w:tabs>
        <w:ind w:left="2826" w:hanging="1050"/>
      </w:pPr>
      <w:rPr>
        <w:rFonts w:hint="default"/>
        <w:b/>
      </w:rPr>
    </w:lvl>
    <w:lvl w:ilvl="3">
      <w:start w:val="1"/>
      <w:numFmt w:val="decimal"/>
      <w:lvlText w:val="%1.%2.%3.%4"/>
      <w:lvlJc w:val="left"/>
      <w:pPr>
        <w:tabs>
          <w:tab w:val="num" w:pos="3534"/>
        </w:tabs>
        <w:ind w:left="3534" w:hanging="1050"/>
      </w:pPr>
      <w:rPr>
        <w:rFonts w:hint="default"/>
        <w:b/>
      </w:rPr>
    </w:lvl>
    <w:lvl w:ilvl="4">
      <w:start w:val="1"/>
      <w:numFmt w:val="decimal"/>
      <w:lvlText w:val="%1.%2.%3.%4.%5"/>
      <w:lvlJc w:val="left"/>
      <w:pPr>
        <w:tabs>
          <w:tab w:val="num" w:pos="4272"/>
        </w:tabs>
        <w:ind w:left="4272" w:hanging="1080"/>
      </w:pPr>
      <w:rPr>
        <w:rFonts w:hint="default"/>
        <w:b/>
      </w:rPr>
    </w:lvl>
    <w:lvl w:ilvl="5">
      <w:start w:val="1"/>
      <w:numFmt w:val="decimal"/>
      <w:lvlText w:val="%1.%2.%3.%4.%5.%6"/>
      <w:lvlJc w:val="left"/>
      <w:pPr>
        <w:tabs>
          <w:tab w:val="num" w:pos="4980"/>
        </w:tabs>
        <w:ind w:left="4980" w:hanging="1080"/>
      </w:pPr>
      <w:rPr>
        <w:rFonts w:hint="default"/>
        <w:b/>
      </w:rPr>
    </w:lvl>
    <w:lvl w:ilvl="6">
      <w:start w:val="1"/>
      <w:numFmt w:val="decimal"/>
      <w:lvlText w:val="%1.%2.%3.%4.%5.%6.%7"/>
      <w:lvlJc w:val="left"/>
      <w:pPr>
        <w:tabs>
          <w:tab w:val="num" w:pos="6048"/>
        </w:tabs>
        <w:ind w:left="6048" w:hanging="1440"/>
      </w:pPr>
      <w:rPr>
        <w:rFonts w:hint="default"/>
        <w:b/>
      </w:rPr>
    </w:lvl>
    <w:lvl w:ilvl="7">
      <w:start w:val="1"/>
      <w:numFmt w:val="decimal"/>
      <w:lvlText w:val="%1.%2.%3.%4.%5.%6.%7.%8"/>
      <w:lvlJc w:val="left"/>
      <w:pPr>
        <w:tabs>
          <w:tab w:val="num" w:pos="6756"/>
        </w:tabs>
        <w:ind w:left="6756" w:hanging="1440"/>
      </w:pPr>
      <w:rPr>
        <w:rFonts w:hint="default"/>
        <w:b/>
      </w:rPr>
    </w:lvl>
    <w:lvl w:ilvl="8">
      <w:start w:val="1"/>
      <w:numFmt w:val="decimal"/>
      <w:lvlText w:val="%1.%2.%3.%4.%5.%6.%7.%8.%9"/>
      <w:lvlJc w:val="left"/>
      <w:pPr>
        <w:tabs>
          <w:tab w:val="num" w:pos="7824"/>
        </w:tabs>
        <w:ind w:left="7824" w:hanging="1800"/>
      </w:pPr>
      <w:rPr>
        <w:rFonts w:hint="default"/>
        <w:b/>
      </w:rPr>
    </w:lvl>
  </w:abstractNum>
  <w:abstractNum w:abstractNumId="66">
    <w:nsid w:val="64FB3F7B"/>
    <w:multiLevelType w:val="multilevel"/>
    <w:tmpl w:val="2AF43E3A"/>
    <w:lvl w:ilvl="0">
      <w:start w:val="9"/>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660F0FE7"/>
    <w:multiLevelType w:val="multilevel"/>
    <w:tmpl w:val="7D7A3654"/>
    <w:lvl w:ilvl="0">
      <w:start w:val="1"/>
      <w:numFmt w:val="lowerRoman"/>
      <w:lvlText w:val="%1."/>
      <w:lvlJc w:val="left"/>
      <w:pPr>
        <w:tabs>
          <w:tab w:val="num" w:pos="960"/>
        </w:tabs>
        <w:ind w:left="960" w:hanging="720"/>
      </w:pPr>
      <w:rPr>
        <w:rFonts w:hint="default"/>
      </w:rPr>
    </w:lvl>
    <w:lvl w:ilvl="1" w:tentative="1">
      <w:start w:val="1"/>
      <w:numFmt w:val="lowerLetter"/>
      <w:lvlText w:val="%2."/>
      <w:lvlJc w:val="left"/>
      <w:pPr>
        <w:tabs>
          <w:tab w:val="num" w:pos="960"/>
        </w:tabs>
        <w:ind w:left="960" w:hanging="360"/>
      </w:pPr>
    </w:lvl>
    <w:lvl w:ilvl="2" w:tentative="1">
      <w:start w:val="1"/>
      <w:numFmt w:val="lowerRoman"/>
      <w:lvlText w:val="%3."/>
      <w:lvlJc w:val="right"/>
      <w:pPr>
        <w:tabs>
          <w:tab w:val="num" w:pos="1680"/>
        </w:tabs>
        <w:ind w:left="1680" w:hanging="180"/>
      </w:pPr>
    </w:lvl>
    <w:lvl w:ilvl="3" w:tentative="1">
      <w:start w:val="1"/>
      <w:numFmt w:val="decimal"/>
      <w:lvlText w:val="%4."/>
      <w:lvlJc w:val="left"/>
      <w:pPr>
        <w:tabs>
          <w:tab w:val="num" w:pos="2400"/>
        </w:tabs>
        <w:ind w:left="2400" w:hanging="360"/>
      </w:pPr>
    </w:lvl>
    <w:lvl w:ilvl="4" w:tentative="1">
      <w:start w:val="1"/>
      <w:numFmt w:val="lowerLetter"/>
      <w:lvlText w:val="%5."/>
      <w:lvlJc w:val="left"/>
      <w:pPr>
        <w:tabs>
          <w:tab w:val="num" w:pos="3120"/>
        </w:tabs>
        <w:ind w:left="3120" w:hanging="360"/>
      </w:pPr>
    </w:lvl>
    <w:lvl w:ilvl="5" w:tentative="1">
      <w:start w:val="1"/>
      <w:numFmt w:val="lowerRoman"/>
      <w:lvlText w:val="%6."/>
      <w:lvlJc w:val="right"/>
      <w:pPr>
        <w:tabs>
          <w:tab w:val="num" w:pos="3840"/>
        </w:tabs>
        <w:ind w:left="3840" w:hanging="180"/>
      </w:pPr>
    </w:lvl>
    <w:lvl w:ilvl="6" w:tentative="1">
      <w:start w:val="1"/>
      <w:numFmt w:val="decimal"/>
      <w:lvlText w:val="%7."/>
      <w:lvlJc w:val="left"/>
      <w:pPr>
        <w:tabs>
          <w:tab w:val="num" w:pos="4560"/>
        </w:tabs>
        <w:ind w:left="4560" w:hanging="360"/>
      </w:pPr>
    </w:lvl>
    <w:lvl w:ilvl="7" w:tentative="1">
      <w:start w:val="1"/>
      <w:numFmt w:val="lowerLetter"/>
      <w:lvlText w:val="%8."/>
      <w:lvlJc w:val="left"/>
      <w:pPr>
        <w:tabs>
          <w:tab w:val="num" w:pos="5280"/>
        </w:tabs>
        <w:ind w:left="5280" w:hanging="360"/>
      </w:pPr>
    </w:lvl>
    <w:lvl w:ilvl="8" w:tentative="1">
      <w:start w:val="1"/>
      <w:numFmt w:val="lowerRoman"/>
      <w:lvlText w:val="%9."/>
      <w:lvlJc w:val="right"/>
      <w:pPr>
        <w:tabs>
          <w:tab w:val="num" w:pos="6000"/>
        </w:tabs>
        <w:ind w:left="6000" w:hanging="180"/>
      </w:pPr>
    </w:lvl>
  </w:abstractNum>
  <w:abstractNum w:abstractNumId="68">
    <w:nsid w:val="67A90BB4"/>
    <w:multiLevelType w:val="multilevel"/>
    <w:tmpl w:val="41A854E2"/>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69">
    <w:nsid w:val="69C33E1D"/>
    <w:multiLevelType w:val="multilevel"/>
    <w:tmpl w:val="47281B4C"/>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70">
    <w:nsid w:val="6DC87365"/>
    <w:multiLevelType w:val="multilevel"/>
    <w:tmpl w:val="64A0CD3A"/>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71">
    <w:nsid w:val="6E103119"/>
    <w:multiLevelType w:val="multilevel"/>
    <w:tmpl w:val="B5F0279E"/>
    <w:lvl w:ilvl="0">
      <w:start w:val="3"/>
      <w:numFmt w:val="decimal"/>
      <w:lvlText w:val="%1"/>
      <w:lvlJc w:val="left"/>
      <w:pPr>
        <w:tabs>
          <w:tab w:val="num" w:pos="705"/>
        </w:tabs>
        <w:ind w:left="705" w:hanging="705"/>
      </w:pPr>
      <w:rPr>
        <w:rFonts w:hint="default"/>
      </w:rPr>
    </w:lvl>
    <w:lvl w:ilv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702B01EE"/>
    <w:multiLevelType w:val="multilevel"/>
    <w:tmpl w:val="593EFCD8"/>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73">
    <w:nsid w:val="70332DBE"/>
    <w:multiLevelType w:val="multilevel"/>
    <w:tmpl w:val="FF586BCC"/>
    <w:lvl w:ilvl="0">
      <w:start w:val="1"/>
      <w:numFmt w:val="decimal"/>
      <w:lvlText w:val="%1.0"/>
      <w:lvlJc w:val="left"/>
      <w:pPr>
        <w:tabs>
          <w:tab w:val="num" w:pos="720"/>
        </w:tabs>
        <w:ind w:left="72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496"/>
        </w:tabs>
        <w:ind w:left="2496" w:hanging="720"/>
      </w:pPr>
      <w:rPr>
        <w:rFonts w:hint="default"/>
      </w:rPr>
    </w:lvl>
    <w:lvl w:ilvl="3">
      <w:start w:val="1"/>
      <w:numFmt w:val="decimal"/>
      <w:lvlText w:val="%1.%2.%3.%4"/>
      <w:lvlJc w:val="left"/>
      <w:pPr>
        <w:tabs>
          <w:tab w:val="num" w:pos="3204"/>
        </w:tabs>
        <w:ind w:left="3204" w:hanging="720"/>
      </w:pPr>
      <w:rPr>
        <w:rFonts w:hint="default"/>
      </w:rPr>
    </w:lvl>
    <w:lvl w:ilvl="4">
      <w:start w:val="1"/>
      <w:numFmt w:val="decimal"/>
      <w:lvlText w:val="%1.%2.%3.%4.%5"/>
      <w:lvlJc w:val="left"/>
      <w:pPr>
        <w:tabs>
          <w:tab w:val="num" w:pos="4272"/>
        </w:tabs>
        <w:ind w:left="4272" w:hanging="1080"/>
      </w:pPr>
      <w:rPr>
        <w:rFonts w:hint="default"/>
      </w:rPr>
    </w:lvl>
    <w:lvl w:ilvl="5">
      <w:start w:val="1"/>
      <w:numFmt w:val="decimal"/>
      <w:lvlText w:val="%1.%2.%3.%4.%5.%6"/>
      <w:lvlJc w:val="left"/>
      <w:pPr>
        <w:tabs>
          <w:tab w:val="num" w:pos="4980"/>
        </w:tabs>
        <w:ind w:left="4980" w:hanging="1080"/>
      </w:pPr>
      <w:rPr>
        <w:rFonts w:hint="default"/>
      </w:rPr>
    </w:lvl>
    <w:lvl w:ilvl="6">
      <w:start w:val="1"/>
      <w:numFmt w:val="decimal"/>
      <w:lvlText w:val="%1.%2.%3.%4.%5.%6.%7"/>
      <w:lvlJc w:val="left"/>
      <w:pPr>
        <w:tabs>
          <w:tab w:val="num" w:pos="6048"/>
        </w:tabs>
        <w:ind w:left="6048" w:hanging="1440"/>
      </w:pPr>
      <w:rPr>
        <w:rFonts w:hint="default"/>
      </w:rPr>
    </w:lvl>
    <w:lvl w:ilvl="7">
      <w:start w:val="1"/>
      <w:numFmt w:val="decimal"/>
      <w:lvlText w:val="%1.%2.%3.%4.%5.%6.%7.%8"/>
      <w:lvlJc w:val="left"/>
      <w:pPr>
        <w:tabs>
          <w:tab w:val="num" w:pos="6756"/>
        </w:tabs>
        <w:ind w:left="6756" w:hanging="1440"/>
      </w:pPr>
      <w:rPr>
        <w:rFonts w:hint="default"/>
      </w:rPr>
    </w:lvl>
    <w:lvl w:ilvl="8">
      <w:start w:val="1"/>
      <w:numFmt w:val="decimal"/>
      <w:lvlText w:val="%1.%2.%3.%4.%5.%6.%7.%8.%9"/>
      <w:lvlJc w:val="left"/>
      <w:pPr>
        <w:tabs>
          <w:tab w:val="num" w:pos="7824"/>
        </w:tabs>
        <w:ind w:left="7824" w:hanging="1800"/>
      </w:pPr>
      <w:rPr>
        <w:rFonts w:hint="default"/>
      </w:rPr>
    </w:lvl>
  </w:abstractNum>
  <w:abstractNum w:abstractNumId="74">
    <w:nsid w:val="70AE1EFC"/>
    <w:multiLevelType w:val="multilevel"/>
    <w:tmpl w:val="CD944A38"/>
    <w:lvl w:ilvl="0">
      <w:start w:val="2"/>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75">
    <w:nsid w:val="724C2EA9"/>
    <w:multiLevelType w:val="multilevel"/>
    <w:tmpl w:val="ACCED64A"/>
    <w:lvl w:ilvl="0">
      <w:start w:val="1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6">
    <w:nsid w:val="726C5E25"/>
    <w:multiLevelType w:val="multilevel"/>
    <w:tmpl w:val="ADBEE418"/>
    <w:lvl w:ilvl="0">
      <w:start w:val="28"/>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nsid w:val="761D0FEF"/>
    <w:multiLevelType w:val="multilevel"/>
    <w:tmpl w:val="FF309312"/>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78">
    <w:nsid w:val="7B8C7CB3"/>
    <w:multiLevelType w:val="multilevel"/>
    <w:tmpl w:val="86B2B922"/>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79">
    <w:nsid w:val="7C08068E"/>
    <w:multiLevelType w:val="multilevel"/>
    <w:tmpl w:val="5C187290"/>
    <w:lvl w:ilvl="0">
      <w:start w:val="2"/>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7CF45FD2"/>
    <w:multiLevelType w:val="singleLevel"/>
    <w:tmpl w:val="822063C6"/>
    <w:lvl w:ilvl="0">
      <w:start w:val="1"/>
      <w:numFmt w:val="decimal"/>
      <w:lvlRestart w:val="0"/>
      <w:lvlText w:val="%1."/>
      <w:lvlJc w:val="left"/>
      <w:pPr>
        <w:tabs>
          <w:tab w:val="num" w:pos="475"/>
        </w:tabs>
        <w:ind w:left="0" w:firstLine="0"/>
      </w:pPr>
    </w:lvl>
  </w:abstractNum>
  <w:abstractNum w:abstractNumId="81">
    <w:nsid w:val="7EFF3F48"/>
    <w:multiLevelType w:val="multilevel"/>
    <w:tmpl w:val="BFC8D3A8"/>
    <w:lvl w:ilvl="0">
      <w:start w:val="1"/>
      <w:numFmt w:val="bullet"/>
      <w:lvlText w:val=""/>
      <w:lvlJc w:val="left"/>
      <w:pPr>
        <w:tabs>
          <w:tab w:val="num" w:pos="1776"/>
        </w:tabs>
        <w:ind w:left="1756" w:hanging="340"/>
      </w:pPr>
      <w:rPr>
        <w:rFonts w:ascii="Symbol" w:hAnsi="Symbol"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num w:numId="1">
    <w:abstractNumId w:val="1"/>
  </w:num>
  <w:num w:numId="2">
    <w:abstractNumId w:val="2"/>
  </w:num>
  <w:num w:numId="3">
    <w:abstractNumId w:val="64"/>
  </w:num>
  <w:num w:numId="4">
    <w:abstractNumId w:val="36"/>
  </w:num>
  <w:num w:numId="5">
    <w:abstractNumId w:val="4"/>
  </w:num>
  <w:num w:numId="6">
    <w:abstractNumId w:val="25"/>
  </w:num>
  <w:num w:numId="7">
    <w:abstractNumId w:val="79"/>
  </w:num>
  <w:num w:numId="8">
    <w:abstractNumId w:val="76"/>
  </w:num>
  <w:num w:numId="9">
    <w:abstractNumId w:val="73"/>
  </w:num>
  <w:num w:numId="10">
    <w:abstractNumId w:val="65"/>
  </w:num>
  <w:num w:numId="11">
    <w:abstractNumId w:val="8"/>
  </w:num>
  <w:num w:numId="12">
    <w:abstractNumId w:val="7"/>
  </w:num>
  <w:num w:numId="13">
    <w:abstractNumId w:val="29"/>
  </w:num>
  <w:num w:numId="14">
    <w:abstractNumId w:val="62"/>
  </w:num>
  <w:num w:numId="15">
    <w:abstractNumId w:val="3"/>
  </w:num>
  <w:num w:numId="16">
    <w:abstractNumId w:val="16"/>
  </w:num>
  <w:num w:numId="17">
    <w:abstractNumId w:val="71"/>
  </w:num>
  <w:num w:numId="18">
    <w:abstractNumId w:val="18"/>
  </w:num>
  <w:num w:numId="19">
    <w:abstractNumId w:val="11"/>
  </w:num>
  <w:num w:numId="20">
    <w:abstractNumId w:val="26"/>
  </w:num>
  <w:num w:numId="21">
    <w:abstractNumId w:val="44"/>
  </w:num>
  <w:num w:numId="22">
    <w:abstractNumId w:val="20"/>
  </w:num>
  <w:num w:numId="23">
    <w:abstractNumId w:val="12"/>
  </w:num>
  <w:num w:numId="24">
    <w:abstractNumId w:val="66"/>
  </w:num>
  <w:num w:numId="25">
    <w:abstractNumId w:val="31"/>
  </w:num>
  <w:num w:numId="26">
    <w:abstractNumId w:val="14"/>
  </w:num>
  <w:num w:numId="27">
    <w:abstractNumId w:val="57"/>
  </w:num>
  <w:num w:numId="28">
    <w:abstractNumId w:val="43"/>
  </w:num>
  <w:num w:numId="29">
    <w:abstractNumId w:val="74"/>
  </w:num>
  <w:num w:numId="30">
    <w:abstractNumId w:val="51"/>
  </w:num>
  <w:num w:numId="31">
    <w:abstractNumId w:val="30"/>
  </w:num>
  <w:num w:numId="32">
    <w:abstractNumId w:val="56"/>
  </w:num>
  <w:num w:numId="33">
    <w:abstractNumId w:val="15"/>
  </w:num>
  <w:num w:numId="34">
    <w:abstractNumId w:val="23"/>
  </w:num>
  <w:num w:numId="35">
    <w:abstractNumId w:val="55"/>
  </w:num>
  <w:num w:numId="36">
    <w:abstractNumId w:val="42"/>
  </w:num>
  <w:num w:numId="37">
    <w:abstractNumId w:val="37"/>
  </w:num>
  <w:num w:numId="38">
    <w:abstractNumId w:val="13"/>
  </w:num>
  <w:num w:numId="39">
    <w:abstractNumId w:val="9"/>
  </w:num>
  <w:num w:numId="40">
    <w:abstractNumId w:val="19"/>
  </w:num>
  <w:num w:numId="41">
    <w:abstractNumId w:val="21"/>
  </w:num>
  <w:num w:numId="42">
    <w:abstractNumId w:val="68"/>
  </w:num>
  <w:num w:numId="43">
    <w:abstractNumId w:val="77"/>
  </w:num>
  <w:num w:numId="44">
    <w:abstractNumId w:val="59"/>
  </w:num>
  <w:num w:numId="45">
    <w:abstractNumId w:val="24"/>
  </w:num>
  <w:num w:numId="46">
    <w:abstractNumId w:val="78"/>
  </w:num>
  <w:num w:numId="47">
    <w:abstractNumId w:val="72"/>
  </w:num>
  <w:num w:numId="48">
    <w:abstractNumId w:val="47"/>
  </w:num>
  <w:num w:numId="49">
    <w:abstractNumId w:val="27"/>
  </w:num>
  <w:num w:numId="50">
    <w:abstractNumId w:val="81"/>
  </w:num>
  <w:num w:numId="51">
    <w:abstractNumId w:val="54"/>
  </w:num>
  <w:num w:numId="52">
    <w:abstractNumId w:val="61"/>
  </w:num>
  <w:num w:numId="53">
    <w:abstractNumId w:val="17"/>
  </w:num>
  <w:num w:numId="54">
    <w:abstractNumId w:val="52"/>
  </w:num>
  <w:num w:numId="55">
    <w:abstractNumId w:val="5"/>
  </w:num>
  <w:num w:numId="56">
    <w:abstractNumId w:val="50"/>
  </w:num>
  <w:num w:numId="57">
    <w:abstractNumId w:val="70"/>
  </w:num>
  <w:num w:numId="58">
    <w:abstractNumId w:val="53"/>
  </w:num>
  <w:num w:numId="59">
    <w:abstractNumId w:val="69"/>
  </w:num>
  <w:num w:numId="60">
    <w:abstractNumId w:val="35"/>
  </w:num>
  <w:num w:numId="61">
    <w:abstractNumId w:val="46"/>
  </w:num>
  <w:num w:numId="62">
    <w:abstractNumId w:val="28"/>
  </w:num>
  <w:num w:numId="63">
    <w:abstractNumId w:val="39"/>
  </w:num>
  <w:num w:numId="64">
    <w:abstractNumId w:val="10"/>
  </w:num>
  <w:num w:numId="65">
    <w:abstractNumId w:val="40"/>
  </w:num>
  <w:num w:numId="66">
    <w:abstractNumId w:val="22"/>
  </w:num>
  <w:num w:numId="67">
    <w:abstractNumId w:val="80"/>
  </w:num>
  <w:num w:numId="68">
    <w:abstractNumId w:val="32"/>
  </w:num>
  <w:num w:numId="69">
    <w:abstractNumId w:val="58"/>
  </w:num>
  <w:num w:numId="70">
    <w:abstractNumId w:val="6"/>
  </w:num>
  <w:num w:numId="71">
    <w:abstractNumId w:val="67"/>
  </w:num>
  <w:num w:numId="72">
    <w:abstractNumId w:val="63"/>
  </w:num>
  <w:num w:numId="73">
    <w:abstractNumId w:val="60"/>
  </w:num>
  <w:num w:numId="74">
    <w:abstractNumId w:val="75"/>
  </w:num>
  <w:num w:numId="75">
    <w:abstractNumId w:val="45"/>
  </w:num>
  <w:num w:numId="76">
    <w:abstractNumId w:val="34"/>
  </w:num>
  <w:num w:numId="77">
    <w:abstractNumId w:val="38"/>
  </w:num>
  <w:num w:numId="78">
    <w:abstractNumId w:val="48"/>
  </w:num>
  <w:num w:numId="79">
    <w:abstractNumId w:val="33"/>
  </w:num>
  <w:num w:numId="80">
    <w:abstractNumId w:val="0"/>
  </w:num>
  <w:num w:numId="81">
    <w:abstractNumId w:val="80"/>
  </w:num>
  <w:num w:numId="82">
    <w:abstractNumId w:val="80"/>
    <w:lvlOverride w:ilvl="0">
      <w:lvl w:ilvl="0">
        <w:start w:val="1"/>
        <w:numFmt w:val="decimal"/>
        <w:lvlRestart w:val="0"/>
        <w:lvlText w:val="%1."/>
        <w:lvlJc w:val="left"/>
        <w:pPr>
          <w:tabs>
            <w:tab w:val="num" w:pos="475"/>
          </w:tabs>
          <w:ind w:left="0" w:firstLine="0"/>
        </w:pPr>
      </w:lvl>
    </w:lvlOverride>
  </w:num>
  <w:num w:numId="83">
    <w:abstractNumId w:val="80"/>
    <w:lvlOverride w:ilvl="0">
      <w:lvl w:ilvl="0">
        <w:start w:val="1"/>
        <w:numFmt w:val="decimal"/>
        <w:lvlRestart w:val="0"/>
        <w:lvlText w:val="%1."/>
        <w:lvlJc w:val="left"/>
        <w:pPr>
          <w:tabs>
            <w:tab w:val="num" w:pos="475"/>
          </w:tabs>
          <w:ind w:left="0" w:firstLine="0"/>
        </w:pPr>
      </w:lvl>
    </w:lvlOverride>
  </w:num>
  <w:num w:numId="84">
    <w:abstractNumId w:val="80"/>
    <w:lvlOverride w:ilvl="0">
      <w:lvl w:ilvl="0">
        <w:start w:val="1"/>
        <w:numFmt w:val="decimal"/>
        <w:lvlRestart w:val="0"/>
        <w:lvlText w:val="%1."/>
        <w:lvlJc w:val="left"/>
        <w:pPr>
          <w:tabs>
            <w:tab w:val="num" w:pos="475"/>
          </w:tabs>
          <w:ind w:left="0" w:firstLine="0"/>
        </w:pPr>
      </w:lvl>
    </w:lvlOverride>
  </w:num>
  <w:num w:numId="85">
    <w:abstractNumId w:val="80"/>
    <w:lvlOverride w:ilvl="0">
      <w:lvl w:ilvl="0">
        <w:start w:val="1"/>
        <w:numFmt w:val="decimal"/>
        <w:lvlRestart w:val="0"/>
        <w:lvlText w:val="%1."/>
        <w:lvlJc w:val="left"/>
        <w:pPr>
          <w:tabs>
            <w:tab w:val="num" w:pos="475"/>
          </w:tabs>
          <w:ind w:left="0" w:firstLine="0"/>
        </w:pPr>
      </w:lvl>
    </w:lvlOverride>
  </w:num>
  <w:num w:numId="86">
    <w:abstractNumId w:val="49"/>
  </w:num>
  <w:num w:numId="8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8/2003 15:14:40"/>
    <w:docVar w:name="DocCategory" w:val="Doc"/>
    <w:docVar w:name="DocType" w:val="Final"/>
    <w:docVar w:name="JobNo" w:val="0334568S"/>
    <w:docVar w:name="OandT" w:val="Globol"/>
    <w:docVar w:name="Symbol1" w:val="CEDAW/C/NGA/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480" w:lineRule="auto"/>
      <w:jc w:val="center"/>
    </w:pPr>
    <w:rPr>
      <w:spacing w:val="0"/>
      <w:w w:val="100"/>
      <w:kern w:val="0"/>
      <w:sz w:val="24"/>
    </w:rPr>
  </w:style>
  <w:style w:type="paragraph" w:styleId="BodyTextIndent">
    <w:name w:val="Body Text Indent"/>
    <w:basedOn w:val="Normal"/>
    <w:semiHidden/>
    <w:pPr>
      <w:suppressAutoHyphens w:val="0"/>
      <w:spacing w:line="240" w:lineRule="auto"/>
      <w:ind w:left="720" w:hanging="720"/>
      <w:jc w:val="both"/>
    </w:pPr>
    <w:rPr>
      <w:rFonts w:ascii="Tahoma" w:hAnsi="Tahoma"/>
      <w:spacing w:val="0"/>
      <w:w w:val="100"/>
      <w:kern w:val="0"/>
      <w:sz w:val="24"/>
      <w:lang w:val="en-US"/>
    </w:rPr>
  </w:style>
  <w:style w:type="character" w:styleId="Hyperlink">
    <w:name w:val="Hyperlink"/>
    <w:semiHidden/>
    <w:rPr>
      <w:color w:val="0000FF"/>
      <w:u w:val="single"/>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mailto:ngcedaw@yahoo.com" TargetMode="Externa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gif"/><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115</TotalTime>
  <Pages>73</Pages>
  <Words>26244</Words>
  <Characters>139097</Characters>
  <Application>Microsoft Office Word</Application>
  <DocSecurity>4</DocSecurity>
  <Lines>2280</Lines>
  <Paragraphs>398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183713</CharactersWithSpaces>
  <SharedDoc>false</SharedDoc>
  <HLinks>
    <vt:vector size="12" baseType="variant">
      <vt:variant>
        <vt:i4>786470</vt:i4>
      </vt:variant>
      <vt:variant>
        <vt:i4>0</vt:i4>
      </vt:variant>
      <vt:variant>
        <vt:i4>0</vt:i4>
      </vt:variant>
      <vt:variant>
        <vt:i4>5</vt:i4>
      </vt:variant>
      <vt:variant>
        <vt:lpwstr>mailto:ngcedaw@yahoo.com</vt:lpwstr>
      </vt:variant>
      <vt:variant>
        <vt:lpwstr/>
      </vt:variant>
      <vt:variant>
        <vt:i4>4522087</vt:i4>
      </vt:variant>
      <vt:variant>
        <vt:i4>172656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Barrezueta, Piedad</dc:creator>
  <cp:keywords/>
  <dc:description/>
  <cp:lastModifiedBy>Gutierrez, Luz Angela</cp:lastModifiedBy>
  <cp:revision>32</cp:revision>
  <cp:lastPrinted>2003-08-22T18:02:00Z</cp:lastPrinted>
  <dcterms:created xsi:type="dcterms:W3CDTF">2003-08-22T10:48:00Z</dcterms:created>
  <dcterms:modified xsi:type="dcterms:W3CDTF">2003-08-22T18:03:00Z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Globol</vt:lpwstr>
  </property>
  <property fmtid="{D5CDD505-2E9C-101B-9397-08002B2CF9AE}" pid="5" name="DraftPages">
    <vt:lpwstr> </vt:lpwstr>
  </property>
  <property fmtid="{D5CDD505-2E9C-101B-9397-08002B2CF9AE}" pid="6" name="Comment">
    <vt:lpwstr/>
  </property>
  <property fmtid="{D5CDD505-2E9C-101B-9397-08002B2CF9AE}" pid="7" name="JobNo">
    <vt:lpwstr>0334568S</vt:lpwstr>
  </property>
  <property fmtid="{D5CDD505-2E9C-101B-9397-08002B2CF9AE}" pid="8" name="Symbol1">
    <vt:lpwstr>CEDAW/C/NGA/4-5</vt:lpwstr>
  </property>
</Properties>
</file>