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rPr>
          <w:rFonts w:hint="eastAsia"/>
        </w:rPr>
      </w:pPr>
      <w:r>
        <w:rPr>
          <w:rFonts w:hint="eastAsia"/>
        </w:rPr>
        <w:t>2005</w:t>
      </w:r>
      <w:r>
        <w:rPr>
          <w:rFonts w:hint="eastAsia"/>
        </w:rPr>
        <w:t>年实质性会议</w:t>
      </w:r>
    </w:p>
    <w:p w:rsidR="00000000" w:rsidRDefault="00000000">
      <w:pPr>
        <w:spacing w:after="320"/>
        <w:rPr>
          <w:rFonts w:hint="eastAsia"/>
        </w:rPr>
      </w:pPr>
    </w:p>
    <w:p w:rsidR="00000000" w:rsidRDefault="00000000">
      <w:pPr>
        <w:pStyle w:val="Heading2"/>
        <w:rPr>
          <w:rFonts w:hint="eastAsia"/>
        </w:rPr>
      </w:pPr>
      <w:r>
        <w:rPr>
          <w:rFonts w:hint="eastAsia"/>
        </w:rPr>
        <w:t>《经济、社会、文化权利国际公约》的执行情况</w:t>
      </w:r>
    </w:p>
    <w:p w:rsidR="00000000" w:rsidRDefault="00000000">
      <w:pPr>
        <w:pStyle w:val="Heading3"/>
        <w:rPr>
          <w:rFonts w:hint="eastAsia"/>
        </w:rPr>
      </w:pPr>
      <w:r>
        <w:rPr>
          <w:rFonts w:hint="eastAsia"/>
        </w:rPr>
        <w:t>缔约国根据《公约》第十六条和</w:t>
      </w:r>
      <w:r>
        <w:br/>
      </w:r>
      <w:r>
        <w:rPr>
          <w:rFonts w:hint="eastAsia"/>
        </w:rPr>
        <w:t>第十七条提交的第二次定期报告</w:t>
      </w:r>
    </w:p>
    <w:p w:rsidR="00000000" w:rsidRDefault="00000000">
      <w:pPr>
        <w:pStyle w:val="Heading3"/>
        <w:rPr>
          <w:rFonts w:hint="eastAsia"/>
        </w:rPr>
      </w:pPr>
      <w:r>
        <w:rPr>
          <w:rFonts w:hint="eastAsia"/>
        </w:rPr>
        <w:t>增</w:t>
      </w:r>
      <w:r>
        <w:rPr>
          <w:rFonts w:hint="eastAsia"/>
        </w:rPr>
        <w:t xml:space="preserve">  </w:t>
      </w:r>
      <w:r>
        <w:rPr>
          <w:rFonts w:hint="eastAsia"/>
        </w:rPr>
        <w:t>编</w:t>
      </w:r>
    </w:p>
    <w:p w:rsidR="00000000" w:rsidRDefault="00000000">
      <w:pPr>
        <w:pStyle w:val="Heading3"/>
        <w:rPr>
          <w:rFonts w:hint="eastAsia"/>
          <w:bCs/>
          <w:u w:val="none"/>
        </w:rPr>
      </w:pPr>
      <w:r>
        <w:rPr>
          <w:rFonts w:ascii="Time New Roman" w:eastAsia="SimHei" w:hAnsi="Time New Roman" w:hint="eastAsia"/>
          <w:u w:val="none"/>
        </w:rPr>
        <w:t>阿拉伯利比亚民众国</w:t>
      </w:r>
      <w:r>
        <w:rPr>
          <w:rStyle w:val="FootnoteReference"/>
          <w:b w:val="0"/>
          <w:bCs/>
          <w:u w:val="none"/>
          <w:vertAlign w:val="baseline"/>
        </w:rPr>
        <w:footnoteReference w:customMarkFollows="1" w:id="1"/>
        <w:t>*</w:t>
      </w:r>
    </w:p>
    <w:p w:rsidR="00000000" w:rsidRDefault="00000000">
      <w:pPr>
        <w:pStyle w:val="12cm"/>
      </w:pPr>
      <w:r>
        <w:rPr>
          <w:rFonts w:hint="eastAsia"/>
        </w:rPr>
        <w:t>[</w:t>
      </w:r>
      <w:r>
        <w:rPr>
          <w:rFonts w:hint="eastAsia"/>
        </w:rPr>
        <w:t>原文：阿拉伯文</w:t>
      </w:r>
      <w:r>
        <w:rPr>
          <w:rFonts w:hint="eastAsia"/>
        </w:rPr>
        <w:t>]</w:t>
      </w:r>
      <w:r>
        <w:br/>
        <w:t>[</w:t>
      </w:r>
      <w:r>
        <w:rPr>
          <w:rFonts w:hint="eastAsia"/>
        </w:rPr>
        <w:t>2004</w:t>
      </w:r>
      <w:r>
        <w:rPr>
          <w:rFonts w:hint="eastAsia"/>
        </w:rPr>
        <w:t>年</w:t>
      </w:r>
      <w:r>
        <w:rPr>
          <w:rFonts w:hint="eastAsia"/>
        </w:rPr>
        <w:t>6</w:t>
      </w:r>
      <w:r>
        <w:rPr>
          <w:rFonts w:hint="eastAsia"/>
        </w:rPr>
        <w:t>月</w:t>
      </w:r>
      <w:r>
        <w:rPr>
          <w:rFonts w:hint="eastAsia"/>
        </w:rPr>
        <w:t>4</w:t>
      </w:r>
      <w:r>
        <w:rPr>
          <w:rFonts w:hint="eastAsia"/>
        </w:rPr>
        <w:t>日</w:t>
      </w:r>
      <w:r>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hint="eastAsia"/>
          <w:kern w:val="24"/>
          <w:sz w:val="26"/>
          <w:u w:val="single"/>
        </w:rPr>
      </w:pPr>
      <w:r>
        <w:rPr>
          <w:rFonts w:hint="eastAsia"/>
          <w:kern w:val="24"/>
          <w:sz w:val="26"/>
        </w:rPr>
        <w:tab/>
      </w:r>
      <w:r>
        <w:rPr>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kern w:val="24"/>
        </w:rPr>
      </w:pPr>
      <w:r>
        <w:rPr>
          <w:rFonts w:hint="eastAsia"/>
          <w:kern w:val="24"/>
        </w:rPr>
        <w:t>导</w:t>
      </w:r>
      <w:r>
        <w:rPr>
          <w:rFonts w:hint="eastAsia"/>
          <w:kern w:val="24"/>
        </w:rPr>
        <w:t xml:space="preserve">  </w:t>
      </w:r>
      <w:r>
        <w:rPr>
          <w:rFonts w:hint="eastAsia"/>
          <w:kern w:val="24"/>
        </w:rPr>
        <w:t>言</w:t>
      </w:r>
      <w:r>
        <w:rPr>
          <w:rFonts w:hint="eastAsia"/>
          <w:kern w:val="24"/>
        </w:rPr>
        <w:t>...................</w:t>
      </w:r>
      <w:r>
        <w:rPr>
          <w:rFonts w:hint="eastAsia"/>
          <w:kern w:val="24"/>
        </w:rPr>
        <w:tab/>
      </w:r>
      <w:r>
        <w:rPr>
          <w:rFonts w:hint="eastAsia"/>
          <w:kern w:val="24"/>
        </w:rPr>
        <w:tab/>
        <w:t>1</w:t>
      </w:r>
      <w:r>
        <w:rPr>
          <w:rFonts w:hint="eastAsia"/>
          <w:kern w:val="24"/>
        </w:rPr>
        <w:tab/>
        <w:t>-</w:t>
      </w:r>
      <w:r>
        <w:rPr>
          <w:rFonts w:hint="eastAsia"/>
          <w:kern w:val="24"/>
        </w:rPr>
        <w:tab/>
        <w:t>4</w:t>
      </w:r>
      <w:r>
        <w:rPr>
          <w:rFonts w:hint="eastAsia"/>
          <w:kern w:val="24"/>
        </w:rPr>
        <w:tab/>
        <w:t>3</w:t>
      </w:r>
    </w:p>
    <w:p w:rsidR="00000000" w:rsidRDefault="00000000">
      <w:pPr>
        <w:pStyle w:val="a9"/>
        <w:rPr>
          <w:rFonts w:hint="eastAsia"/>
          <w:kern w:val="24"/>
        </w:rPr>
      </w:pPr>
      <w:r>
        <w:rPr>
          <w:rFonts w:hint="eastAsia"/>
          <w:kern w:val="24"/>
        </w:rPr>
        <w:t>一、一般性信息</w:t>
      </w:r>
      <w:r>
        <w:rPr>
          <w:rFonts w:hint="eastAsia"/>
          <w:kern w:val="24"/>
        </w:rPr>
        <w:t>........</w:t>
      </w:r>
      <w:r>
        <w:rPr>
          <w:rFonts w:hint="eastAsia"/>
          <w:kern w:val="24"/>
        </w:rPr>
        <w:tab/>
      </w:r>
      <w:r>
        <w:rPr>
          <w:rFonts w:hint="eastAsia"/>
          <w:kern w:val="24"/>
        </w:rPr>
        <w:tab/>
        <w:t>5</w:t>
      </w:r>
      <w:r>
        <w:rPr>
          <w:rFonts w:hint="eastAsia"/>
          <w:kern w:val="24"/>
        </w:rPr>
        <w:tab/>
        <w:t>-</w:t>
      </w:r>
      <w:r>
        <w:rPr>
          <w:rFonts w:hint="eastAsia"/>
          <w:kern w:val="24"/>
        </w:rPr>
        <w:tab/>
        <w:t>11</w:t>
      </w:r>
      <w:r>
        <w:rPr>
          <w:rFonts w:hint="eastAsia"/>
          <w:kern w:val="24"/>
        </w:rPr>
        <w:tab/>
        <w:t>3</w:t>
      </w:r>
    </w:p>
    <w:p w:rsidR="00000000" w:rsidRDefault="00000000">
      <w:pPr>
        <w:pStyle w:val="a9"/>
        <w:ind w:left="1030"/>
        <w:rPr>
          <w:rFonts w:hint="eastAsia"/>
          <w:kern w:val="24"/>
        </w:rPr>
      </w:pPr>
      <w:r>
        <w:rPr>
          <w:rFonts w:hint="eastAsia"/>
          <w:kern w:val="24"/>
        </w:rPr>
        <w:t xml:space="preserve">A.  </w:t>
      </w:r>
      <w:r>
        <w:rPr>
          <w:rFonts w:hint="eastAsia"/>
          <w:kern w:val="24"/>
        </w:rPr>
        <w:t>地理和人口特点</w:t>
      </w:r>
      <w:r>
        <w:rPr>
          <w:rFonts w:hint="eastAsia"/>
          <w:kern w:val="24"/>
        </w:rPr>
        <w:t>..</w:t>
      </w:r>
      <w:r>
        <w:rPr>
          <w:rFonts w:hint="eastAsia"/>
          <w:kern w:val="24"/>
        </w:rPr>
        <w:tab/>
      </w:r>
      <w:r>
        <w:rPr>
          <w:rFonts w:hint="eastAsia"/>
          <w:kern w:val="24"/>
        </w:rPr>
        <w:tab/>
      </w:r>
      <w:r>
        <w:rPr>
          <w:rFonts w:hint="eastAsia"/>
          <w:kern w:val="24"/>
        </w:rPr>
        <w:tab/>
        <w:t>5</w:t>
      </w:r>
      <w:r>
        <w:rPr>
          <w:rFonts w:hint="eastAsia"/>
          <w:kern w:val="24"/>
        </w:rPr>
        <w:tab/>
      </w:r>
      <w:r>
        <w:rPr>
          <w:rFonts w:hint="eastAsia"/>
          <w:kern w:val="24"/>
        </w:rPr>
        <w:tab/>
        <w:t>3</w:t>
      </w:r>
    </w:p>
    <w:p w:rsidR="00000000" w:rsidRDefault="00000000">
      <w:pPr>
        <w:pStyle w:val="a9"/>
        <w:ind w:left="1030"/>
        <w:rPr>
          <w:rFonts w:hint="eastAsia"/>
          <w:kern w:val="24"/>
        </w:rPr>
      </w:pPr>
      <w:r>
        <w:rPr>
          <w:rFonts w:hint="eastAsia"/>
          <w:kern w:val="24"/>
        </w:rPr>
        <w:t xml:space="preserve">B.  </w:t>
      </w:r>
      <w:r>
        <w:rPr>
          <w:rFonts w:hint="eastAsia"/>
          <w:kern w:val="24"/>
        </w:rPr>
        <w:t>政治制度</w:t>
      </w:r>
      <w:r>
        <w:rPr>
          <w:rFonts w:hint="eastAsia"/>
          <w:kern w:val="24"/>
        </w:rPr>
        <w:tab/>
      </w:r>
      <w:r>
        <w:rPr>
          <w:rFonts w:hint="eastAsia"/>
          <w:kern w:val="24"/>
        </w:rPr>
        <w:tab/>
      </w:r>
      <w:r>
        <w:rPr>
          <w:rFonts w:hint="eastAsia"/>
          <w:kern w:val="24"/>
        </w:rPr>
        <w:tab/>
        <w:t>6</w:t>
      </w:r>
      <w:r>
        <w:rPr>
          <w:rFonts w:hint="eastAsia"/>
          <w:kern w:val="24"/>
        </w:rPr>
        <w:tab/>
      </w:r>
      <w:r>
        <w:rPr>
          <w:rFonts w:hint="eastAsia"/>
          <w:kern w:val="24"/>
        </w:rPr>
        <w:tab/>
        <w:t>4</w:t>
      </w:r>
    </w:p>
    <w:p w:rsidR="00000000" w:rsidRDefault="00000000">
      <w:pPr>
        <w:pStyle w:val="a9"/>
        <w:ind w:left="1030"/>
        <w:rPr>
          <w:rFonts w:hint="eastAsia"/>
          <w:kern w:val="24"/>
        </w:rPr>
      </w:pPr>
      <w:r>
        <w:rPr>
          <w:rFonts w:hint="eastAsia"/>
          <w:kern w:val="24"/>
        </w:rPr>
        <w:t xml:space="preserve">C.  </w:t>
      </w:r>
      <w:r>
        <w:rPr>
          <w:rFonts w:hint="eastAsia"/>
          <w:kern w:val="24"/>
        </w:rPr>
        <w:t>经济特点</w:t>
      </w:r>
      <w:r>
        <w:rPr>
          <w:rFonts w:hint="eastAsia"/>
          <w:kern w:val="24"/>
        </w:rPr>
        <w:tab/>
      </w:r>
      <w:r>
        <w:rPr>
          <w:rFonts w:hint="eastAsia"/>
          <w:kern w:val="24"/>
        </w:rPr>
        <w:tab/>
        <w:t>7</w:t>
      </w:r>
      <w:r>
        <w:rPr>
          <w:rFonts w:hint="eastAsia"/>
          <w:kern w:val="24"/>
        </w:rPr>
        <w:tab/>
        <w:t>-</w:t>
      </w:r>
      <w:r>
        <w:rPr>
          <w:rFonts w:hint="eastAsia"/>
          <w:kern w:val="24"/>
        </w:rPr>
        <w:tab/>
        <w:t>11</w:t>
      </w:r>
      <w:r>
        <w:rPr>
          <w:rFonts w:hint="eastAsia"/>
          <w:kern w:val="24"/>
        </w:rPr>
        <w:tab/>
        <w:t>4</w:t>
      </w:r>
    </w:p>
    <w:p w:rsidR="00000000" w:rsidRDefault="00000000">
      <w:pPr>
        <w:pStyle w:val="a9"/>
        <w:rPr>
          <w:rFonts w:hint="eastAsia"/>
          <w:kern w:val="24"/>
        </w:rPr>
      </w:pPr>
      <w:r>
        <w:rPr>
          <w:rFonts w:hint="eastAsia"/>
          <w:kern w:val="24"/>
        </w:rPr>
        <w:t>二、《公约》的执行情况</w:t>
      </w:r>
      <w:r>
        <w:rPr>
          <w:rFonts w:hint="eastAsia"/>
          <w:kern w:val="24"/>
        </w:rPr>
        <w:tab/>
      </w:r>
      <w:r>
        <w:rPr>
          <w:rFonts w:hint="eastAsia"/>
          <w:kern w:val="24"/>
        </w:rPr>
        <w:tab/>
        <w:t>12</w:t>
      </w:r>
      <w:r>
        <w:rPr>
          <w:rFonts w:hint="eastAsia"/>
          <w:kern w:val="24"/>
        </w:rPr>
        <w:tab/>
        <w:t>-</w:t>
      </w:r>
      <w:r>
        <w:rPr>
          <w:rFonts w:hint="eastAsia"/>
          <w:kern w:val="24"/>
        </w:rPr>
        <w:tab/>
        <w:t>145</w:t>
      </w:r>
      <w:r>
        <w:rPr>
          <w:rFonts w:hint="eastAsia"/>
          <w:kern w:val="24"/>
        </w:rPr>
        <w:tab/>
        <w:t>6</w:t>
      </w:r>
    </w:p>
    <w:p w:rsidR="00000000" w:rsidRDefault="00000000">
      <w:pPr>
        <w:pStyle w:val="a9"/>
        <w:ind w:left="1030"/>
        <w:rPr>
          <w:rFonts w:hint="eastAsia"/>
          <w:kern w:val="24"/>
        </w:rPr>
      </w:pPr>
      <w:r>
        <w:rPr>
          <w:rFonts w:hint="eastAsia"/>
          <w:kern w:val="24"/>
        </w:rPr>
        <w:t>第一条</w:t>
      </w:r>
      <w:r>
        <w:rPr>
          <w:rFonts w:hint="eastAsia"/>
          <w:kern w:val="24"/>
        </w:rPr>
        <w:t xml:space="preserve">  </w:t>
      </w:r>
      <w:r>
        <w:rPr>
          <w:rFonts w:hint="eastAsia"/>
          <w:kern w:val="24"/>
        </w:rPr>
        <w:t>自决权</w:t>
      </w:r>
      <w:r>
        <w:rPr>
          <w:rFonts w:hint="eastAsia"/>
          <w:kern w:val="24"/>
        </w:rPr>
        <w:tab/>
      </w:r>
      <w:r>
        <w:rPr>
          <w:rFonts w:hint="eastAsia"/>
          <w:kern w:val="24"/>
        </w:rPr>
        <w:tab/>
      </w:r>
      <w:r>
        <w:rPr>
          <w:rFonts w:hint="eastAsia"/>
          <w:kern w:val="24"/>
        </w:rPr>
        <w:tab/>
        <w:t>12</w:t>
      </w:r>
      <w:r>
        <w:rPr>
          <w:rFonts w:hint="eastAsia"/>
          <w:kern w:val="24"/>
        </w:rPr>
        <w:tab/>
      </w:r>
      <w:r>
        <w:rPr>
          <w:rFonts w:hint="eastAsia"/>
          <w:kern w:val="24"/>
        </w:rPr>
        <w:tab/>
        <w:t>6</w:t>
      </w:r>
    </w:p>
    <w:p w:rsidR="00000000" w:rsidRDefault="00000000">
      <w:pPr>
        <w:pStyle w:val="a9"/>
        <w:ind w:left="1030"/>
        <w:rPr>
          <w:rFonts w:hint="eastAsia"/>
          <w:kern w:val="24"/>
        </w:rPr>
      </w:pPr>
      <w:r>
        <w:rPr>
          <w:rFonts w:hint="eastAsia"/>
          <w:kern w:val="24"/>
        </w:rPr>
        <w:t>第二条</w:t>
      </w:r>
      <w:r>
        <w:rPr>
          <w:rFonts w:hint="eastAsia"/>
          <w:kern w:val="24"/>
        </w:rPr>
        <w:t xml:space="preserve">  </w:t>
      </w:r>
      <w:r>
        <w:rPr>
          <w:rFonts w:hint="eastAsia"/>
          <w:kern w:val="24"/>
        </w:rPr>
        <w:t>公民和非公民的权利</w:t>
      </w:r>
      <w:r>
        <w:rPr>
          <w:rFonts w:hint="eastAsia"/>
          <w:kern w:val="24"/>
        </w:rPr>
        <w:tab/>
      </w:r>
      <w:r>
        <w:rPr>
          <w:rFonts w:hint="eastAsia"/>
          <w:kern w:val="24"/>
        </w:rPr>
        <w:tab/>
      </w:r>
      <w:r>
        <w:rPr>
          <w:rFonts w:hint="eastAsia"/>
          <w:kern w:val="24"/>
        </w:rPr>
        <w:tab/>
        <w:t>13</w:t>
      </w:r>
      <w:r>
        <w:rPr>
          <w:rFonts w:hint="eastAsia"/>
          <w:kern w:val="24"/>
        </w:rPr>
        <w:tab/>
      </w:r>
      <w:r>
        <w:rPr>
          <w:rFonts w:hint="eastAsia"/>
          <w:kern w:val="24"/>
        </w:rPr>
        <w:tab/>
        <w:t>6</w:t>
      </w:r>
    </w:p>
    <w:p w:rsidR="00000000" w:rsidRDefault="00000000">
      <w:pPr>
        <w:pStyle w:val="a9"/>
        <w:ind w:left="1030"/>
        <w:rPr>
          <w:rFonts w:hint="eastAsia"/>
          <w:kern w:val="24"/>
        </w:rPr>
      </w:pPr>
      <w:r>
        <w:rPr>
          <w:rFonts w:hint="eastAsia"/>
          <w:kern w:val="24"/>
        </w:rPr>
        <w:t>第三条</w:t>
      </w:r>
      <w:r>
        <w:rPr>
          <w:rFonts w:hint="eastAsia"/>
          <w:kern w:val="24"/>
        </w:rPr>
        <w:t xml:space="preserve">  </w:t>
      </w:r>
      <w:r>
        <w:rPr>
          <w:rFonts w:hint="eastAsia"/>
          <w:kern w:val="24"/>
        </w:rPr>
        <w:t>男女平等</w:t>
      </w:r>
      <w:r>
        <w:rPr>
          <w:rFonts w:hint="eastAsia"/>
          <w:kern w:val="24"/>
        </w:rPr>
        <w:tab/>
      </w:r>
      <w:r>
        <w:rPr>
          <w:rFonts w:hint="eastAsia"/>
          <w:kern w:val="24"/>
        </w:rPr>
        <w:tab/>
      </w:r>
      <w:r>
        <w:rPr>
          <w:rFonts w:hint="eastAsia"/>
          <w:kern w:val="24"/>
        </w:rPr>
        <w:tab/>
        <w:t>14</w:t>
      </w:r>
      <w:r>
        <w:rPr>
          <w:rFonts w:hint="eastAsia"/>
          <w:kern w:val="24"/>
        </w:rPr>
        <w:tab/>
      </w:r>
      <w:r>
        <w:rPr>
          <w:rFonts w:hint="eastAsia"/>
          <w:kern w:val="24"/>
        </w:rPr>
        <w:tab/>
        <w:t>7</w:t>
      </w:r>
    </w:p>
    <w:p w:rsidR="00000000" w:rsidRDefault="00000000">
      <w:pPr>
        <w:pStyle w:val="a9"/>
        <w:ind w:left="1030"/>
        <w:rPr>
          <w:rFonts w:hint="eastAsia"/>
          <w:kern w:val="24"/>
        </w:rPr>
      </w:pPr>
      <w:r>
        <w:rPr>
          <w:rFonts w:hint="eastAsia"/>
          <w:kern w:val="24"/>
        </w:rPr>
        <w:t>第四条</w:t>
      </w:r>
      <w:r>
        <w:rPr>
          <w:rFonts w:hint="eastAsia"/>
          <w:kern w:val="24"/>
        </w:rPr>
        <w:t xml:space="preserve">  </w:t>
      </w:r>
      <w:r>
        <w:rPr>
          <w:rFonts w:hint="eastAsia"/>
          <w:kern w:val="24"/>
        </w:rPr>
        <w:t>享受所有基本权利</w:t>
      </w:r>
      <w:r>
        <w:rPr>
          <w:rFonts w:hint="eastAsia"/>
          <w:kern w:val="24"/>
        </w:rPr>
        <w:tab/>
      </w:r>
      <w:r>
        <w:rPr>
          <w:rFonts w:hint="eastAsia"/>
          <w:kern w:val="24"/>
        </w:rPr>
        <w:tab/>
        <w:t>15</w:t>
      </w:r>
      <w:r>
        <w:rPr>
          <w:rFonts w:hint="eastAsia"/>
          <w:kern w:val="24"/>
        </w:rPr>
        <w:tab/>
        <w:t>-</w:t>
      </w:r>
      <w:r>
        <w:rPr>
          <w:rFonts w:hint="eastAsia"/>
          <w:kern w:val="24"/>
        </w:rPr>
        <w:tab/>
        <w:t>16</w:t>
      </w:r>
      <w:r>
        <w:rPr>
          <w:rFonts w:hint="eastAsia"/>
          <w:kern w:val="24"/>
        </w:rPr>
        <w:tab/>
        <w:t>7</w:t>
      </w:r>
    </w:p>
    <w:p w:rsidR="00000000" w:rsidRDefault="00000000">
      <w:pPr>
        <w:pStyle w:val="a9"/>
        <w:ind w:left="1030"/>
        <w:rPr>
          <w:rFonts w:hint="eastAsia"/>
          <w:kern w:val="24"/>
        </w:rPr>
      </w:pPr>
      <w:r>
        <w:rPr>
          <w:rFonts w:hint="eastAsia"/>
          <w:kern w:val="24"/>
        </w:rPr>
        <w:t>第五条</w:t>
      </w:r>
      <w:r>
        <w:rPr>
          <w:rFonts w:hint="eastAsia"/>
          <w:kern w:val="24"/>
        </w:rPr>
        <w:t xml:space="preserve">  </w:t>
      </w:r>
      <w:r>
        <w:rPr>
          <w:rFonts w:hint="eastAsia"/>
          <w:kern w:val="24"/>
        </w:rPr>
        <w:t>国际法规定的首要地位</w:t>
      </w:r>
      <w:r>
        <w:rPr>
          <w:rFonts w:hint="eastAsia"/>
          <w:kern w:val="24"/>
        </w:rPr>
        <w:tab/>
      </w:r>
      <w:r>
        <w:rPr>
          <w:rFonts w:hint="eastAsia"/>
          <w:kern w:val="24"/>
        </w:rPr>
        <w:tab/>
      </w:r>
      <w:r>
        <w:rPr>
          <w:rFonts w:hint="eastAsia"/>
          <w:kern w:val="24"/>
        </w:rPr>
        <w:tab/>
        <w:t>17</w:t>
      </w:r>
      <w:r>
        <w:rPr>
          <w:rFonts w:hint="eastAsia"/>
          <w:kern w:val="24"/>
        </w:rPr>
        <w:tab/>
      </w:r>
      <w:r>
        <w:rPr>
          <w:rFonts w:hint="eastAsia"/>
          <w:kern w:val="24"/>
        </w:rPr>
        <w:tab/>
        <w:t>7</w:t>
      </w:r>
    </w:p>
    <w:p w:rsidR="00000000" w:rsidRDefault="00000000">
      <w:pPr>
        <w:pStyle w:val="a9"/>
        <w:ind w:left="1030"/>
        <w:rPr>
          <w:rFonts w:hint="eastAsia"/>
          <w:kern w:val="24"/>
        </w:rPr>
      </w:pPr>
      <w:r>
        <w:rPr>
          <w:rFonts w:hint="eastAsia"/>
          <w:kern w:val="24"/>
        </w:rPr>
        <w:t>第六条</w:t>
      </w:r>
      <w:r>
        <w:rPr>
          <w:rFonts w:hint="eastAsia"/>
          <w:kern w:val="24"/>
        </w:rPr>
        <w:t xml:space="preserve">  </w:t>
      </w:r>
      <w:r>
        <w:rPr>
          <w:rFonts w:hint="eastAsia"/>
          <w:kern w:val="24"/>
        </w:rPr>
        <w:t>劳动的权利</w:t>
      </w:r>
      <w:r>
        <w:rPr>
          <w:rFonts w:hint="eastAsia"/>
          <w:kern w:val="24"/>
        </w:rPr>
        <w:tab/>
      </w:r>
      <w:r>
        <w:rPr>
          <w:rFonts w:hint="eastAsia"/>
          <w:kern w:val="24"/>
        </w:rPr>
        <w:tab/>
        <w:t>18</w:t>
      </w:r>
      <w:r>
        <w:rPr>
          <w:rFonts w:hint="eastAsia"/>
          <w:kern w:val="24"/>
        </w:rPr>
        <w:tab/>
        <w:t>-</w:t>
      </w:r>
      <w:r>
        <w:rPr>
          <w:rFonts w:hint="eastAsia"/>
          <w:kern w:val="24"/>
        </w:rPr>
        <w:tab/>
        <w:t>21</w:t>
      </w:r>
      <w:r>
        <w:rPr>
          <w:rFonts w:hint="eastAsia"/>
          <w:kern w:val="24"/>
        </w:rPr>
        <w:tab/>
        <w:t>7</w:t>
      </w:r>
    </w:p>
    <w:p w:rsidR="00000000" w:rsidRDefault="00000000">
      <w:pPr>
        <w:pStyle w:val="a9"/>
        <w:ind w:left="1030"/>
        <w:rPr>
          <w:rFonts w:hint="eastAsia"/>
          <w:kern w:val="24"/>
        </w:rPr>
      </w:pPr>
      <w:r>
        <w:rPr>
          <w:rFonts w:hint="eastAsia"/>
          <w:kern w:val="24"/>
        </w:rPr>
        <w:t>第七条</w:t>
      </w:r>
      <w:r>
        <w:rPr>
          <w:rFonts w:hint="eastAsia"/>
          <w:kern w:val="24"/>
        </w:rPr>
        <w:t xml:space="preserve">  </w:t>
      </w:r>
      <w:r>
        <w:rPr>
          <w:rFonts w:hint="eastAsia"/>
          <w:kern w:val="24"/>
        </w:rPr>
        <w:t>获得公平报酬的权利</w:t>
      </w:r>
      <w:r>
        <w:rPr>
          <w:rFonts w:hint="eastAsia"/>
          <w:kern w:val="24"/>
        </w:rPr>
        <w:tab/>
      </w:r>
      <w:r>
        <w:rPr>
          <w:kern w:val="24"/>
        </w:rPr>
        <w:tab/>
        <w:t>22</w:t>
      </w:r>
      <w:r>
        <w:rPr>
          <w:kern w:val="24"/>
        </w:rPr>
        <w:tab/>
        <w:t>-</w:t>
      </w:r>
      <w:r>
        <w:rPr>
          <w:kern w:val="24"/>
        </w:rPr>
        <w:tab/>
        <w:t>29</w:t>
      </w:r>
      <w:r>
        <w:rPr>
          <w:rFonts w:hint="eastAsia"/>
          <w:kern w:val="24"/>
        </w:rPr>
        <w:tab/>
        <w:t>9</w:t>
      </w:r>
    </w:p>
    <w:p w:rsidR="00000000" w:rsidRDefault="00000000">
      <w:pPr>
        <w:pStyle w:val="a9"/>
        <w:ind w:left="1030"/>
        <w:rPr>
          <w:rFonts w:hint="eastAsia"/>
          <w:kern w:val="24"/>
        </w:rPr>
      </w:pPr>
      <w:r>
        <w:rPr>
          <w:rFonts w:hint="eastAsia"/>
          <w:kern w:val="24"/>
        </w:rPr>
        <w:t>第八条</w:t>
      </w:r>
      <w:r>
        <w:rPr>
          <w:rFonts w:hint="eastAsia"/>
          <w:kern w:val="24"/>
        </w:rPr>
        <w:t xml:space="preserve">  </w:t>
      </w:r>
      <w:r>
        <w:rPr>
          <w:rFonts w:hint="eastAsia"/>
          <w:kern w:val="24"/>
        </w:rPr>
        <w:t>组织工会和工会联合会的权利</w:t>
      </w:r>
      <w:r>
        <w:rPr>
          <w:rFonts w:hint="eastAsia"/>
          <w:kern w:val="24"/>
        </w:rPr>
        <w:tab/>
      </w:r>
      <w:r>
        <w:rPr>
          <w:kern w:val="24"/>
        </w:rPr>
        <w:tab/>
        <w:t>30</w:t>
      </w:r>
      <w:r>
        <w:rPr>
          <w:kern w:val="24"/>
        </w:rPr>
        <w:tab/>
        <w:t>-</w:t>
      </w:r>
      <w:r>
        <w:rPr>
          <w:kern w:val="24"/>
        </w:rPr>
        <w:tab/>
        <w:t>33</w:t>
      </w:r>
      <w:r>
        <w:rPr>
          <w:rFonts w:hint="eastAsia"/>
          <w:kern w:val="24"/>
        </w:rPr>
        <w:tab/>
        <w:t>11</w:t>
      </w:r>
    </w:p>
    <w:p w:rsidR="00000000" w:rsidRDefault="00000000">
      <w:pPr>
        <w:pStyle w:val="a9"/>
        <w:ind w:left="1030"/>
        <w:rPr>
          <w:rFonts w:hint="eastAsia"/>
          <w:kern w:val="24"/>
        </w:rPr>
      </w:pPr>
      <w:r>
        <w:rPr>
          <w:rFonts w:hint="eastAsia"/>
          <w:kern w:val="24"/>
        </w:rPr>
        <w:t>第九条</w:t>
      </w:r>
      <w:r>
        <w:rPr>
          <w:rFonts w:hint="eastAsia"/>
          <w:kern w:val="24"/>
        </w:rPr>
        <w:t xml:space="preserve">  </w:t>
      </w:r>
      <w:r>
        <w:rPr>
          <w:rFonts w:hint="eastAsia"/>
          <w:kern w:val="24"/>
        </w:rPr>
        <w:t>获得社会保障的权利</w:t>
      </w:r>
      <w:r>
        <w:rPr>
          <w:rFonts w:hint="eastAsia"/>
          <w:kern w:val="24"/>
        </w:rPr>
        <w:tab/>
      </w:r>
      <w:r>
        <w:rPr>
          <w:kern w:val="24"/>
        </w:rPr>
        <w:tab/>
        <w:t>34</w:t>
      </w:r>
      <w:r>
        <w:rPr>
          <w:kern w:val="24"/>
        </w:rPr>
        <w:tab/>
        <w:t>-</w:t>
      </w:r>
      <w:r>
        <w:rPr>
          <w:kern w:val="24"/>
        </w:rPr>
        <w:tab/>
        <w:t>44</w:t>
      </w:r>
      <w:r>
        <w:rPr>
          <w:rFonts w:hint="eastAsia"/>
          <w:kern w:val="24"/>
        </w:rPr>
        <w:tab/>
        <w:t>11</w:t>
      </w:r>
    </w:p>
    <w:p w:rsidR="00000000" w:rsidRDefault="00000000">
      <w:pPr>
        <w:pStyle w:val="a9"/>
        <w:ind w:left="1030"/>
        <w:rPr>
          <w:rFonts w:hint="eastAsia"/>
          <w:kern w:val="24"/>
        </w:rPr>
      </w:pPr>
      <w:r>
        <w:rPr>
          <w:rFonts w:hint="eastAsia"/>
          <w:kern w:val="24"/>
        </w:rPr>
        <w:t>第十条</w:t>
      </w:r>
      <w:r>
        <w:rPr>
          <w:rFonts w:hint="eastAsia"/>
          <w:kern w:val="24"/>
        </w:rPr>
        <w:t xml:space="preserve">  </w:t>
      </w:r>
      <w:r>
        <w:rPr>
          <w:rFonts w:hint="eastAsia"/>
          <w:kern w:val="24"/>
        </w:rPr>
        <w:t>保护家庭、母亲和子女的权利</w:t>
      </w:r>
      <w:r>
        <w:rPr>
          <w:rFonts w:hint="eastAsia"/>
          <w:kern w:val="24"/>
        </w:rPr>
        <w:tab/>
      </w:r>
      <w:r>
        <w:rPr>
          <w:kern w:val="24"/>
        </w:rPr>
        <w:tab/>
        <w:t>45</w:t>
      </w:r>
      <w:r>
        <w:rPr>
          <w:kern w:val="24"/>
        </w:rPr>
        <w:tab/>
        <w:t>-</w:t>
      </w:r>
      <w:r>
        <w:rPr>
          <w:kern w:val="24"/>
        </w:rPr>
        <w:tab/>
        <w:t>52</w:t>
      </w:r>
      <w:r>
        <w:rPr>
          <w:rFonts w:hint="eastAsia"/>
          <w:kern w:val="24"/>
        </w:rPr>
        <w:tab/>
        <w:t>13</w:t>
      </w:r>
    </w:p>
    <w:p w:rsidR="00000000" w:rsidRDefault="00000000">
      <w:pPr>
        <w:pStyle w:val="a9"/>
        <w:ind w:left="1883" w:hanging="1361"/>
        <w:rPr>
          <w:rFonts w:hint="eastAsia"/>
          <w:kern w:val="24"/>
        </w:rPr>
      </w:pPr>
      <w:r>
        <w:rPr>
          <w:rFonts w:hint="eastAsia"/>
          <w:kern w:val="24"/>
        </w:rPr>
        <w:t>第十一条</w:t>
      </w:r>
      <w:r>
        <w:rPr>
          <w:rFonts w:hint="eastAsia"/>
          <w:kern w:val="24"/>
        </w:rPr>
        <w:t xml:space="preserve">  </w:t>
      </w:r>
      <w:r>
        <w:rPr>
          <w:rFonts w:hint="eastAsia"/>
          <w:kern w:val="24"/>
        </w:rPr>
        <w:t>获得食物、衣服和住房的权利</w:t>
      </w:r>
      <w:r>
        <w:rPr>
          <w:rFonts w:hint="eastAsia"/>
          <w:kern w:val="24"/>
        </w:rPr>
        <w:t>(</w:t>
      </w:r>
      <w:r>
        <w:rPr>
          <w:rFonts w:hint="eastAsia"/>
          <w:kern w:val="24"/>
        </w:rPr>
        <w:t>适足生活水准权</w:t>
      </w:r>
      <w:r>
        <w:rPr>
          <w:rFonts w:hint="eastAsia"/>
          <w:kern w:val="24"/>
        </w:rPr>
        <w:t>)</w:t>
      </w:r>
      <w:r>
        <w:rPr>
          <w:rFonts w:hint="eastAsia"/>
          <w:kern w:val="24"/>
        </w:rPr>
        <w:tab/>
      </w:r>
      <w:r>
        <w:rPr>
          <w:kern w:val="24"/>
        </w:rPr>
        <w:tab/>
        <w:t>53</w:t>
      </w:r>
      <w:r>
        <w:rPr>
          <w:kern w:val="24"/>
        </w:rPr>
        <w:tab/>
        <w:t>-</w:t>
      </w:r>
      <w:r>
        <w:rPr>
          <w:kern w:val="24"/>
        </w:rPr>
        <w:tab/>
        <w:t>84</w:t>
      </w:r>
      <w:r>
        <w:rPr>
          <w:rFonts w:hint="eastAsia"/>
          <w:kern w:val="24"/>
        </w:rPr>
        <w:tab/>
        <w:t>16</w:t>
      </w:r>
    </w:p>
    <w:p w:rsidR="00000000" w:rsidRDefault="00000000">
      <w:pPr>
        <w:pStyle w:val="a9"/>
        <w:ind w:left="1883" w:hanging="1361"/>
        <w:rPr>
          <w:rFonts w:hint="eastAsia"/>
          <w:kern w:val="24"/>
        </w:rPr>
      </w:pPr>
      <w:r>
        <w:rPr>
          <w:rFonts w:hint="eastAsia"/>
          <w:kern w:val="24"/>
        </w:rPr>
        <w:t>第十二条</w:t>
      </w:r>
      <w:r>
        <w:rPr>
          <w:rFonts w:hint="eastAsia"/>
          <w:kern w:val="24"/>
        </w:rPr>
        <w:t xml:space="preserve">  </w:t>
      </w:r>
      <w:r>
        <w:rPr>
          <w:rFonts w:hint="eastAsia"/>
          <w:kern w:val="24"/>
        </w:rPr>
        <w:t>享有尽可能高的身体健康和精神健康水平的权利</w:t>
      </w:r>
      <w:r>
        <w:rPr>
          <w:rFonts w:hint="eastAsia"/>
          <w:kern w:val="24"/>
        </w:rPr>
        <w:tab/>
      </w:r>
      <w:r>
        <w:rPr>
          <w:kern w:val="24"/>
        </w:rPr>
        <w:tab/>
        <w:t>85</w:t>
      </w:r>
      <w:r>
        <w:rPr>
          <w:kern w:val="24"/>
        </w:rPr>
        <w:tab/>
        <w:t>-</w:t>
      </w:r>
      <w:r>
        <w:rPr>
          <w:kern w:val="24"/>
        </w:rPr>
        <w:tab/>
        <w:t>118</w:t>
      </w:r>
      <w:r>
        <w:rPr>
          <w:rFonts w:hint="eastAsia"/>
          <w:kern w:val="24"/>
        </w:rPr>
        <w:tab/>
        <w:t>23</w:t>
      </w:r>
    </w:p>
    <w:p w:rsidR="00000000" w:rsidRDefault="00000000">
      <w:pPr>
        <w:pStyle w:val="a9"/>
        <w:ind w:left="1883" w:hanging="1361"/>
        <w:rPr>
          <w:rFonts w:hint="eastAsia"/>
          <w:kern w:val="24"/>
        </w:rPr>
      </w:pPr>
      <w:r>
        <w:rPr>
          <w:rFonts w:hint="eastAsia"/>
          <w:kern w:val="24"/>
        </w:rPr>
        <w:t>第十三条</w:t>
      </w:r>
      <w:r>
        <w:rPr>
          <w:rFonts w:hint="eastAsia"/>
          <w:kern w:val="24"/>
        </w:rPr>
        <w:t xml:space="preserve">  </w:t>
      </w:r>
      <w:r>
        <w:rPr>
          <w:rFonts w:hint="eastAsia"/>
          <w:kern w:val="24"/>
        </w:rPr>
        <w:t>接受教育的权利</w:t>
      </w:r>
      <w:r>
        <w:rPr>
          <w:rFonts w:hint="eastAsia"/>
          <w:kern w:val="24"/>
        </w:rPr>
        <w:tab/>
      </w:r>
      <w:r>
        <w:rPr>
          <w:kern w:val="24"/>
        </w:rPr>
        <w:tab/>
      </w:r>
      <w:r>
        <w:rPr>
          <w:kern w:val="24"/>
        </w:rPr>
        <w:tab/>
        <w:t>119</w:t>
      </w:r>
      <w:r>
        <w:rPr>
          <w:rFonts w:hint="eastAsia"/>
          <w:kern w:val="24"/>
        </w:rPr>
        <w:tab/>
        <w:t>32</w:t>
      </w:r>
    </w:p>
    <w:p w:rsidR="00000000" w:rsidRDefault="00000000">
      <w:pPr>
        <w:pStyle w:val="a9"/>
        <w:ind w:left="1883" w:hanging="1361"/>
        <w:rPr>
          <w:rFonts w:hint="eastAsia"/>
          <w:kern w:val="24"/>
        </w:rPr>
      </w:pPr>
      <w:r>
        <w:rPr>
          <w:rFonts w:hint="eastAsia"/>
          <w:kern w:val="24"/>
        </w:rPr>
        <w:t>第十四条</w:t>
      </w:r>
      <w:r>
        <w:rPr>
          <w:rFonts w:hint="eastAsia"/>
          <w:kern w:val="24"/>
        </w:rPr>
        <w:t xml:space="preserve">  </w:t>
      </w:r>
      <w:r>
        <w:rPr>
          <w:rFonts w:hint="eastAsia"/>
          <w:kern w:val="24"/>
        </w:rPr>
        <w:t>接受教育的权利</w:t>
      </w:r>
      <w:r>
        <w:rPr>
          <w:rFonts w:hint="eastAsia"/>
          <w:kern w:val="24"/>
        </w:rPr>
        <w:tab/>
      </w:r>
      <w:r>
        <w:rPr>
          <w:kern w:val="24"/>
        </w:rPr>
        <w:tab/>
      </w:r>
      <w:r>
        <w:rPr>
          <w:kern w:val="24"/>
        </w:rPr>
        <w:tab/>
        <w:t>120</w:t>
      </w:r>
      <w:r>
        <w:rPr>
          <w:rFonts w:hint="eastAsia"/>
          <w:kern w:val="24"/>
        </w:rPr>
        <w:tab/>
        <w:t>32</w:t>
      </w:r>
    </w:p>
    <w:p w:rsidR="00000000" w:rsidRDefault="00000000">
      <w:pPr>
        <w:pStyle w:val="a9"/>
        <w:ind w:left="1883" w:hanging="1361"/>
        <w:rPr>
          <w:rFonts w:hint="eastAsia"/>
          <w:kern w:val="24"/>
        </w:rPr>
      </w:pPr>
      <w:r>
        <w:rPr>
          <w:rFonts w:hint="eastAsia"/>
          <w:kern w:val="24"/>
        </w:rPr>
        <w:t>第十五条</w:t>
      </w:r>
      <w:r>
        <w:rPr>
          <w:rFonts w:hint="eastAsia"/>
          <w:kern w:val="24"/>
        </w:rPr>
        <w:t xml:space="preserve">  </w:t>
      </w:r>
      <w:r>
        <w:rPr>
          <w:rFonts w:hint="eastAsia"/>
          <w:kern w:val="24"/>
        </w:rPr>
        <w:t>参加文化生活的权利</w:t>
      </w:r>
      <w:r>
        <w:rPr>
          <w:rFonts w:hint="eastAsia"/>
          <w:kern w:val="24"/>
        </w:rPr>
        <w:tab/>
      </w:r>
      <w:r>
        <w:rPr>
          <w:kern w:val="24"/>
        </w:rPr>
        <w:tab/>
        <w:t>121</w:t>
      </w:r>
      <w:r>
        <w:rPr>
          <w:kern w:val="24"/>
        </w:rPr>
        <w:tab/>
        <w:t>-</w:t>
      </w:r>
      <w:r>
        <w:rPr>
          <w:kern w:val="24"/>
        </w:rPr>
        <w:tab/>
        <w:t>145</w:t>
      </w:r>
      <w:r>
        <w:rPr>
          <w:rFonts w:hint="eastAsia"/>
          <w:kern w:val="24"/>
        </w:rPr>
        <w:tab/>
        <w:t>32</w:t>
      </w:r>
    </w:p>
    <w:p w:rsidR="00000000" w:rsidRDefault="00000000">
      <w:pPr>
        <w:pStyle w:val="a9"/>
        <w:tabs>
          <w:tab w:val="clear" w:pos="6804"/>
          <w:tab w:val="clear" w:pos="7371"/>
          <w:tab w:val="clear" w:pos="7541"/>
          <w:tab w:val="clear" w:pos="7711"/>
          <w:tab w:val="right" w:leader="dot" w:pos="8320"/>
        </w:tabs>
        <w:rPr>
          <w:rFonts w:hint="eastAsia"/>
          <w:kern w:val="24"/>
        </w:rPr>
      </w:pPr>
      <w:r>
        <w:rPr>
          <w:rFonts w:hint="eastAsia"/>
          <w:kern w:val="24"/>
        </w:rPr>
        <w:t>资料来源的清单</w:t>
      </w:r>
      <w:r>
        <w:rPr>
          <w:rFonts w:hint="eastAsia"/>
          <w:kern w:val="24"/>
        </w:rPr>
        <w:t>..............</w:t>
      </w:r>
      <w:r>
        <w:rPr>
          <w:rFonts w:hint="eastAsia"/>
          <w:kern w:val="24"/>
        </w:rPr>
        <w:tab/>
      </w:r>
      <w:r>
        <w:rPr>
          <w:rFonts w:hint="eastAsia"/>
          <w:kern w:val="24"/>
        </w:rPr>
        <w:tab/>
        <w:t>38</w:t>
      </w:r>
    </w:p>
    <w:p w:rsidR="00000000" w:rsidRDefault="00000000">
      <w:pPr>
        <w:pStyle w:val="Heading2"/>
        <w:rPr>
          <w:rFonts w:hint="eastAsia"/>
          <w:kern w:val="24"/>
        </w:rPr>
      </w:pPr>
      <w:r>
        <w:rPr>
          <w:kern w:val="24"/>
        </w:rPr>
        <w:br w:type="page"/>
      </w:r>
      <w:r>
        <w:rPr>
          <w:rFonts w:hint="eastAsia"/>
          <w:kern w:val="24"/>
        </w:rPr>
        <w:t>导</w:t>
      </w:r>
      <w:r>
        <w:rPr>
          <w:rFonts w:hint="eastAsia"/>
          <w:kern w:val="24"/>
        </w:rPr>
        <w:t xml:space="preserve">  </w:t>
      </w:r>
      <w:r>
        <w:rPr>
          <w:rFonts w:hint="eastAsia"/>
          <w:kern w:val="24"/>
        </w:rPr>
        <w:t>言</w:t>
      </w:r>
    </w:p>
    <w:p w:rsidR="00000000" w:rsidRDefault="00000000">
      <w:pPr>
        <w:rPr>
          <w:rFonts w:hint="eastAsia"/>
        </w:rPr>
      </w:pPr>
      <w:r>
        <w:rPr>
          <w:rFonts w:hint="eastAsia"/>
        </w:rPr>
        <w:tab/>
        <w:t xml:space="preserve">1.  </w:t>
      </w:r>
      <w:r>
        <w:rPr>
          <w:rFonts w:hint="eastAsia"/>
        </w:rPr>
        <w:t>联合国大会于</w:t>
      </w:r>
      <w:r>
        <w:rPr>
          <w:rFonts w:hint="eastAsia"/>
        </w:rPr>
        <w:t>1966</w:t>
      </w:r>
      <w:r>
        <w:rPr>
          <w:rFonts w:hint="eastAsia"/>
        </w:rPr>
        <w:t>年</w:t>
      </w:r>
      <w:r>
        <w:rPr>
          <w:rFonts w:hint="eastAsia"/>
        </w:rPr>
        <w:t>12</w:t>
      </w:r>
      <w:r>
        <w:rPr>
          <w:rFonts w:hint="eastAsia"/>
        </w:rPr>
        <w:t>月</w:t>
      </w:r>
      <w:r>
        <w:rPr>
          <w:rFonts w:hint="eastAsia"/>
        </w:rPr>
        <w:t>16</w:t>
      </w:r>
      <w:r>
        <w:rPr>
          <w:rFonts w:hint="eastAsia"/>
        </w:rPr>
        <w:t>日通过了《经济、社会、文化权利国际公约》，该公约于</w:t>
      </w:r>
      <w:r>
        <w:rPr>
          <w:rFonts w:hint="eastAsia"/>
        </w:rPr>
        <w:t>1976</w:t>
      </w:r>
      <w:r>
        <w:rPr>
          <w:rFonts w:hint="eastAsia"/>
        </w:rPr>
        <w:t>年</w:t>
      </w:r>
      <w:r>
        <w:rPr>
          <w:rFonts w:hint="eastAsia"/>
        </w:rPr>
        <w:t>1</w:t>
      </w:r>
      <w:r>
        <w:rPr>
          <w:rFonts w:hint="eastAsia"/>
        </w:rPr>
        <w:t>月</w:t>
      </w:r>
      <w:r>
        <w:rPr>
          <w:rFonts w:hint="eastAsia"/>
        </w:rPr>
        <w:t>3</w:t>
      </w:r>
      <w:r>
        <w:rPr>
          <w:rFonts w:hint="eastAsia"/>
        </w:rPr>
        <w:t>日生效。大阿拉伯利比亚民众国于</w:t>
      </w:r>
      <w:r>
        <w:rPr>
          <w:rFonts w:hint="eastAsia"/>
        </w:rPr>
        <w:t>1970</w:t>
      </w:r>
      <w:r>
        <w:rPr>
          <w:rFonts w:hint="eastAsia"/>
        </w:rPr>
        <w:t>年</w:t>
      </w:r>
      <w:r>
        <w:rPr>
          <w:rFonts w:hint="eastAsia"/>
        </w:rPr>
        <w:t>5</w:t>
      </w:r>
      <w:r>
        <w:rPr>
          <w:rFonts w:hint="eastAsia"/>
        </w:rPr>
        <w:t>月</w:t>
      </w:r>
      <w:r>
        <w:rPr>
          <w:rFonts w:hint="eastAsia"/>
        </w:rPr>
        <w:t>15</w:t>
      </w:r>
      <w:r>
        <w:rPr>
          <w:rFonts w:hint="eastAsia"/>
        </w:rPr>
        <w:t>日参加了该公约。</w:t>
      </w:r>
    </w:p>
    <w:p w:rsidR="00000000" w:rsidRDefault="00000000">
      <w:pPr>
        <w:rPr>
          <w:rFonts w:hint="eastAsia"/>
        </w:rPr>
      </w:pPr>
      <w:r>
        <w:rPr>
          <w:rFonts w:hint="eastAsia"/>
        </w:rPr>
        <w:tab/>
        <w:t xml:space="preserve">2.  </w:t>
      </w:r>
      <w:r>
        <w:rPr>
          <w:rFonts w:hint="eastAsia"/>
        </w:rPr>
        <w:t>根据《公约》第十六条第一款的规定，阿拉伯利比亚民众国已经提交了有关《公约》第六、九、十一、十二、十三和十五条执行情况的报告</w:t>
      </w:r>
      <w:r>
        <w:rPr>
          <w:rFonts w:hint="eastAsia"/>
        </w:rPr>
        <w:t>(</w:t>
      </w:r>
      <w:r>
        <w:rPr>
          <w:rFonts w:hint="eastAsia"/>
        </w:rPr>
        <w:t>见文件</w:t>
      </w:r>
      <w:r>
        <w:rPr>
          <w:rFonts w:hint="eastAsia"/>
        </w:rPr>
        <w:t>E/1982/3/A</w:t>
      </w:r>
      <w:r>
        <w:t>dd.</w:t>
      </w:r>
      <w:r>
        <w:rPr>
          <w:rFonts w:hint="eastAsia"/>
        </w:rPr>
        <w:t>6</w:t>
      </w:r>
      <w:r>
        <w:rPr>
          <w:rFonts w:hint="eastAsia"/>
        </w:rPr>
        <w:t>和</w:t>
      </w:r>
      <w:r>
        <w:rPr>
          <w:rFonts w:hint="eastAsia"/>
        </w:rPr>
        <w:t>25</w:t>
      </w:r>
      <w:r>
        <w:rPr>
          <w:rFonts w:hint="eastAsia"/>
        </w:rPr>
        <w:t>、</w:t>
      </w:r>
      <w:r>
        <w:rPr>
          <w:rFonts w:hint="eastAsia"/>
        </w:rPr>
        <w:t>E/1983/WG.1/SR.16-17</w:t>
      </w:r>
      <w:r>
        <w:rPr>
          <w:rFonts w:hint="eastAsia"/>
        </w:rPr>
        <w:t>、</w:t>
      </w:r>
      <w:r>
        <w:rPr>
          <w:rFonts w:hint="eastAsia"/>
        </w:rPr>
        <w:t>E/1990/5/A</w:t>
      </w:r>
      <w:r>
        <w:t>dd.26</w:t>
      </w:r>
      <w:r>
        <w:rPr>
          <w:rFonts w:hint="eastAsia"/>
        </w:rPr>
        <w:t>以及</w:t>
      </w:r>
      <w:r>
        <w:rPr>
          <w:rFonts w:hint="eastAsia"/>
        </w:rPr>
        <w:t>E/C.12/1997/ SR.20</w:t>
      </w:r>
      <w:r>
        <w:rPr>
          <w:rFonts w:hint="eastAsia"/>
        </w:rPr>
        <w:t>和</w:t>
      </w:r>
      <w:r>
        <w:rPr>
          <w:rFonts w:hint="eastAsia"/>
        </w:rPr>
        <w:t>26)</w:t>
      </w:r>
      <w:r>
        <w:rPr>
          <w:rFonts w:hint="eastAsia"/>
        </w:rPr>
        <w:t>。</w:t>
      </w:r>
    </w:p>
    <w:p w:rsidR="00000000" w:rsidRDefault="00000000">
      <w:pPr>
        <w:rPr>
          <w:rFonts w:hint="eastAsia"/>
        </w:rPr>
      </w:pPr>
      <w:r>
        <w:rPr>
          <w:rFonts w:hint="eastAsia"/>
        </w:rPr>
        <w:tab/>
        <w:t xml:space="preserve">3.  </w:t>
      </w:r>
      <w:r>
        <w:rPr>
          <w:rFonts w:hint="eastAsia"/>
        </w:rPr>
        <w:t>包含了利比亚的第二次和第三次定期报告的本报告是按照《公约》第十六条的规定编写的。本报告分为两个部分。第一部分概括介绍了阿拉伯利比亚民众国的地理和人口特点，回顾了整体的经济状况，其中包括有关主要经济部门和人均国民生产总值的数据，同时简要地说明了该国的政治制度以及政府的立法部门、执法部门和司法部门。报告的第二部分详细说明了该民众国为执行《公约》各条规定而采取的措施，内容包括第一条</w:t>
      </w:r>
      <w:r>
        <w:rPr>
          <w:rFonts w:hint="eastAsia"/>
        </w:rPr>
        <w:t>(</w:t>
      </w:r>
      <w:r>
        <w:rPr>
          <w:rFonts w:hint="eastAsia"/>
        </w:rPr>
        <w:t>自决权</w:t>
      </w:r>
      <w:r>
        <w:rPr>
          <w:rFonts w:hint="eastAsia"/>
        </w:rPr>
        <w:t>)</w:t>
      </w:r>
      <w:r>
        <w:rPr>
          <w:rFonts w:hint="eastAsia"/>
        </w:rPr>
        <w:t>至第十五条</w:t>
      </w:r>
      <w:r>
        <w:rPr>
          <w:rFonts w:hint="eastAsia"/>
        </w:rPr>
        <w:t>(</w:t>
      </w:r>
      <w:r>
        <w:rPr>
          <w:rFonts w:hint="eastAsia"/>
        </w:rPr>
        <w:t>文化权利</w:t>
      </w:r>
      <w:r>
        <w:rPr>
          <w:rFonts w:hint="eastAsia"/>
        </w:rPr>
        <w:t>)</w:t>
      </w:r>
      <w:r>
        <w:rPr>
          <w:rFonts w:hint="eastAsia"/>
        </w:rPr>
        <w:t>。</w:t>
      </w:r>
    </w:p>
    <w:p w:rsidR="00000000" w:rsidRDefault="00000000">
      <w:pPr>
        <w:spacing w:after="320"/>
        <w:rPr>
          <w:rFonts w:hint="eastAsia"/>
        </w:rPr>
      </w:pPr>
      <w:r>
        <w:rPr>
          <w:rFonts w:hint="eastAsia"/>
        </w:rPr>
        <w:tab/>
        <w:t xml:space="preserve">4.  </w:t>
      </w:r>
      <w:r>
        <w:rPr>
          <w:rFonts w:hint="eastAsia"/>
        </w:rPr>
        <w:t>本报告是由一个专家委员会编写的，在编写中已经列入了所有有关民众国为执行《公约》而采取措施的信息，而且是按照文件</w:t>
      </w:r>
      <w:r>
        <w:rPr>
          <w:rFonts w:hint="eastAsia"/>
        </w:rPr>
        <w:t>HR/PUB/1991/1</w:t>
      </w:r>
      <w:r>
        <w:rPr>
          <w:rFonts w:hint="eastAsia"/>
        </w:rPr>
        <w:t>所规定的准则以及经济、社会、文化权利委员会在文件</w:t>
      </w:r>
      <w:r>
        <w:rPr>
          <w:rFonts w:hint="eastAsia"/>
        </w:rPr>
        <w:t>E/C.12/1991/1</w:t>
      </w:r>
      <w:r>
        <w:rPr>
          <w:rFonts w:hint="eastAsia"/>
        </w:rPr>
        <w:t>中所发出的准则来介绍这些信息的。</w:t>
      </w:r>
    </w:p>
    <w:p w:rsidR="00000000" w:rsidRDefault="00000000">
      <w:pPr>
        <w:pStyle w:val="Heading2"/>
        <w:rPr>
          <w:rFonts w:hint="eastAsia"/>
        </w:rPr>
      </w:pPr>
      <w:r>
        <w:rPr>
          <w:rFonts w:hint="eastAsia"/>
        </w:rPr>
        <w:t>一、一般性信息</w:t>
      </w:r>
    </w:p>
    <w:p w:rsidR="00000000" w:rsidRDefault="00000000">
      <w:pPr>
        <w:pStyle w:val="Heading3"/>
        <w:rPr>
          <w:rFonts w:hint="eastAsia"/>
        </w:rPr>
      </w:pPr>
      <w:r>
        <w:rPr>
          <w:rFonts w:hint="eastAsia"/>
          <w:u w:val="none"/>
        </w:rPr>
        <w:t xml:space="preserve">A.  </w:t>
      </w:r>
      <w:r>
        <w:rPr>
          <w:rFonts w:hint="eastAsia"/>
        </w:rPr>
        <w:t>地理和人口特点</w:t>
      </w:r>
    </w:p>
    <w:p w:rsidR="00000000" w:rsidRDefault="00000000">
      <w:pPr>
        <w:rPr>
          <w:rFonts w:hint="eastAsia"/>
        </w:rPr>
      </w:pPr>
      <w:r>
        <w:rPr>
          <w:rFonts w:hint="eastAsia"/>
        </w:rPr>
        <w:tab/>
        <w:t xml:space="preserve">5.  </w:t>
      </w:r>
      <w:r>
        <w:rPr>
          <w:rFonts w:hint="eastAsia"/>
        </w:rPr>
        <w:t>阿拉伯利比亚民众国提交的有关《经济、社会、文化权利国际公约》执行情况的初次报告</w:t>
      </w:r>
      <w:r>
        <w:rPr>
          <w:rFonts w:hint="eastAsia"/>
        </w:rPr>
        <w:t>(E/1990/5/A</w:t>
      </w:r>
      <w:r>
        <w:t>dd.</w:t>
      </w:r>
      <w:r>
        <w:rPr>
          <w:rFonts w:hint="eastAsia"/>
        </w:rPr>
        <w:t>26)</w:t>
      </w:r>
      <w:r>
        <w:rPr>
          <w:rFonts w:hint="eastAsia"/>
        </w:rPr>
        <w:t>载有关于该国地理、种族、语言、人口以及宗教特点的信息，除此以外，我们还想补充以下数据：</w:t>
      </w:r>
    </w:p>
    <w:p w:rsidR="00000000" w:rsidRDefault="00000000">
      <w:pPr>
        <w:numPr>
          <w:ilvl w:val="0"/>
          <w:numId w:val="3"/>
        </w:numPr>
        <w:rPr>
          <w:rFonts w:hint="eastAsia"/>
        </w:rPr>
      </w:pPr>
      <w:r>
        <w:rPr>
          <w:rFonts w:hint="eastAsia"/>
        </w:rPr>
        <w:t>该国</w:t>
      </w:r>
      <w:r>
        <w:rPr>
          <w:rFonts w:hint="eastAsia"/>
        </w:rPr>
        <w:t>2002</w:t>
      </w:r>
      <w:r>
        <w:rPr>
          <w:rFonts w:hint="eastAsia"/>
        </w:rPr>
        <w:t>年的总人口为</w:t>
      </w:r>
      <w:r>
        <w:rPr>
          <w:rFonts w:hint="eastAsia"/>
        </w:rPr>
        <w:t>5,484,426,</w:t>
      </w:r>
      <w:r>
        <w:rPr>
          <w:rFonts w:hint="eastAsia"/>
        </w:rPr>
        <w:t>而</w:t>
      </w:r>
      <w:r>
        <w:rPr>
          <w:rFonts w:hint="eastAsia"/>
        </w:rPr>
        <w:t>1977</w:t>
      </w:r>
      <w:r>
        <w:rPr>
          <w:rFonts w:hint="eastAsia"/>
        </w:rPr>
        <w:t>年的人口为</w:t>
      </w:r>
      <w:r>
        <w:rPr>
          <w:rFonts w:hint="eastAsia"/>
        </w:rPr>
        <w:t>2,939,000</w:t>
      </w:r>
      <w:r>
        <w:rPr>
          <w:rFonts w:hint="eastAsia"/>
        </w:rPr>
        <w:t>。</w:t>
      </w:r>
      <w:r>
        <w:rPr>
          <w:rFonts w:hint="eastAsia"/>
          <w:vertAlign w:val="superscript"/>
        </w:rPr>
        <w:t>1 2</w:t>
      </w:r>
    </w:p>
    <w:p w:rsidR="00000000" w:rsidRDefault="00000000">
      <w:pPr>
        <w:numPr>
          <w:ilvl w:val="0"/>
          <w:numId w:val="3"/>
        </w:numPr>
        <w:rPr>
          <w:rFonts w:hint="eastAsia"/>
        </w:rPr>
      </w:pPr>
      <w:r>
        <w:rPr>
          <w:rFonts w:hint="eastAsia"/>
        </w:rPr>
        <w:t>全国人口均为穆斯林，所有人都说国家的正式语言：阿拉伯语。</w:t>
      </w:r>
    </w:p>
    <w:p w:rsidR="00000000" w:rsidRDefault="00000000">
      <w:pPr>
        <w:numPr>
          <w:ilvl w:val="0"/>
          <w:numId w:val="3"/>
        </w:numPr>
        <w:spacing w:after="320"/>
        <w:rPr>
          <w:rFonts w:hint="eastAsia"/>
        </w:rPr>
      </w:pPr>
      <w:r>
        <w:rPr>
          <w:rFonts w:hint="eastAsia"/>
        </w:rPr>
        <w:t>平均人口密度为每平方公里</w:t>
      </w:r>
      <w:r>
        <w:rPr>
          <w:rFonts w:hint="eastAsia"/>
        </w:rPr>
        <w:t>3.1</w:t>
      </w:r>
      <w:r>
        <w:rPr>
          <w:rFonts w:hint="eastAsia"/>
        </w:rPr>
        <w:t>人，城市中心的人口密度为每平方公里</w:t>
      </w:r>
      <w:r>
        <w:rPr>
          <w:rFonts w:hint="eastAsia"/>
        </w:rPr>
        <w:t>615.9</w:t>
      </w:r>
      <w:r>
        <w:rPr>
          <w:rFonts w:hint="eastAsia"/>
        </w:rPr>
        <w:t>人。</w:t>
      </w:r>
    </w:p>
    <w:p w:rsidR="00000000" w:rsidRDefault="00000000">
      <w:pPr>
        <w:pStyle w:val="Heading3"/>
        <w:rPr>
          <w:rFonts w:hint="eastAsia"/>
        </w:rPr>
      </w:pPr>
      <w:r>
        <w:rPr>
          <w:rFonts w:hint="eastAsia"/>
          <w:u w:val="none"/>
        </w:rPr>
        <w:t xml:space="preserve">B.  </w:t>
      </w:r>
      <w:r>
        <w:rPr>
          <w:rFonts w:hint="eastAsia"/>
        </w:rPr>
        <w:t>政治制度</w:t>
      </w:r>
    </w:p>
    <w:p w:rsidR="00000000" w:rsidRDefault="00000000">
      <w:pPr>
        <w:spacing w:after="320"/>
        <w:rPr>
          <w:rFonts w:hint="eastAsia"/>
        </w:rPr>
      </w:pPr>
      <w:r>
        <w:rPr>
          <w:rFonts w:hint="eastAsia"/>
        </w:rPr>
        <w:tab/>
        <w:t xml:space="preserve">6.  </w:t>
      </w:r>
      <w:r>
        <w:rPr>
          <w:rFonts w:hint="eastAsia"/>
        </w:rPr>
        <w:t>在上述初次报告中已经分析了大民众国的政治制度，其中简要地说明了该国的历史、政治结构、政体以及立法部门、执法部门和司法部门的组织。</w:t>
      </w:r>
    </w:p>
    <w:p w:rsidR="00000000" w:rsidRDefault="00000000">
      <w:pPr>
        <w:pStyle w:val="Heading3"/>
        <w:rPr>
          <w:rFonts w:hint="eastAsia"/>
        </w:rPr>
      </w:pPr>
      <w:r>
        <w:rPr>
          <w:rFonts w:hint="eastAsia"/>
          <w:u w:val="none"/>
        </w:rPr>
        <w:t xml:space="preserve">C.  </w:t>
      </w:r>
      <w:r>
        <w:rPr>
          <w:rFonts w:hint="eastAsia"/>
        </w:rPr>
        <w:t>经济特点</w:t>
      </w:r>
    </w:p>
    <w:p w:rsidR="00000000" w:rsidRDefault="00000000">
      <w:pPr>
        <w:rPr>
          <w:rFonts w:hint="eastAsia"/>
        </w:rPr>
      </w:pPr>
      <w:r>
        <w:rPr>
          <w:rFonts w:hint="eastAsia"/>
        </w:rPr>
        <w:tab/>
        <w:t xml:space="preserve">7.  </w:t>
      </w:r>
      <w:r>
        <w:rPr>
          <w:rFonts w:hint="eastAsia"/>
        </w:rPr>
        <w:t>可在初次报告中补充以下数据：</w:t>
      </w:r>
    </w:p>
    <w:p w:rsidR="00000000" w:rsidRDefault="00000000">
      <w:pPr>
        <w:numPr>
          <w:ilvl w:val="0"/>
          <w:numId w:val="4"/>
        </w:numPr>
        <w:rPr>
          <w:rFonts w:hint="eastAsia"/>
        </w:rPr>
      </w:pPr>
      <w:r>
        <w:rPr>
          <w:rFonts w:hint="eastAsia"/>
        </w:rPr>
        <w:t>利比亚的经济政策旨在实现两个相互关联的目标：促进社会福利和推动生产。</w:t>
      </w:r>
    </w:p>
    <w:p w:rsidR="00000000" w:rsidRDefault="00000000">
      <w:pPr>
        <w:numPr>
          <w:ilvl w:val="0"/>
          <w:numId w:val="4"/>
        </w:numPr>
        <w:rPr>
          <w:rFonts w:hint="eastAsia"/>
        </w:rPr>
      </w:pPr>
      <w:r>
        <w:rPr>
          <w:rFonts w:hint="eastAsia"/>
        </w:rPr>
        <w:t>以时价计算的国民生产总值从</w:t>
      </w:r>
      <w:r>
        <w:rPr>
          <w:rFonts w:hint="eastAsia"/>
        </w:rPr>
        <w:t>1973</w:t>
      </w:r>
      <w:r>
        <w:rPr>
          <w:rFonts w:hint="eastAsia"/>
        </w:rPr>
        <w:t>年的</w:t>
      </w:r>
      <w:r>
        <w:rPr>
          <w:rFonts w:hint="eastAsia"/>
        </w:rPr>
        <w:t>2,244,200,000</w:t>
      </w:r>
      <w:r>
        <w:rPr>
          <w:rFonts w:hint="eastAsia"/>
        </w:rPr>
        <w:t>利比亚第纳尔上升到</w:t>
      </w:r>
      <w:r>
        <w:rPr>
          <w:rFonts w:hint="eastAsia"/>
        </w:rPr>
        <w:t>2000</w:t>
      </w:r>
      <w:r>
        <w:rPr>
          <w:rFonts w:hint="eastAsia"/>
        </w:rPr>
        <w:t>年的</w:t>
      </w:r>
      <w:r>
        <w:rPr>
          <w:rFonts w:hint="eastAsia"/>
        </w:rPr>
        <w:t>17,620,200,000</w:t>
      </w:r>
      <w:r>
        <w:rPr>
          <w:rFonts w:hint="eastAsia"/>
        </w:rPr>
        <w:t>第纳尔。</w:t>
      </w:r>
    </w:p>
    <w:p w:rsidR="00000000" w:rsidRDefault="00000000">
      <w:pPr>
        <w:numPr>
          <w:ilvl w:val="0"/>
          <w:numId w:val="4"/>
        </w:numPr>
        <w:rPr>
          <w:rFonts w:hint="eastAsia"/>
        </w:rPr>
      </w:pPr>
      <w:r>
        <w:rPr>
          <w:rFonts w:hint="eastAsia"/>
        </w:rPr>
        <w:t>主要来自石油出口的政府收入为</w:t>
      </w:r>
      <w:r>
        <w:rPr>
          <w:rFonts w:hint="eastAsia"/>
        </w:rPr>
        <w:t>3,348,100,000</w:t>
      </w:r>
      <w:r>
        <w:rPr>
          <w:rFonts w:hint="eastAsia"/>
        </w:rPr>
        <w:t>第纳尔。</w:t>
      </w:r>
    </w:p>
    <w:p w:rsidR="00000000" w:rsidRDefault="00000000">
      <w:pPr>
        <w:numPr>
          <w:ilvl w:val="0"/>
          <w:numId w:val="4"/>
        </w:numPr>
        <w:rPr>
          <w:rFonts w:hint="eastAsia"/>
        </w:rPr>
      </w:pPr>
      <w:r>
        <w:rPr>
          <w:rFonts w:hint="eastAsia"/>
        </w:rPr>
        <w:t>国民经济的有形和社会基础设施已经得到发展。</w:t>
      </w:r>
    </w:p>
    <w:p w:rsidR="00000000" w:rsidRDefault="00000000">
      <w:pPr>
        <w:numPr>
          <w:ilvl w:val="0"/>
          <w:numId w:val="4"/>
        </w:numPr>
        <w:rPr>
          <w:rFonts w:hint="eastAsia"/>
        </w:rPr>
      </w:pPr>
      <w:r>
        <w:rPr>
          <w:rFonts w:hint="eastAsia"/>
        </w:rPr>
        <w:t>国家的工业基础已经建立起来。</w:t>
      </w:r>
    </w:p>
    <w:p w:rsidR="00000000" w:rsidRDefault="00000000">
      <w:pPr>
        <w:numPr>
          <w:ilvl w:val="0"/>
          <w:numId w:val="4"/>
        </w:numPr>
        <w:rPr>
          <w:rFonts w:hint="eastAsia"/>
        </w:rPr>
      </w:pPr>
      <w:r>
        <w:rPr>
          <w:rFonts w:hint="eastAsia"/>
        </w:rPr>
        <w:t>在</w:t>
      </w:r>
      <w:r>
        <w:rPr>
          <w:rFonts w:hint="eastAsia"/>
        </w:rPr>
        <w:t>2000</w:t>
      </w:r>
      <w:r>
        <w:rPr>
          <w:rFonts w:hint="eastAsia"/>
        </w:rPr>
        <w:t>年，国民经济各部门向以时价计算的国民生产总值所作贡献的比例如下：石油工业</w:t>
      </w:r>
      <w:r>
        <w:rPr>
          <w:rFonts w:hint="eastAsia"/>
        </w:rPr>
        <w:t>37.8%</w:t>
      </w:r>
      <w:r>
        <w:rPr>
          <w:rFonts w:hint="eastAsia"/>
        </w:rPr>
        <w:t>；农业、林业和渔业</w:t>
      </w:r>
      <w:r>
        <w:rPr>
          <w:rFonts w:hint="eastAsia"/>
        </w:rPr>
        <w:t>8.1%</w:t>
      </w:r>
      <w:r>
        <w:rPr>
          <w:rFonts w:hint="eastAsia"/>
        </w:rPr>
        <w:t>；采矿和采石业</w:t>
      </w:r>
      <w:r>
        <w:rPr>
          <w:rFonts w:hint="eastAsia"/>
        </w:rPr>
        <w:t>1.8%</w:t>
      </w:r>
      <w:r>
        <w:rPr>
          <w:rFonts w:hint="eastAsia"/>
        </w:rPr>
        <w:t>；工业转换</w:t>
      </w:r>
      <w:r>
        <w:rPr>
          <w:rFonts w:hint="eastAsia"/>
        </w:rPr>
        <w:t>5.5%</w:t>
      </w:r>
      <w:r>
        <w:rPr>
          <w:rFonts w:hint="eastAsia"/>
        </w:rPr>
        <w:t>；电力、煤气和水</w:t>
      </w:r>
      <w:r>
        <w:rPr>
          <w:rFonts w:hint="eastAsia"/>
        </w:rPr>
        <w:t>1.7%</w:t>
      </w:r>
      <w:r>
        <w:rPr>
          <w:rFonts w:hint="eastAsia"/>
        </w:rPr>
        <w:t>；建筑业</w:t>
      </w:r>
      <w:r>
        <w:rPr>
          <w:rFonts w:hint="eastAsia"/>
        </w:rPr>
        <w:t>6.2%</w:t>
      </w:r>
      <w:r>
        <w:rPr>
          <w:rFonts w:hint="eastAsia"/>
        </w:rPr>
        <w:t>；商业、饮食和旅馆业</w:t>
      </w:r>
      <w:r>
        <w:rPr>
          <w:rFonts w:hint="eastAsia"/>
        </w:rPr>
        <w:t>9.5%</w:t>
      </w:r>
      <w:r>
        <w:rPr>
          <w:rFonts w:hint="eastAsia"/>
        </w:rPr>
        <w:t>；运输、仓储和通信</w:t>
      </w:r>
      <w:r>
        <w:rPr>
          <w:rFonts w:hint="eastAsia"/>
        </w:rPr>
        <w:t>7.2%</w:t>
      </w:r>
      <w:r>
        <w:rPr>
          <w:rFonts w:hint="eastAsia"/>
        </w:rPr>
        <w:t>；保险和商业服务</w:t>
      </w:r>
      <w:r>
        <w:rPr>
          <w:rFonts w:hint="eastAsia"/>
        </w:rPr>
        <w:t>2%</w:t>
      </w:r>
      <w:r>
        <w:rPr>
          <w:rFonts w:hint="eastAsia"/>
        </w:rPr>
        <w:t>；房地产</w:t>
      </w:r>
      <w:r>
        <w:rPr>
          <w:rFonts w:hint="eastAsia"/>
        </w:rPr>
        <w:t>2.7%</w:t>
      </w:r>
      <w:r>
        <w:rPr>
          <w:rFonts w:hint="eastAsia"/>
        </w:rPr>
        <w:t>；公共服务</w:t>
      </w:r>
      <w:r>
        <w:rPr>
          <w:rFonts w:hint="eastAsia"/>
        </w:rPr>
        <w:t>(</w:t>
      </w:r>
      <w:r>
        <w:rPr>
          <w:rFonts w:hint="eastAsia"/>
        </w:rPr>
        <w:t>不包括教育和医疗</w:t>
      </w:r>
      <w:r>
        <w:rPr>
          <w:rFonts w:hint="eastAsia"/>
        </w:rPr>
        <w:t>)7.1%</w:t>
      </w:r>
      <w:r>
        <w:rPr>
          <w:rFonts w:hint="eastAsia"/>
        </w:rPr>
        <w:t>；教育服务</w:t>
      </w:r>
      <w:r>
        <w:rPr>
          <w:rFonts w:hint="eastAsia"/>
        </w:rPr>
        <w:t>5.2%</w:t>
      </w:r>
      <w:r>
        <w:rPr>
          <w:rFonts w:hint="eastAsia"/>
        </w:rPr>
        <w:t>；医疗服务</w:t>
      </w:r>
      <w:r>
        <w:rPr>
          <w:rFonts w:hint="eastAsia"/>
        </w:rPr>
        <w:t>2.9%</w:t>
      </w:r>
      <w:r>
        <w:rPr>
          <w:rFonts w:hint="eastAsia"/>
        </w:rPr>
        <w:t>以及其他服务业</w:t>
      </w:r>
      <w:r>
        <w:rPr>
          <w:rFonts w:hint="eastAsia"/>
        </w:rPr>
        <w:t>2.3%</w:t>
      </w:r>
      <w:r>
        <w:rPr>
          <w:rFonts w:hint="eastAsia"/>
        </w:rPr>
        <w:t>。</w:t>
      </w:r>
    </w:p>
    <w:p w:rsidR="00000000" w:rsidRDefault="00000000">
      <w:pPr>
        <w:numPr>
          <w:ilvl w:val="0"/>
          <w:numId w:val="4"/>
        </w:numPr>
        <w:rPr>
          <w:rFonts w:hint="eastAsia"/>
        </w:rPr>
      </w:pPr>
      <w:r>
        <w:rPr>
          <w:rFonts w:hint="eastAsia"/>
        </w:rPr>
        <w:t>人均国民生产总值从</w:t>
      </w:r>
      <w:r>
        <w:rPr>
          <w:rFonts w:hint="eastAsia"/>
        </w:rPr>
        <w:t>1998</w:t>
      </w:r>
      <w:r>
        <w:rPr>
          <w:rFonts w:hint="eastAsia"/>
        </w:rPr>
        <w:t>年的</w:t>
      </w:r>
      <w:r>
        <w:rPr>
          <w:rFonts w:hint="eastAsia"/>
        </w:rPr>
        <w:t>2,416</w:t>
      </w:r>
      <w:r>
        <w:rPr>
          <w:rFonts w:hint="eastAsia"/>
        </w:rPr>
        <w:t>第纳尔上升到</w:t>
      </w:r>
      <w:r>
        <w:rPr>
          <w:rFonts w:hint="eastAsia"/>
        </w:rPr>
        <w:t>1999</w:t>
      </w:r>
      <w:r>
        <w:rPr>
          <w:rFonts w:hint="eastAsia"/>
        </w:rPr>
        <w:t>年的</w:t>
      </w:r>
      <w:r>
        <w:rPr>
          <w:rFonts w:hint="eastAsia"/>
        </w:rPr>
        <w:t>2,433</w:t>
      </w:r>
      <w:r>
        <w:rPr>
          <w:rFonts w:hint="eastAsia"/>
        </w:rPr>
        <w:t>第纳尔，增幅为</w:t>
      </w:r>
      <w:r>
        <w:rPr>
          <w:rFonts w:hint="eastAsia"/>
        </w:rPr>
        <w:t>7%</w:t>
      </w:r>
      <w:r>
        <w:rPr>
          <w:rFonts w:hint="eastAsia"/>
        </w:rPr>
        <w:t>。到</w:t>
      </w:r>
      <w:r>
        <w:rPr>
          <w:rFonts w:hint="eastAsia"/>
        </w:rPr>
        <w:t>2000</w:t>
      </w:r>
      <w:r>
        <w:rPr>
          <w:rFonts w:hint="eastAsia"/>
        </w:rPr>
        <w:t>年，人均国民生产总值已经上升到</w:t>
      </w:r>
      <w:r>
        <w:rPr>
          <w:rFonts w:hint="eastAsia"/>
        </w:rPr>
        <w:t>2,852</w:t>
      </w:r>
      <w:r>
        <w:rPr>
          <w:rFonts w:hint="eastAsia"/>
        </w:rPr>
        <w:t>第纳尔，增额为</w:t>
      </w:r>
      <w:r>
        <w:rPr>
          <w:rFonts w:hint="eastAsia"/>
        </w:rPr>
        <w:t>419</w:t>
      </w:r>
      <w:r>
        <w:rPr>
          <w:rFonts w:hint="eastAsia"/>
        </w:rPr>
        <w:t>第纳尔，增幅为</w:t>
      </w:r>
      <w:r>
        <w:rPr>
          <w:rFonts w:hint="eastAsia"/>
        </w:rPr>
        <w:t>17%</w:t>
      </w:r>
      <w:r>
        <w:rPr>
          <w:rFonts w:hint="eastAsia"/>
        </w:rPr>
        <w:t>。如果从石油部门和非石油部门为国民生产总值所作贡献的分类数字来看，人们就会发现，</w:t>
      </w:r>
      <w:r>
        <w:rPr>
          <w:rFonts w:hint="eastAsia"/>
        </w:rPr>
        <w:t>37.8%</w:t>
      </w:r>
      <w:r>
        <w:rPr>
          <w:rFonts w:hint="eastAsia"/>
        </w:rPr>
        <w:t>的国民生产总值来自石油和天然气，</w:t>
      </w:r>
      <w:r>
        <w:rPr>
          <w:rFonts w:hint="eastAsia"/>
        </w:rPr>
        <w:t>62.8%</w:t>
      </w:r>
      <w:r>
        <w:rPr>
          <w:rFonts w:hint="eastAsia"/>
        </w:rPr>
        <w:t>来自其他经济活动。</w:t>
      </w:r>
    </w:p>
    <w:p w:rsidR="00000000" w:rsidRDefault="00000000">
      <w:pPr>
        <w:numPr>
          <w:ilvl w:val="0"/>
          <w:numId w:val="4"/>
        </w:numPr>
        <w:rPr>
          <w:rFonts w:hint="eastAsia"/>
        </w:rPr>
      </w:pPr>
      <w:r>
        <w:rPr>
          <w:rFonts w:hint="eastAsia"/>
        </w:rPr>
        <w:t>从</w:t>
      </w:r>
      <w:r>
        <w:rPr>
          <w:rFonts w:hint="eastAsia"/>
        </w:rPr>
        <w:t>1980</w:t>
      </w:r>
      <w:r>
        <w:rPr>
          <w:rFonts w:hint="eastAsia"/>
        </w:rPr>
        <w:t>年代中期以来，利比亚经济一直遭到技术进口方面的封锁，这就使得它更加困难向工业部门提供现代的先进技术。</w:t>
      </w:r>
    </w:p>
    <w:p w:rsidR="00000000" w:rsidRDefault="00000000">
      <w:pPr>
        <w:numPr>
          <w:ilvl w:val="0"/>
          <w:numId w:val="4"/>
        </w:numPr>
        <w:rPr>
          <w:rFonts w:hint="eastAsia"/>
        </w:rPr>
      </w:pPr>
      <w:r>
        <w:rPr>
          <w:rFonts w:hint="eastAsia"/>
        </w:rPr>
        <w:t>国库是大多数经济和发展活动的资金来源。然而，一些因素使得公共部门无法取得一贯可持续的发展，这些因素包括：</w:t>
      </w:r>
    </w:p>
    <w:p w:rsidR="00000000" w:rsidRDefault="00000000">
      <w:pPr>
        <w:pStyle w:val="a0"/>
        <w:tabs>
          <w:tab w:val="num" w:pos="2080"/>
        </w:tabs>
        <w:ind w:left="2080"/>
        <w:rPr>
          <w:rFonts w:hint="eastAsia"/>
        </w:rPr>
      </w:pPr>
      <w:r>
        <w:rPr>
          <w:rFonts w:hint="eastAsia"/>
        </w:rPr>
        <w:t>石油危机和油价波动；和</w:t>
      </w:r>
    </w:p>
    <w:p w:rsidR="00000000" w:rsidRDefault="00000000">
      <w:pPr>
        <w:pStyle w:val="a0"/>
        <w:tabs>
          <w:tab w:val="num" w:pos="2080"/>
        </w:tabs>
        <w:ind w:left="2080"/>
        <w:rPr>
          <w:rFonts w:hint="eastAsia"/>
        </w:rPr>
      </w:pPr>
      <w:r>
        <w:rPr>
          <w:rFonts w:hint="eastAsia"/>
        </w:rPr>
        <w:t>国库国内收入的减少。</w:t>
      </w:r>
    </w:p>
    <w:p w:rsidR="00000000" w:rsidRDefault="00000000">
      <w:pPr>
        <w:rPr>
          <w:rFonts w:hint="eastAsia"/>
        </w:rPr>
      </w:pPr>
      <w:r>
        <w:rPr>
          <w:rFonts w:hint="eastAsia"/>
        </w:rPr>
        <w:tab/>
        <w:t xml:space="preserve">8.  </w:t>
      </w:r>
      <w:r>
        <w:rPr>
          <w:rFonts w:hint="eastAsia"/>
        </w:rPr>
        <w:t>由于在上文第</w:t>
      </w:r>
      <w:r>
        <w:rPr>
          <w:rFonts w:hint="eastAsia"/>
        </w:rPr>
        <w:t>(</w:t>
      </w:r>
      <w:r>
        <w:t>f</w:t>
      </w:r>
      <w:r>
        <w:rPr>
          <w:rFonts w:hint="eastAsia"/>
        </w:rPr>
        <w:t>)</w:t>
      </w:r>
      <w:r>
        <w:rPr>
          <w:rFonts w:hint="eastAsia"/>
        </w:rPr>
        <w:t>、</w:t>
      </w:r>
      <w:r>
        <w:rPr>
          <w:rFonts w:hint="eastAsia"/>
        </w:rPr>
        <w:t>(</w:t>
      </w:r>
      <w:r>
        <w:t>g</w:t>
      </w:r>
      <w:r>
        <w:rPr>
          <w:rFonts w:hint="eastAsia"/>
        </w:rPr>
        <w:t>)</w:t>
      </w:r>
      <w:r>
        <w:rPr>
          <w:rFonts w:hint="eastAsia"/>
        </w:rPr>
        <w:t>以及</w:t>
      </w:r>
      <w:r>
        <w:rPr>
          <w:rFonts w:hint="eastAsia"/>
        </w:rPr>
        <w:t>(</w:t>
      </w:r>
      <w:r>
        <w:t>h</w:t>
      </w:r>
      <w:r>
        <w:rPr>
          <w:rFonts w:hint="eastAsia"/>
        </w:rPr>
        <w:t>)</w:t>
      </w:r>
      <w:r>
        <w:rPr>
          <w:rFonts w:hint="eastAsia"/>
        </w:rPr>
        <w:t>段中所提到的因素和其他因素，因此必须：</w:t>
      </w:r>
    </w:p>
    <w:p w:rsidR="00000000" w:rsidRDefault="00000000">
      <w:pPr>
        <w:pStyle w:val="a0"/>
        <w:tabs>
          <w:tab w:val="num" w:pos="1550"/>
        </w:tabs>
        <w:ind w:left="1550"/>
        <w:rPr>
          <w:rFonts w:hint="eastAsia"/>
        </w:rPr>
      </w:pPr>
      <w:r>
        <w:rPr>
          <w:rFonts w:hint="eastAsia"/>
        </w:rPr>
        <w:t>以最佳方式使用生产资源；</w:t>
      </w:r>
    </w:p>
    <w:p w:rsidR="00000000" w:rsidRDefault="00000000">
      <w:pPr>
        <w:pStyle w:val="a0"/>
        <w:tabs>
          <w:tab w:val="num" w:pos="1550"/>
        </w:tabs>
        <w:ind w:left="1550"/>
        <w:rPr>
          <w:rFonts w:hint="eastAsia"/>
        </w:rPr>
      </w:pPr>
      <w:r>
        <w:rPr>
          <w:rFonts w:hint="eastAsia"/>
        </w:rPr>
        <w:t>寻找石油以外的收入来源，使得收入来源多样化；</w:t>
      </w:r>
    </w:p>
    <w:p w:rsidR="00000000" w:rsidRDefault="00000000">
      <w:pPr>
        <w:pStyle w:val="a0"/>
        <w:tabs>
          <w:tab w:val="num" w:pos="1550"/>
        </w:tabs>
        <w:ind w:left="1550"/>
        <w:rPr>
          <w:rFonts w:hint="eastAsia"/>
        </w:rPr>
      </w:pPr>
      <w:r>
        <w:rPr>
          <w:rFonts w:hint="eastAsia"/>
        </w:rPr>
        <w:t>审查和重新评估公共部门项目；以及</w:t>
      </w:r>
    </w:p>
    <w:p w:rsidR="00000000" w:rsidRDefault="00000000">
      <w:pPr>
        <w:pStyle w:val="a0"/>
        <w:tabs>
          <w:tab w:val="num" w:pos="1550"/>
        </w:tabs>
        <w:ind w:left="1550"/>
        <w:rPr>
          <w:rFonts w:hint="eastAsia"/>
        </w:rPr>
      </w:pPr>
      <w:r>
        <w:rPr>
          <w:rFonts w:hint="eastAsia"/>
        </w:rPr>
        <w:t>加紧努力扩大农业部门和工业部门，以便实现多种货物的自给自足。</w:t>
      </w:r>
    </w:p>
    <w:p w:rsidR="00000000" w:rsidRDefault="00000000">
      <w:pPr>
        <w:pStyle w:val="a0"/>
        <w:numPr>
          <w:ilvl w:val="0"/>
          <w:numId w:val="0"/>
        </w:numPr>
        <w:ind w:left="510" w:hanging="510"/>
        <w:rPr>
          <w:rFonts w:hint="eastAsia"/>
        </w:rPr>
      </w:pPr>
      <w:r>
        <w:rPr>
          <w:rFonts w:hint="eastAsia"/>
        </w:rPr>
        <w:tab/>
        <w:t xml:space="preserve">9.  </w:t>
      </w:r>
      <w:r>
        <w:rPr>
          <w:rFonts w:hint="eastAsia"/>
        </w:rPr>
        <w:t>除此以外，到</w:t>
      </w:r>
      <w:r>
        <w:rPr>
          <w:rFonts w:hint="eastAsia"/>
        </w:rPr>
        <w:t>2003</w:t>
      </w:r>
      <w:r>
        <w:rPr>
          <w:rFonts w:hint="eastAsia"/>
        </w:rPr>
        <w:t>年的发展计划将重点放在以下目标之上：</w:t>
      </w:r>
    </w:p>
    <w:p w:rsidR="00000000" w:rsidRDefault="00000000">
      <w:pPr>
        <w:pStyle w:val="a0"/>
        <w:tabs>
          <w:tab w:val="num" w:pos="1550"/>
        </w:tabs>
        <w:ind w:left="1550"/>
        <w:rPr>
          <w:rFonts w:hint="eastAsia"/>
        </w:rPr>
      </w:pPr>
      <w:r>
        <w:rPr>
          <w:rFonts w:hint="eastAsia"/>
        </w:rPr>
        <w:t>经济多样化和寻找石油以外的收入来源；</w:t>
      </w:r>
    </w:p>
    <w:p w:rsidR="00000000" w:rsidRDefault="00000000">
      <w:pPr>
        <w:pStyle w:val="a0"/>
        <w:tabs>
          <w:tab w:val="num" w:pos="1550"/>
        </w:tabs>
        <w:ind w:left="1550"/>
        <w:rPr>
          <w:rFonts w:hint="eastAsia"/>
        </w:rPr>
      </w:pPr>
      <w:r>
        <w:rPr>
          <w:rFonts w:hint="eastAsia"/>
        </w:rPr>
        <w:t>实现较高的经济增长率；</w:t>
      </w:r>
    </w:p>
    <w:p w:rsidR="00000000" w:rsidRDefault="00000000">
      <w:pPr>
        <w:pStyle w:val="a0"/>
        <w:tabs>
          <w:tab w:val="num" w:pos="1550"/>
        </w:tabs>
        <w:ind w:left="1550"/>
        <w:rPr>
          <w:rFonts w:hint="eastAsia"/>
        </w:rPr>
      </w:pPr>
      <w:r>
        <w:rPr>
          <w:rFonts w:hint="eastAsia"/>
        </w:rPr>
        <w:t>提高生活水平；</w:t>
      </w:r>
    </w:p>
    <w:p w:rsidR="00000000" w:rsidRDefault="00000000">
      <w:pPr>
        <w:pStyle w:val="a0"/>
        <w:tabs>
          <w:tab w:val="num" w:pos="1550"/>
        </w:tabs>
        <w:ind w:left="1550"/>
        <w:rPr>
          <w:rFonts w:hint="eastAsia"/>
        </w:rPr>
      </w:pPr>
      <w:r>
        <w:rPr>
          <w:rFonts w:hint="eastAsia"/>
        </w:rPr>
        <w:t>确保公平的收入分配；</w:t>
      </w:r>
    </w:p>
    <w:p w:rsidR="00000000" w:rsidRDefault="00000000">
      <w:pPr>
        <w:pStyle w:val="a0"/>
        <w:tabs>
          <w:tab w:val="num" w:pos="1550"/>
        </w:tabs>
        <w:ind w:left="1550"/>
        <w:rPr>
          <w:rFonts w:hint="eastAsia"/>
        </w:rPr>
      </w:pPr>
      <w:r>
        <w:rPr>
          <w:rFonts w:hint="eastAsia"/>
        </w:rPr>
        <w:t>发展基础设施；</w:t>
      </w:r>
    </w:p>
    <w:p w:rsidR="00000000" w:rsidRDefault="00000000">
      <w:pPr>
        <w:pStyle w:val="a0"/>
        <w:tabs>
          <w:tab w:val="num" w:pos="1550"/>
        </w:tabs>
        <w:ind w:left="1550"/>
        <w:rPr>
          <w:rFonts w:hint="eastAsia"/>
        </w:rPr>
      </w:pPr>
      <w:r>
        <w:rPr>
          <w:rFonts w:hint="eastAsia"/>
        </w:rPr>
        <w:t>实现更为平衡的区域发展；</w:t>
      </w:r>
    </w:p>
    <w:p w:rsidR="00000000" w:rsidRDefault="00000000">
      <w:pPr>
        <w:pStyle w:val="a0"/>
        <w:tabs>
          <w:tab w:val="num" w:pos="1550"/>
        </w:tabs>
        <w:ind w:left="1550"/>
        <w:rPr>
          <w:rFonts w:hint="eastAsia"/>
        </w:rPr>
      </w:pPr>
      <w:r>
        <w:rPr>
          <w:rFonts w:hint="eastAsia"/>
        </w:rPr>
        <w:t>扩大工业部门；</w:t>
      </w:r>
    </w:p>
    <w:p w:rsidR="00000000" w:rsidRDefault="00000000">
      <w:pPr>
        <w:pStyle w:val="a0"/>
        <w:tabs>
          <w:tab w:val="num" w:pos="1550"/>
        </w:tabs>
        <w:ind w:left="1550"/>
        <w:rPr>
          <w:rFonts w:hint="eastAsia"/>
        </w:rPr>
      </w:pPr>
      <w:r>
        <w:rPr>
          <w:rFonts w:hint="eastAsia"/>
        </w:rPr>
        <w:t>扩大农业部门；</w:t>
      </w:r>
    </w:p>
    <w:p w:rsidR="00000000" w:rsidRDefault="00000000">
      <w:pPr>
        <w:pStyle w:val="a0"/>
        <w:tabs>
          <w:tab w:val="num" w:pos="1550"/>
        </w:tabs>
        <w:ind w:left="1550"/>
        <w:rPr>
          <w:rFonts w:hint="eastAsia"/>
        </w:rPr>
      </w:pPr>
      <w:r>
        <w:rPr>
          <w:rFonts w:hint="eastAsia"/>
        </w:rPr>
        <w:t>实现粮食自给自足；</w:t>
      </w:r>
    </w:p>
    <w:p w:rsidR="00000000" w:rsidRDefault="00000000">
      <w:pPr>
        <w:pStyle w:val="a0"/>
        <w:tabs>
          <w:tab w:val="num" w:pos="1550"/>
        </w:tabs>
        <w:ind w:left="1550"/>
        <w:rPr>
          <w:rFonts w:hint="eastAsia"/>
        </w:rPr>
      </w:pPr>
      <w:r>
        <w:rPr>
          <w:rFonts w:hint="eastAsia"/>
        </w:rPr>
        <w:t>提高生产因素的效率和生产率；</w:t>
      </w:r>
    </w:p>
    <w:p w:rsidR="00000000" w:rsidRDefault="00000000">
      <w:pPr>
        <w:pStyle w:val="a0"/>
        <w:tabs>
          <w:tab w:val="num" w:pos="1550"/>
        </w:tabs>
        <w:ind w:left="1550"/>
        <w:rPr>
          <w:rFonts w:hint="eastAsia"/>
        </w:rPr>
      </w:pPr>
      <w:r>
        <w:rPr>
          <w:rFonts w:hint="eastAsia"/>
        </w:rPr>
        <w:t>改进教育服务和医疗服务；</w:t>
      </w:r>
    </w:p>
    <w:p w:rsidR="00000000" w:rsidRDefault="00000000">
      <w:pPr>
        <w:pStyle w:val="a0"/>
        <w:tabs>
          <w:tab w:val="num" w:pos="1550"/>
        </w:tabs>
        <w:ind w:left="1550"/>
        <w:rPr>
          <w:rFonts w:hint="eastAsia"/>
        </w:rPr>
      </w:pPr>
      <w:r>
        <w:rPr>
          <w:rFonts w:hint="eastAsia"/>
        </w:rPr>
        <w:t>为所有人提供住房；</w:t>
      </w:r>
    </w:p>
    <w:p w:rsidR="00000000" w:rsidRDefault="00000000">
      <w:pPr>
        <w:pStyle w:val="a0"/>
        <w:tabs>
          <w:tab w:val="num" w:pos="1550"/>
        </w:tabs>
        <w:ind w:left="1550"/>
        <w:rPr>
          <w:rFonts w:hint="eastAsia"/>
        </w:rPr>
      </w:pPr>
      <w:r>
        <w:rPr>
          <w:rFonts w:hint="eastAsia"/>
        </w:rPr>
        <w:t>制定进口替代政策；</w:t>
      </w:r>
    </w:p>
    <w:p w:rsidR="00000000" w:rsidRDefault="00000000">
      <w:pPr>
        <w:pStyle w:val="a0"/>
        <w:tabs>
          <w:tab w:val="num" w:pos="1550"/>
        </w:tabs>
        <w:ind w:left="1550"/>
        <w:rPr>
          <w:rFonts w:hint="eastAsia"/>
        </w:rPr>
      </w:pPr>
      <w:r>
        <w:rPr>
          <w:rFonts w:hint="eastAsia"/>
        </w:rPr>
        <w:t>发展科学研究；</w:t>
      </w:r>
    </w:p>
    <w:p w:rsidR="00000000" w:rsidRDefault="00000000">
      <w:pPr>
        <w:pStyle w:val="a0"/>
        <w:tabs>
          <w:tab w:val="num" w:pos="1550"/>
        </w:tabs>
        <w:ind w:left="1550"/>
        <w:rPr>
          <w:rFonts w:hint="eastAsia"/>
        </w:rPr>
      </w:pPr>
      <w:r>
        <w:rPr>
          <w:rFonts w:hint="eastAsia"/>
        </w:rPr>
        <w:t>加强行政管理；</w:t>
      </w:r>
    </w:p>
    <w:p w:rsidR="00000000" w:rsidRDefault="00000000">
      <w:pPr>
        <w:pStyle w:val="a0"/>
        <w:tabs>
          <w:tab w:val="num" w:pos="1550"/>
        </w:tabs>
        <w:ind w:left="1550"/>
        <w:rPr>
          <w:rFonts w:hint="eastAsia"/>
        </w:rPr>
      </w:pPr>
      <w:r>
        <w:rPr>
          <w:rFonts w:hint="eastAsia"/>
        </w:rPr>
        <w:t>发展环境；</w:t>
      </w:r>
    </w:p>
    <w:p w:rsidR="00000000" w:rsidRDefault="00000000">
      <w:pPr>
        <w:pStyle w:val="a0"/>
        <w:tabs>
          <w:tab w:val="num" w:pos="1550"/>
        </w:tabs>
        <w:ind w:left="1550"/>
        <w:rPr>
          <w:rFonts w:hint="eastAsia"/>
        </w:rPr>
      </w:pPr>
      <w:r>
        <w:rPr>
          <w:rFonts w:hint="eastAsia"/>
        </w:rPr>
        <w:t>更多地使用本国工人和减少依靠外国劳工；</w:t>
      </w:r>
    </w:p>
    <w:p w:rsidR="00000000" w:rsidRDefault="00000000">
      <w:pPr>
        <w:pStyle w:val="a0"/>
        <w:tabs>
          <w:tab w:val="num" w:pos="1550"/>
        </w:tabs>
        <w:ind w:left="1550"/>
        <w:rPr>
          <w:rFonts w:hint="eastAsia"/>
        </w:rPr>
      </w:pPr>
      <w:r>
        <w:rPr>
          <w:rFonts w:hint="eastAsia"/>
        </w:rPr>
        <w:t>根据《社会保障法》、《社会团结法》以及《促进自由法》的有关规定，为所有有此需要的人建立社会保障网。</w:t>
      </w:r>
    </w:p>
    <w:p w:rsidR="00000000" w:rsidRDefault="00000000">
      <w:pPr>
        <w:spacing w:after="320"/>
        <w:rPr>
          <w:rFonts w:hint="eastAsia"/>
          <w:vertAlign w:val="superscript"/>
        </w:rPr>
      </w:pPr>
      <w:r>
        <w:rPr>
          <w:rFonts w:hint="eastAsia"/>
        </w:rPr>
        <w:tab/>
        <w:t xml:space="preserve">10.  </w:t>
      </w:r>
      <w:r>
        <w:rPr>
          <w:rFonts w:hint="eastAsia"/>
        </w:rPr>
        <w:t>尽管已经取得前所未有的经济成就，但是由于在</w:t>
      </w:r>
      <w:r>
        <w:rPr>
          <w:rFonts w:hint="eastAsia"/>
        </w:rPr>
        <w:t>1992</w:t>
      </w:r>
      <w:r>
        <w:rPr>
          <w:rFonts w:hint="eastAsia"/>
        </w:rPr>
        <w:t>年和</w:t>
      </w:r>
      <w:r>
        <w:rPr>
          <w:rFonts w:hint="eastAsia"/>
        </w:rPr>
        <w:t>1998</w:t>
      </w:r>
      <w:r>
        <w:rPr>
          <w:rFonts w:hint="eastAsia"/>
        </w:rPr>
        <w:t>年期间实施的领空封锁和经济制裁，造成的经济损失大约为</w:t>
      </w:r>
      <w:r>
        <w:rPr>
          <w:rFonts w:hint="eastAsia"/>
        </w:rPr>
        <w:t>338,381,550</w:t>
      </w:r>
      <w:r>
        <w:rPr>
          <w:rFonts w:hint="eastAsia"/>
        </w:rPr>
        <w:t>亿美元，详细数据请看下表。</w:t>
      </w:r>
      <w:r>
        <w:rPr>
          <w:rFonts w:hint="eastAsia"/>
          <w:vertAlign w:val="superscript"/>
        </w:rPr>
        <w:t>3</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97"/>
        <w:gridCol w:w="3903"/>
      </w:tblGrid>
      <w:tr w:rsidR="00000000">
        <w:tblPrEx>
          <w:tblCellMar>
            <w:top w:w="0" w:type="dxa"/>
            <w:bottom w:w="0" w:type="dxa"/>
          </w:tblCellMar>
        </w:tblPrEx>
        <w:tc>
          <w:tcPr>
            <w:tcW w:w="3897" w:type="dxa"/>
            <w:tcBorders>
              <w:bottom w:val="single" w:sz="4" w:space="0" w:color="auto"/>
            </w:tcBorders>
          </w:tcPr>
          <w:p w:rsidR="00000000" w:rsidRDefault="00000000">
            <w:pPr>
              <w:pStyle w:val="a2"/>
              <w:ind w:left="1021"/>
              <w:rPr>
                <w:rFonts w:ascii="Time New Roman" w:eastAsia="SimHei" w:hAnsi="Time New Roman" w:hint="eastAsia"/>
              </w:rPr>
            </w:pPr>
            <w:r>
              <w:rPr>
                <w:rFonts w:ascii="Time New Roman" w:eastAsia="SimHei" w:hAnsi="Time New Roman" w:hint="eastAsia"/>
              </w:rPr>
              <w:t>部</w:t>
            </w:r>
            <w:r>
              <w:rPr>
                <w:rFonts w:ascii="Time New Roman" w:eastAsia="SimHei" w:hAnsi="Time New Roman" w:hint="eastAsia"/>
              </w:rPr>
              <w:t xml:space="preserve">  </w:t>
            </w:r>
            <w:r>
              <w:rPr>
                <w:rFonts w:ascii="Time New Roman" w:eastAsia="SimHei" w:hAnsi="Time New Roman" w:hint="eastAsia"/>
              </w:rPr>
              <w:t>门</w:t>
            </w:r>
          </w:p>
        </w:tc>
        <w:tc>
          <w:tcPr>
            <w:tcW w:w="3903" w:type="dxa"/>
            <w:tcBorders>
              <w:bottom w:val="single" w:sz="4" w:space="0" w:color="auto"/>
            </w:tcBorders>
          </w:tcPr>
          <w:p w:rsidR="00000000" w:rsidRDefault="00000000">
            <w:pPr>
              <w:pStyle w:val="a2"/>
              <w:jc w:val="center"/>
              <w:rPr>
                <w:rFonts w:ascii="Time New Roman" w:eastAsia="SimHei" w:hAnsi="Time New Roman" w:hint="eastAsia"/>
              </w:rPr>
            </w:pPr>
            <w:r>
              <w:rPr>
                <w:rFonts w:ascii="Time New Roman" w:eastAsia="SimHei" w:hAnsi="Time New Roman" w:hint="eastAsia"/>
              </w:rPr>
              <w:t>损</w:t>
            </w:r>
            <w:r>
              <w:rPr>
                <w:rFonts w:ascii="Time New Roman" w:eastAsia="SimHei" w:hAnsi="Time New Roman" w:hint="eastAsia"/>
              </w:rPr>
              <w:t xml:space="preserve">  </w:t>
            </w:r>
            <w:r>
              <w:rPr>
                <w:rFonts w:ascii="Time New Roman" w:eastAsia="SimHei" w:hAnsi="Time New Roman" w:hint="eastAsia"/>
              </w:rPr>
              <w:t>失</w:t>
            </w:r>
            <w:r>
              <w:rPr>
                <w:rFonts w:ascii="Time New Roman" w:eastAsia="SimHei" w:hAnsi="Time New Roman" w:hint="eastAsia"/>
              </w:rPr>
              <w:t xml:space="preserve"> (</w:t>
            </w:r>
            <w:r>
              <w:rPr>
                <w:rFonts w:ascii="Time New Roman" w:eastAsia="SimHei" w:hAnsi="Time New Roman" w:hint="eastAsia"/>
              </w:rPr>
              <w:t>十亿美元</w:t>
            </w:r>
            <w:r>
              <w:rPr>
                <w:rFonts w:ascii="Time New Roman" w:eastAsia="SimHei" w:hAnsi="Time New Roman" w:hint="eastAsia"/>
              </w:rPr>
              <w:t>)</w:t>
            </w:r>
          </w:p>
        </w:tc>
      </w:tr>
      <w:tr w:rsidR="00000000">
        <w:tblPrEx>
          <w:tblCellMar>
            <w:top w:w="0" w:type="dxa"/>
            <w:bottom w:w="0" w:type="dxa"/>
          </w:tblCellMar>
        </w:tblPrEx>
        <w:tc>
          <w:tcPr>
            <w:tcW w:w="3897" w:type="dxa"/>
            <w:tcBorders>
              <w:top w:val="single" w:sz="4" w:space="0" w:color="auto"/>
              <w:left w:val="single" w:sz="4" w:space="0" w:color="auto"/>
              <w:bottom w:val="nil"/>
              <w:right w:val="single" w:sz="4" w:space="0" w:color="auto"/>
            </w:tcBorders>
          </w:tcPr>
          <w:p w:rsidR="00000000" w:rsidRDefault="00000000">
            <w:pPr>
              <w:pStyle w:val="a2"/>
              <w:ind w:left="284"/>
              <w:rPr>
                <w:rFonts w:hint="eastAsia"/>
              </w:rPr>
            </w:pPr>
            <w:r>
              <w:rPr>
                <w:rFonts w:hint="eastAsia"/>
              </w:rPr>
              <w:t>卫生和社会安全</w:t>
            </w:r>
          </w:p>
        </w:tc>
        <w:tc>
          <w:tcPr>
            <w:tcW w:w="3903" w:type="dxa"/>
            <w:tcBorders>
              <w:top w:val="single" w:sz="4" w:space="0" w:color="auto"/>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294,000</w:t>
            </w:r>
          </w:p>
        </w:tc>
      </w:tr>
      <w:tr w:rsidR="00000000">
        <w:tblPrEx>
          <w:tblCellMar>
            <w:top w:w="0" w:type="dxa"/>
            <w:bottom w:w="0" w:type="dxa"/>
          </w:tblCellMar>
        </w:tblPrEx>
        <w:tc>
          <w:tcPr>
            <w:tcW w:w="3897" w:type="dxa"/>
            <w:tcBorders>
              <w:top w:val="nil"/>
              <w:left w:val="single" w:sz="4" w:space="0" w:color="auto"/>
              <w:bottom w:val="nil"/>
              <w:right w:val="single" w:sz="4" w:space="0" w:color="auto"/>
            </w:tcBorders>
          </w:tcPr>
          <w:p w:rsidR="00000000" w:rsidRDefault="00000000">
            <w:pPr>
              <w:pStyle w:val="a2"/>
              <w:ind w:left="284"/>
              <w:rPr>
                <w:rFonts w:hint="eastAsia"/>
              </w:rPr>
            </w:pPr>
            <w:r>
              <w:rPr>
                <w:rFonts w:hint="eastAsia"/>
              </w:rPr>
              <w:t>农</w:t>
            </w:r>
            <w:r>
              <w:rPr>
                <w:rFonts w:hint="eastAsia"/>
              </w:rPr>
              <w:t xml:space="preserve">  </w:t>
            </w:r>
            <w:r>
              <w:rPr>
                <w:rFonts w:hint="eastAsia"/>
              </w:rPr>
              <w:t>业</w:t>
            </w:r>
          </w:p>
        </w:tc>
        <w:tc>
          <w:tcPr>
            <w:tcW w:w="3903" w:type="dxa"/>
            <w:tcBorders>
              <w:top w:val="nil"/>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472,155</w:t>
            </w:r>
          </w:p>
        </w:tc>
      </w:tr>
      <w:tr w:rsidR="00000000">
        <w:tblPrEx>
          <w:tblCellMar>
            <w:top w:w="0" w:type="dxa"/>
            <w:bottom w:w="0" w:type="dxa"/>
          </w:tblCellMar>
        </w:tblPrEx>
        <w:tc>
          <w:tcPr>
            <w:tcW w:w="3897" w:type="dxa"/>
            <w:tcBorders>
              <w:top w:val="nil"/>
              <w:left w:val="single" w:sz="4" w:space="0" w:color="auto"/>
              <w:bottom w:val="nil"/>
              <w:right w:val="single" w:sz="4" w:space="0" w:color="auto"/>
            </w:tcBorders>
          </w:tcPr>
          <w:p w:rsidR="00000000" w:rsidRDefault="00000000">
            <w:pPr>
              <w:pStyle w:val="a2"/>
              <w:ind w:left="284"/>
              <w:rPr>
                <w:rFonts w:hint="eastAsia"/>
              </w:rPr>
            </w:pPr>
            <w:r>
              <w:rPr>
                <w:rFonts w:hint="eastAsia"/>
              </w:rPr>
              <w:t>畜牧业</w:t>
            </w:r>
          </w:p>
        </w:tc>
        <w:tc>
          <w:tcPr>
            <w:tcW w:w="3903" w:type="dxa"/>
            <w:tcBorders>
              <w:top w:val="nil"/>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7,187,000</w:t>
            </w:r>
          </w:p>
        </w:tc>
      </w:tr>
      <w:tr w:rsidR="00000000">
        <w:tblPrEx>
          <w:tblCellMar>
            <w:top w:w="0" w:type="dxa"/>
            <w:bottom w:w="0" w:type="dxa"/>
          </w:tblCellMar>
        </w:tblPrEx>
        <w:tc>
          <w:tcPr>
            <w:tcW w:w="3897" w:type="dxa"/>
            <w:tcBorders>
              <w:top w:val="nil"/>
              <w:left w:val="single" w:sz="4" w:space="0" w:color="auto"/>
              <w:bottom w:val="nil"/>
              <w:right w:val="single" w:sz="4" w:space="0" w:color="auto"/>
            </w:tcBorders>
          </w:tcPr>
          <w:p w:rsidR="00000000" w:rsidRDefault="00000000">
            <w:pPr>
              <w:pStyle w:val="a2"/>
              <w:ind w:left="284"/>
              <w:rPr>
                <w:rFonts w:hint="eastAsia"/>
              </w:rPr>
            </w:pPr>
            <w:r>
              <w:rPr>
                <w:rFonts w:hint="eastAsia"/>
              </w:rPr>
              <w:t>运输和通信</w:t>
            </w:r>
          </w:p>
        </w:tc>
        <w:tc>
          <w:tcPr>
            <w:tcW w:w="3903" w:type="dxa"/>
            <w:tcBorders>
              <w:top w:val="nil"/>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3,485,000</w:t>
            </w:r>
          </w:p>
        </w:tc>
      </w:tr>
      <w:tr w:rsidR="00000000">
        <w:tblPrEx>
          <w:tblCellMar>
            <w:top w:w="0" w:type="dxa"/>
            <w:bottom w:w="0" w:type="dxa"/>
          </w:tblCellMar>
        </w:tblPrEx>
        <w:tc>
          <w:tcPr>
            <w:tcW w:w="3897" w:type="dxa"/>
            <w:tcBorders>
              <w:top w:val="nil"/>
              <w:left w:val="single" w:sz="4" w:space="0" w:color="auto"/>
              <w:bottom w:val="nil"/>
              <w:right w:val="single" w:sz="4" w:space="0" w:color="auto"/>
            </w:tcBorders>
          </w:tcPr>
          <w:p w:rsidR="00000000" w:rsidRDefault="00000000">
            <w:pPr>
              <w:pStyle w:val="a2"/>
              <w:ind w:left="284"/>
              <w:rPr>
                <w:rFonts w:hint="eastAsia"/>
              </w:rPr>
            </w:pPr>
            <w:r>
              <w:rPr>
                <w:rFonts w:hint="eastAsia"/>
              </w:rPr>
              <w:t>制造业和采矿业</w:t>
            </w:r>
          </w:p>
        </w:tc>
        <w:tc>
          <w:tcPr>
            <w:tcW w:w="3903" w:type="dxa"/>
            <w:tcBorders>
              <w:top w:val="nil"/>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7,200,000</w:t>
            </w:r>
          </w:p>
        </w:tc>
      </w:tr>
      <w:tr w:rsidR="00000000">
        <w:tblPrEx>
          <w:tblCellMar>
            <w:top w:w="0" w:type="dxa"/>
            <w:bottom w:w="0" w:type="dxa"/>
          </w:tblCellMar>
        </w:tblPrEx>
        <w:tc>
          <w:tcPr>
            <w:tcW w:w="3897" w:type="dxa"/>
            <w:tcBorders>
              <w:top w:val="nil"/>
              <w:left w:val="single" w:sz="4" w:space="0" w:color="auto"/>
              <w:bottom w:val="nil"/>
              <w:right w:val="single" w:sz="4" w:space="0" w:color="auto"/>
            </w:tcBorders>
          </w:tcPr>
          <w:p w:rsidR="00000000" w:rsidRDefault="00000000">
            <w:pPr>
              <w:pStyle w:val="a2"/>
              <w:ind w:left="284"/>
              <w:rPr>
                <w:rFonts w:hint="eastAsia"/>
              </w:rPr>
            </w:pPr>
            <w:r>
              <w:rPr>
                <w:rFonts w:hint="eastAsia"/>
              </w:rPr>
              <w:t>经济和贸易</w:t>
            </w:r>
          </w:p>
        </w:tc>
        <w:tc>
          <w:tcPr>
            <w:tcW w:w="3903" w:type="dxa"/>
            <w:tcBorders>
              <w:top w:val="nil"/>
              <w:left w:val="single" w:sz="4" w:space="0" w:color="auto"/>
              <w:bottom w:val="nil"/>
              <w:right w:val="single" w:sz="4" w:space="0" w:color="auto"/>
            </w:tcBorders>
          </w:tcPr>
          <w:p w:rsidR="00000000" w:rsidRDefault="00000000">
            <w:pPr>
              <w:pStyle w:val="a2"/>
              <w:ind w:right="1701"/>
              <w:jc w:val="right"/>
              <w:rPr>
                <w:rFonts w:hint="eastAsia"/>
              </w:rPr>
            </w:pPr>
            <w:r>
              <w:rPr>
                <w:rFonts w:hint="eastAsia"/>
              </w:rPr>
              <w:t>8,200,000</w:t>
            </w:r>
          </w:p>
        </w:tc>
      </w:tr>
      <w:tr w:rsidR="00000000">
        <w:tblPrEx>
          <w:tblCellMar>
            <w:top w:w="0" w:type="dxa"/>
            <w:bottom w:w="0" w:type="dxa"/>
          </w:tblCellMar>
        </w:tblPrEx>
        <w:tc>
          <w:tcPr>
            <w:tcW w:w="3897" w:type="dxa"/>
            <w:tcBorders>
              <w:top w:val="nil"/>
              <w:left w:val="single" w:sz="4" w:space="0" w:color="auto"/>
              <w:bottom w:val="single" w:sz="4" w:space="0" w:color="auto"/>
              <w:right w:val="single" w:sz="4" w:space="0" w:color="auto"/>
            </w:tcBorders>
          </w:tcPr>
          <w:p w:rsidR="00000000" w:rsidRDefault="00000000">
            <w:pPr>
              <w:pStyle w:val="a2"/>
              <w:ind w:left="284"/>
              <w:rPr>
                <w:rFonts w:hint="eastAsia"/>
              </w:rPr>
            </w:pPr>
            <w:r>
              <w:rPr>
                <w:rFonts w:hint="eastAsia"/>
              </w:rPr>
              <w:t>石油和电力</w:t>
            </w:r>
          </w:p>
        </w:tc>
        <w:tc>
          <w:tcPr>
            <w:tcW w:w="3903" w:type="dxa"/>
            <w:tcBorders>
              <w:top w:val="nil"/>
              <w:left w:val="single" w:sz="4" w:space="0" w:color="auto"/>
              <w:bottom w:val="single" w:sz="4" w:space="0" w:color="auto"/>
              <w:right w:val="single" w:sz="4" w:space="0" w:color="auto"/>
            </w:tcBorders>
          </w:tcPr>
          <w:p w:rsidR="00000000" w:rsidRDefault="00000000">
            <w:pPr>
              <w:pStyle w:val="a2"/>
              <w:ind w:right="1701"/>
              <w:jc w:val="right"/>
              <w:rPr>
                <w:rFonts w:hint="eastAsia"/>
              </w:rPr>
            </w:pPr>
            <w:r>
              <w:rPr>
                <w:rFonts w:hint="eastAsia"/>
              </w:rPr>
              <w:t>7,000,000</w:t>
            </w:r>
          </w:p>
        </w:tc>
      </w:tr>
      <w:tr w:rsidR="00000000">
        <w:tblPrEx>
          <w:tblCellMar>
            <w:top w:w="0" w:type="dxa"/>
            <w:bottom w:w="0" w:type="dxa"/>
          </w:tblCellMar>
        </w:tblPrEx>
        <w:tc>
          <w:tcPr>
            <w:tcW w:w="3897" w:type="dxa"/>
            <w:tcBorders>
              <w:top w:val="single" w:sz="4" w:space="0" w:color="auto"/>
            </w:tcBorders>
          </w:tcPr>
          <w:p w:rsidR="00000000" w:rsidRDefault="00000000">
            <w:pPr>
              <w:pStyle w:val="a2"/>
              <w:ind w:left="1021"/>
              <w:rPr>
                <w:rFonts w:hint="eastAsia"/>
              </w:rPr>
            </w:pPr>
            <w:r>
              <w:rPr>
                <w:rFonts w:hint="eastAsia"/>
              </w:rPr>
              <w:t>总</w:t>
            </w:r>
            <w:r>
              <w:rPr>
                <w:rFonts w:hint="eastAsia"/>
              </w:rPr>
              <w:t xml:space="preserve">  </w:t>
            </w:r>
            <w:r>
              <w:rPr>
                <w:rFonts w:hint="eastAsia"/>
              </w:rPr>
              <w:t>计</w:t>
            </w:r>
          </w:p>
        </w:tc>
        <w:tc>
          <w:tcPr>
            <w:tcW w:w="3903" w:type="dxa"/>
            <w:tcBorders>
              <w:top w:val="single" w:sz="4" w:space="0" w:color="auto"/>
            </w:tcBorders>
          </w:tcPr>
          <w:p w:rsidR="00000000" w:rsidRDefault="00000000">
            <w:pPr>
              <w:pStyle w:val="a2"/>
              <w:ind w:right="1701"/>
              <w:jc w:val="right"/>
              <w:rPr>
                <w:rFonts w:hint="eastAsia"/>
              </w:rPr>
            </w:pPr>
            <w:r>
              <w:rPr>
                <w:rFonts w:hint="eastAsia"/>
              </w:rPr>
              <w:t>33,838,155</w:t>
            </w:r>
          </w:p>
        </w:tc>
      </w:tr>
    </w:tbl>
    <w:p w:rsidR="00000000" w:rsidRDefault="00000000">
      <w:pPr>
        <w:spacing w:before="240"/>
        <w:rPr>
          <w:rFonts w:hint="eastAsia"/>
        </w:rPr>
      </w:pPr>
      <w:r>
        <w:rPr>
          <w:rFonts w:hint="eastAsia"/>
        </w:rPr>
        <w:tab/>
        <w:t xml:space="preserve">11.  </w:t>
      </w:r>
      <w:r>
        <w:rPr>
          <w:rFonts w:hint="eastAsia"/>
        </w:rPr>
        <w:t>利比亚的经济面临许多障碍和困难，从而进一步影响到经济表现。这些障碍和困难包括：</w:t>
      </w:r>
    </w:p>
    <w:p w:rsidR="00000000" w:rsidRDefault="00000000">
      <w:pPr>
        <w:pStyle w:val="a0"/>
        <w:tabs>
          <w:tab w:val="num" w:pos="1550"/>
        </w:tabs>
        <w:ind w:left="1550"/>
        <w:rPr>
          <w:rFonts w:hint="eastAsia"/>
        </w:rPr>
      </w:pPr>
      <w:r>
        <w:rPr>
          <w:rFonts w:hint="eastAsia"/>
        </w:rPr>
        <w:t>国家产出额的下降造成一些生产和服务部门的就业机会减少；</w:t>
      </w:r>
    </w:p>
    <w:p w:rsidR="00000000" w:rsidRDefault="00000000">
      <w:pPr>
        <w:pStyle w:val="a0"/>
        <w:tabs>
          <w:tab w:val="num" w:pos="1550"/>
        </w:tabs>
        <w:ind w:left="1550"/>
        <w:rPr>
          <w:rFonts w:hint="eastAsia"/>
        </w:rPr>
      </w:pPr>
      <w:r>
        <w:rPr>
          <w:rFonts w:hint="eastAsia"/>
        </w:rPr>
        <w:t>由于严格的货币控制再加上恶性通货膨胀和利比亚第纳尔购买力的下降，结果造成了一种平行市场；</w:t>
      </w:r>
    </w:p>
    <w:p w:rsidR="00000000" w:rsidRDefault="00000000">
      <w:pPr>
        <w:pStyle w:val="a0"/>
        <w:tabs>
          <w:tab w:val="num" w:pos="1550"/>
        </w:tabs>
        <w:spacing w:after="320"/>
        <w:ind w:left="1550"/>
        <w:rPr>
          <w:rFonts w:hint="eastAsia"/>
        </w:rPr>
      </w:pPr>
      <w:r>
        <w:rPr>
          <w:rFonts w:hint="eastAsia"/>
        </w:rPr>
        <w:t>自从</w:t>
      </w:r>
      <w:r>
        <w:rPr>
          <w:rFonts w:hint="eastAsia"/>
        </w:rPr>
        <w:t>1975</w:t>
      </w:r>
      <w:r>
        <w:rPr>
          <w:rFonts w:hint="eastAsia"/>
        </w:rPr>
        <w:t>年以来公共债务额增加了</w:t>
      </w:r>
      <w:r>
        <w:rPr>
          <w:rFonts w:hint="eastAsia"/>
        </w:rPr>
        <w:t>13</w:t>
      </w:r>
      <w:r>
        <w:rPr>
          <w:rFonts w:hint="eastAsia"/>
        </w:rPr>
        <w:t>倍，到</w:t>
      </w:r>
      <w:r>
        <w:rPr>
          <w:rFonts w:hint="eastAsia"/>
        </w:rPr>
        <w:t>2000</w:t>
      </w:r>
      <w:r>
        <w:rPr>
          <w:rFonts w:hint="eastAsia"/>
        </w:rPr>
        <w:t>年，以</w:t>
      </w:r>
      <w:r>
        <w:rPr>
          <w:rFonts w:hint="eastAsia"/>
        </w:rPr>
        <w:t>6.2%</w:t>
      </w:r>
      <w:r>
        <w:rPr>
          <w:rFonts w:hint="eastAsia"/>
        </w:rPr>
        <w:t>的年复利率计算公共债务额已经达到</w:t>
      </w:r>
      <w:r>
        <w:rPr>
          <w:rFonts w:hint="eastAsia"/>
        </w:rPr>
        <w:t>7,644,000,000</w:t>
      </w:r>
      <w:r>
        <w:rPr>
          <w:rFonts w:hint="eastAsia"/>
        </w:rPr>
        <w:t>第纳尔，或者说相当于国内生产总值的</w:t>
      </w:r>
      <w:r>
        <w:rPr>
          <w:rFonts w:hint="eastAsia"/>
        </w:rPr>
        <w:t>43.3%</w:t>
      </w:r>
      <w:r>
        <w:rPr>
          <w:rFonts w:hint="eastAsia"/>
        </w:rPr>
        <w:t>。这个惊人之高的百分比带来了沉重的通货膨胀压力，也引发了价格的普遍上涨。</w:t>
      </w:r>
    </w:p>
    <w:p w:rsidR="00000000" w:rsidRDefault="00000000">
      <w:pPr>
        <w:pStyle w:val="Heading2"/>
        <w:rPr>
          <w:rFonts w:hint="eastAsia"/>
        </w:rPr>
      </w:pPr>
      <w:r>
        <w:rPr>
          <w:rFonts w:hint="eastAsia"/>
        </w:rPr>
        <w:t>二、《公约》的执行情况</w:t>
      </w:r>
    </w:p>
    <w:p w:rsidR="00000000" w:rsidRDefault="00000000">
      <w:pPr>
        <w:pStyle w:val="Heading3"/>
        <w:rPr>
          <w:rFonts w:hint="eastAsia"/>
        </w:rPr>
      </w:pPr>
      <w:r>
        <w:rPr>
          <w:rFonts w:hint="eastAsia"/>
        </w:rPr>
        <w:t>第一条</w:t>
      </w:r>
      <w:r>
        <w:rPr>
          <w:rFonts w:hint="eastAsia"/>
        </w:rPr>
        <w:t xml:space="preserve">  </w:t>
      </w:r>
      <w:r>
        <w:rPr>
          <w:rFonts w:hint="eastAsia"/>
        </w:rPr>
        <w:t>自决权</w:t>
      </w:r>
    </w:p>
    <w:p w:rsidR="00000000" w:rsidRDefault="00000000">
      <w:pPr>
        <w:spacing w:after="320"/>
        <w:rPr>
          <w:rFonts w:hint="eastAsia"/>
        </w:rPr>
      </w:pPr>
      <w:r>
        <w:rPr>
          <w:rFonts w:hint="eastAsia"/>
        </w:rPr>
        <w:tab/>
        <w:t xml:space="preserve">12.  </w:t>
      </w:r>
      <w:r>
        <w:rPr>
          <w:rFonts w:hint="eastAsia"/>
        </w:rPr>
        <w:t>关于这个问题的信息，请参看阿拉伯利比亚民众国有关《公约》执行情况的初次报告。</w:t>
      </w:r>
    </w:p>
    <w:p w:rsidR="00000000" w:rsidRDefault="00000000">
      <w:pPr>
        <w:pStyle w:val="Heading3"/>
        <w:rPr>
          <w:rFonts w:hint="eastAsia"/>
        </w:rPr>
      </w:pPr>
      <w:r>
        <w:rPr>
          <w:rFonts w:hint="eastAsia"/>
        </w:rPr>
        <w:t>第二条</w:t>
      </w:r>
      <w:r>
        <w:rPr>
          <w:rFonts w:hint="eastAsia"/>
        </w:rPr>
        <w:t xml:space="preserve">  </w:t>
      </w:r>
      <w:r>
        <w:rPr>
          <w:rFonts w:hint="eastAsia"/>
        </w:rPr>
        <w:t>公民和非公民的权利</w:t>
      </w:r>
    </w:p>
    <w:p w:rsidR="00000000" w:rsidRDefault="00000000">
      <w:pPr>
        <w:spacing w:after="320"/>
        <w:rPr>
          <w:rFonts w:hint="eastAsia"/>
        </w:rPr>
      </w:pPr>
      <w:r>
        <w:rPr>
          <w:rFonts w:hint="eastAsia"/>
        </w:rPr>
        <w:tab/>
        <w:t xml:space="preserve">13.  </w:t>
      </w:r>
      <w:r>
        <w:rPr>
          <w:rFonts w:hint="eastAsia"/>
        </w:rPr>
        <w:t>见上述初次报告。</w:t>
      </w:r>
    </w:p>
    <w:p w:rsidR="00000000" w:rsidRDefault="00000000">
      <w:pPr>
        <w:pStyle w:val="Heading3"/>
        <w:rPr>
          <w:rFonts w:hint="eastAsia"/>
        </w:rPr>
      </w:pPr>
      <w:r>
        <w:rPr>
          <w:rFonts w:hint="eastAsia"/>
        </w:rPr>
        <w:t>第三条</w:t>
      </w:r>
      <w:r>
        <w:rPr>
          <w:rFonts w:hint="eastAsia"/>
        </w:rPr>
        <w:t xml:space="preserve">  </w:t>
      </w:r>
      <w:r>
        <w:rPr>
          <w:rFonts w:hint="eastAsia"/>
        </w:rPr>
        <w:t>男女平等</w:t>
      </w:r>
    </w:p>
    <w:p w:rsidR="00000000" w:rsidRDefault="00000000">
      <w:pPr>
        <w:spacing w:after="320"/>
        <w:rPr>
          <w:rFonts w:hint="eastAsia"/>
        </w:rPr>
      </w:pPr>
      <w:r>
        <w:rPr>
          <w:rFonts w:hint="eastAsia"/>
        </w:rPr>
        <w:tab/>
        <w:t xml:space="preserve">14.  </w:t>
      </w:r>
      <w:r>
        <w:rPr>
          <w:rFonts w:hint="eastAsia"/>
        </w:rPr>
        <w:t>除了初次报告所提供的信息以外，我们还想说明，已经以更加有效的方式执行了本条的规定，人们已经更加清楚地认识到男女平等的重要性。也可参看阿拉伯利比亚民众国向于</w:t>
      </w:r>
      <w:r>
        <w:rPr>
          <w:rFonts w:hint="eastAsia"/>
        </w:rPr>
        <w:t>1995</w:t>
      </w:r>
      <w:r>
        <w:rPr>
          <w:rFonts w:hint="eastAsia"/>
        </w:rPr>
        <w:t>年在北京召开的第四次妇女问题世界会议提交的报告。</w:t>
      </w:r>
    </w:p>
    <w:p w:rsidR="00000000" w:rsidRDefault="00000000">
      <w:pPr>
        <w:pStyle w:val="Heading3"/>
        <w:rPr>
          <w:rFonts w:hint="eastAsia"/>
        </w:rPr>
      </w:pPr>
      <w:r>
        <w:rPr>
          <w:rFonts w:hint="eastAsia"/>
        </w:rPr>
        <w:t>第四条</w:t>
      </w:r>
      <w:r>
        <w:rPr>
          <w:rFonts w:hint="eastAsia"/>
        </w:rPr>
        <w:t xml:space="preserve">  </w:t>
      </w:r>
      <w:r>
        <w:rPr>
          <w:rFonts w:hint="eastAsia"/>
        </w:rPr>
        <w:t>享受所有基本权利</w:t>
      </w:r>
    </w:p>
    <w:p w:rsidR="00000000" w:rsidRDefault="00000000">
      <w:pPr>
        <w:rPr>
          <w:rFonts w:hint="eastAsia"/>
        </w:rPr>
      </w:pPr>
      <w:r>
        <w:rPr>
          <w:rFonts w:hint="eastAsia"/>
        </w:rPr>
        <w:tab/>
        <w:t xml:space="preserve">15.  </w:t>
      </w:r>
      <w:r>
        <w:rPr>
          <w:rFonts w:hint="eastAsia"/>
        </w:rPr>
        <w:t>现在已经生效的法律保障所有基本权利，国家遵守有关国际文献的规定。利比亚的所有法律都承认这些人权，不以性别、肤色、宗教或者民族为理由区别对待其公民。</w:t>
      </w:r>
    </w:p>
    <w:p w:rsidR="00000000" w:rsidRDefault="00000000">
      <w:pPr>
        <w:spacing w:after="320"/>
        <w:rPr>
          <w:rFonts w:hint="eastAsia"/>
        </w:rPr>
      </w:pPr>
      <w:r>
        <w:rPr>
          <w:rFonts w:hint="eastAsia"/>
        </w:rPr>
        <w:tab/>
        <w:t xml:space="preserve">16.  </w:t>
      </w:r>
      <w:r>
        <w:rPr>
          <w:rFonts w:hint="eastAsia"/>
        </w:rPr>
        <w:t>关于法律的追溯效力，有一条严格规定的规则：法律从其颁布之日起生效，除非有利于所涉方，否则不应有追溯效力。</w:t>
      </w:r>
    </w:p>
    <w:p w:rsidR="00000000" w:rsidRDefault="00000000">
      <w:pPr>
        <w:pStyle w:val="Heading3"/>
        <w:rPr>
          <w:rFonts w:hint="eastAsia"/>
        </w:rPr>
      </w:pPr>
      <w:r>
        <w:rPr>
          <w:rFonts w:hint="eastAsia"/>
        </w:rPr>
        <w:t>第五条</w:t>
      </w:r>
      <w:r>
        <w:rPr>
          <w:rFonts w:hint="eastAsia"/>
        </w:rPr>
        <w:t xml:space="preserve">  </w:t>
      </w:r>
      <w:r>
        <w:rPr>
          <w:rFonts w:hint="eastAsia"/>
        </w:rPr>
        <w:t>国际法规定的首要地位</w:t>
      </w:r>
    </w:p>
    <w:p w:rsidR="00000000" w:rsidRDefault="00000000">
      <w:pPr>
        <w:spacing w:after="320"/>
        <w:rPr>
          <w:rFonts w:hint="eastAsia"/>
        </w:rPr>
      </w:pPr>
      <w:r>
        <w:rPr>
          <w:rFonts w:hint="eastAsia"/>
        </w:rPr>
        <w:tab/>
        <w:t xml:space="preserve">17.  </w:t>
      </w:r>
      <w:r>
        <w:rPr>
          <w:rFonts w:hint="eastAsia"/>
        </w:rPr>
        <w:t>利比亚最高法院根据</w:t>
      </w:r>
      <w:r>
        <w:rPr>
          <w:rFonts w:hint="eastAsia"/>
        </w:rPr>
        <w:t>1982</w:t>
      </w:r>
      <w:r>
        <w:rPr>
          <w:rFonts w:hint="eastAsia"/>
        </w:rPr>
        <w:t>年第</w:t>
      </w:r>
      <w:r>
        <w:rPr>
          <w:rFonts w:hint="eastAsia"/>
        </w:rPr>
        <w:t>6</w:t>
      </w:r>
      <w:r>
        <w:rPr>
          <w:rFonts w:hint="eastAsia"/>
        </w:rPr>
        <w:t>号法令，规定了一条具有法律约束力的原则：一旦阿拉伯利比亚民众国批准了一项国际文献，该项文献即具有法律约束力，并且优先于国内法。</w:t>
      </w:r>
    </w:p>
    <w:p w:rsidR="00000000" w:rsidRDefault="00000000">
      <w:pPr>
        <w:pStyle w:val="Heading3"/>
        <w:rPr>
          <w:rFonts w:hint="eastAsia"/>
        </w:rPr>
      </w:pPr>
      <w:r>
        <w:rPr>
          <w:rFonts w:hint="eastAsia"/>
        </w:rPr>
        <w:t>第六条</w:t>
      </w:r>
      <w:r>
        <w:rPr>
          <w:rFonts w:hint="eastAsia"/>
        </w:rPr>
        <w:t xml:space="preserve">  </w:t>
      </w:r>
      <w:r>
        <w:rPr>
          <w:rFonts w:hint="eastAsia"/>
        </w:rPr>
        <w:t>劳动的权利</w:t>
      </w:r>
    </w:p>
    <w:p w:rsidR="00000000" w:rsidRDefault="00000000">
      <w:pPr>
        <w:rPr>
          <w:rFonts w:hint="eastAsia"/>
        </w:rPr>
      </w:pPr>
      <w:r>
        <w:rPr>
          <w:rFonts w:hint="eastAsia"/>
        </w:rPr>
        <w:tab/>
        <w:t xml:space="preserve">18.  </w:t>
      </w:r>
      <w:r>
        <w:rPr>
          <w:rFonts w:hint="eastAsia"/>
        </w:rPr>
        <w:t>根据《民众时代人权绿皮书》的第</w:t>
      </w:r>
      <w:r>
        <w:rPr>
          <w:rFonts w:hint="eastAsia"/>
        </w:rPr>
        <w:t>11</w:t>
      </w:r>
      <w:r>
        <w:rPr>
          <w:rFonts w:hint="eastAsia"/>
        </w:rPr>
        <w:t>条原则，社会保障人民享有劳动的权利，每一个人尽自已的能力单独劳动或者与他人共同劳动既是一种责任，也是一种权利。人人有权选择适合自己的工作。《促进自由法》第</w:t>
      </w:r>
      <w:r>
        <w:rPr>
          <w:rFonts w:hint="eastAsia"/>
        </w:rPr>
        <w:t>10</w:t>
      </w:r>
      <w:r>
        <w:rPr>
          <w:rFonts w:hint="eastAsia"/>
        </w:rPr>
        <w:t>条确认了这条原则。这项法律规定：“所有公民均有权选择最适合自己的工作，有权在不剥削他人以及不给第三方造成物质上或者精神上伤害的情况下，单独劳动或者与他人共同劳动。”有一些法律涉及劳动的权利，其中包括</w:t>
      </w:r>
      <w:r>
        <w:rPr>
          <w:rFonts w:hint="eastAsia"/>
        </w:rPr>
        <w:t>1970</w:t>
      </w:r>
      <w:r>
        <w:rPr>
          <w:rFonts w:hint="eastAsia"/>
        </w:rPr>
        <w:t>年第</w:t>
      </w:r>
      <w:r>
        <w:rPr>
          <w:rFonts w:hint="eastAsia"/>
        </w:rPr>
        <w:t>58</w:t>
      </w:r>
      <w:r>
        <w:rPr>
          <w:rFonts w:hint="eastAsia"/>
        </w:rPr>
        <w:t>号法令，该项法令由管理劳资关系的</w:t>
      </w:r>
      <w:r>
        <w:rPr>
          <w:rFonts w:hint="eastAsia"/>
        </w:rPr>
        <w:t>186</w:t>
      </w:r>
      <w:r>
        <w:rPr>
          <w:rFonts w:hint="eastAsia"/>
        </w:rPr>
        <w:t>项条款组成。考虑到雇主同雇员的关系中有时压迫性的性质，利比亚民众国决定制定法律使得工人能够分享利润</w:t>
      </w:r>
      <w:r>
        <w:rPr>
          <w:rFonts w:hint="eastAsia"/>
        </w:rPr>
        <w:t>(</w:t>
      </w:r>
      <w:r>
        <w:rPr>
          <w:rFonts w:hint="eastAsia"/>
        </w:rPr>
        <w:t>《分享利润法》</w:t>
      </w:r>
      <w:r>
        <w:rPr>
          <w:rFonts w:hint="eastAsia"/>
        </w:rPr>
        <w:t>)</w:t>
      </w:r>
      <w:r>
        <w:rPr>
          <w:rFonts w:hint="eastAsia"/>
        </w:rPr>
        <w:t>。民众国还批准了大多数涉及就业的国际公约，其中包括：</w:t>
      </w:r>
    </w:p>
    <w:p w:rsidR="00000000" w:rsidRDefault="00000000">
      <w:pPr>
        <w:numPr>
          <w:ilvl w:val="1"/>
          <w:numId w:val="5"/>
        </w:numPr>
        <w:tabs>
          <w:tab w:val="clear" w:pos="707"/>
          <w:tab w:val="num" w:pos="1227"/>
        </w:tabs>
        <w:ind w:left="1227"/>
        <w:rPr>
          <w:rFonts w:hint="eastAsia"/>
        </w:rPr>
      </w:pPr>
      <w:r>
        <w:rPr>
          <w:rFonts w:hint="eastAsia"/>
        </w:rPr>
        <w:t>《关于就业政策的公约》，</w:t>
      </w:r>
      <w:r>
        <w:rPr>
          <w:rFonts w:hint="eastAsia"/>
        </w:rPr>
        <w:t>1964</w:t>
      </w:r>
      <w:r>
        <w:rPr>
          <w:rFonts w:hint="eastAsia"/>
        </w:rPr>
        <w:t>年</w:t>
      </w:r>
      <w:r>
        <w:rPr>
          <w:rFonts w:hint="eastAsia"/>
        </w:rPr>
        <w:t>(</w:t>
      </w:r>
      <w:r>
        <w:rPr>
          <w:rFonts w:hint="eastAsia"/>
        </w:rPr>
        <w:t>第</w:t>
      </w:r>
      <w:r>
        <w:rPr>
          <w:rFonts w:hint="eastAsia"/>
        </w:rPr>
        <w:t>122</w:t>
      </w:r>
      <w:r>
        <w:rPr>
          <w:rFonts w:hint="eastAsia"/>
        </w:rPr>
        <w:t>号</w:t>
      </w:r>
      <w:r>
        <w:rPr>
          <w:rFonts w:hint="eastAsia"/>
        </w:rPr>
        <w:t>)</w:t>
      </w:r>
      <w:r>
        <w:rPr>
          <w:rFonts w:hint="eastAsia"/>
        </w:rPr>
        <w:t>；</w:t>
      </w:r>
    </w:p>
    <w:p w:rsidR="00000000" w:rsidRDefault="00000000">
      <w:pPr>
        <w:numPr>
          <w:ilvl w:val="1"/>
          <w:numId w:val="5"/>
        </w:numPr>
        <w:tabs>
          <w:tab w:val="clear" w:pos="707"/>
          <w:tab w:val="num" w:pos="1227"/>
        </w:tabs>
        <w:ind w:left="1227"/>
        <w:rPr>
          <w:rFonts w:hint="eastAsia"/>
        </w:rPr>
      </w:pPr>
      <w:r>
        <w:rPr>
          <w:rFonts w:hint="eastAsia"/>
        </w:rPr>
        <w:t>《消除一切形式种族歧视国际公约》；以及</w:t>
      </w:r>
    </w:p>
    <w:p w:rsidR="00000000" w:rsidRDefault="00000000">
      <w:pPr>
        <w:numPr>
          <w:ilvl w:val="1"/>
          <w:numId w:val="5"/>
        </w:numPr>
        <w:tabs>
          <w:tab w:val="clear" w:pos="707"/>
          <w:tab w:val="num" w:pos="1227"/>
        </w:tabs>
        <w:ind w:left="1227"/>
        <w:rPr>
          <w:rFonts w:hint="eastAsia"/>
        </w:rPr>
      </w:pPr>
      <w:r>
        <w:rPr>
          <w:rFonts w:hint="eastAsia"/>
        </w:rPr>
        <w:t>《消除对妇女一切形式歧视公约》。</w:t>
      </w:r>
    </w:p>
    <w:p w:rsidR="00000000" w:rsidRDefault="00000000">
      <w:pPr>
        <w:rPr>
          <w:rFonts w:hint="eastAsia"/>
        </w:rPr>
      </w:pPr>
      <w:r>
        <w:rPr>
          <w:rFonts w:hint="eastAsia"/>
        </w:rPr>
        <w:tab/>
        <w:t xml:space="preserve">19.  </w:t>
      </w:r>
      <w:r>
        <w:rPr>
          <w:rFonts w:hint="eastAsia"/>
        </w:rPr>
        <w:t>为了保障所有人的就业，根据上述第</w:t>
      </w:r>
      <w:r>
        <w:rPr>
          <w:rFonts w:hint="eastAsia"/>
        </w:rPr>
        <w:t>58</w:t>
      </w:r>
      <w:r>
        <w:rPr>
          <w:rFonts w:hint="eastAsia"/>
        </w:rPr>
        <w:t>号法令第二节的规定成立了招聘中心，为求职者提供帮助。</w:t>
      </w:r>
      <w:r>
        <w:rPr>
          <w:rFonts w:hint="eastAsia"/>
        </w:rPr>
        <w:t>2002</w:t>
      </w:r>
      <w:r>
        <w:rPr>
          <w:rFonts w:hint="eastAsia"/>
        </w:rPr>
        <w:t>年第</w:t>
      </w:r>
      <w:r>
        <w:rPr>
          <w:rFonts w:hint="eastAsia"/>
        </w:rPr>
        <w:t>77</w:t>
      </w:r>
      <w:r>
        <w:rPr>
          <w:rFonts w:hint="eastAsia"/>
        </w:rPr>
        <w:t>号法令载有关于安置求职者的指导方针；该项法令的第</w:t>
      </w:r>
      <w:r>
        <w:rPr>
          <w:rFonts w:hint="eastAsia"/>
        </w:rPr>
        <w:t>1</w:t>
      </w:r>
      <w:r>
        <w:rPr>
          <w:rFonts w:hint="eastAsia"/>
        </w:rPr>
        <w:t>条规定：“地方人民委员会应建立合股公司和合作社，以便为人们寻找符合其资历和专业经验的工作，委员会应采取措施防止剥削工人和贩运工人。”该项法令的第</w:t>
      </w:r>
      <w:r>
        <w:rPr>
          <w:rFonts w:hint="eastAsia"/>
        </w:rPr>
        <w:t>2</w:t>
      </w:r>
      <w:r>
        <w:rPr>
          <w:rFonts w:hint="eastAsia"/>
        </w:rPr>
        <w:t>条规定：“为就业目的而设立的公司和合作社应根据求职者的优先条件予以登记，同时要适当考虑到申请人的专业资历和经验。”</w:t>
      </w:r>
    </w:p>
    <w:p w:rsidR="00000000" w:rsidRDefault="00000000">
      <w:pPr>
        <w:rPr>
          <w:rFonts w:hint="eastAsia"/>
        </w:rPr>
      </w:pPr>
      <w:r>
        <w:rPr>
          <w:rFonts w:hint="eastAsia"/>
        </w:rPr>
        <w:tab/>
        <w:t xml:space="preserve">20.  </w:t>
      </w:r>
      <w:r>
        <w:rPr>
          <w:rFonts w:hint="eastAsia"/>
        </w:rPr>
        <w:t>公共服务局下属的公共就业处负责监督这些公司和合作社的适当运行。鉴于阿拉伯利比亚民众国对于劳动权利的重视，已经成立了一个高级别委员会来执行上述法令的规定。同样，附属于地区基层人民代表大会的人民委员会也已经接受制定计划的任务，要通过基层人民代表大会并且同有关主管机构合作，为求职者寻找工作。已经实施了一系列的政策，现介绍如下：</w:t>
      </w:r>
    </w:p>
    <w:p w:rsidR="00000000" w:rsidRDefault="00000000">
      <w:pPr>
        <w:pStyle w:val="a0"/>
        <w:tabs>
          <w:tab w:val="num" w:pos="1550"/>
        </w:tabs>
        <w:ind w:left="1550"/>
        <w:rPr>
          <w:rFonts w:hint="eastAsia"/>
        </w:rPr>
      </w:pPr>
      <w:r>
        <w:rPr>
          <w:rFonts w:hint="eastAsia"/>
        </w:rPr>
        <w:t>2001</w:t>
      </w:r>
      <w:r>
        <w:rPr>
          <w:rFonts w:hint="eastAsia"/>
        </w:rPr>
        <w:t>年的第</w:t>
      </w:r>
      <w:r>
        <w:rPr>
          <w:rFonts w:hint="eastAsia"/>
        </w:rPr>
        <w:t>21</w:t>
      </w:r>
      <w:r>
        <w:rPr>
          <w:rFonts w:hint="eastAsia"/>
        </w:rPr>
        <w:t>号《经济活动法》授权私营部门参与一些经济活动，并且修订了有关限制私营部门参与合股公司的规定；</w:t>
      </w:r>
    </w:p>
    <w:p w:rsidR="00000000" w:rsidRDefault="00000000">
      <w:pPr>
        <w:pStyle w:val="a0"/>
        <w:tabs>
          <w:tab w:val="num" w:pos="1550"/>
        </w:tabs>
        <w:ind w:left="1550"/>
        <w:rPr>
          <w:rFonts w:hint="eastAsia"/>
        </w:rPr>
      </w:pPr>
      <w:r>
        <w:rPr>
          <w:rFonts w:hint="eastAsia"/>
        </w:rPr>
        <w:t>商业银行和私营银行在为各种经济活动提供贷款和设施方面的作用已经得到加强；</w:t>
      </w:r>
    </w:p>
    <w:p w:rsidR="00000000" w:rsidRDefault="00000000">
      <w:pPr>
        <w:pStyle w:val="a0"/>
        <w:tabs>
          <w:tab w:val="num" w:pos="1550"/>
        </w:tabs>
        <w:ind w:left="1550"/>
        <w:rPr>
          <w:rFonts w:hint="eastAsia"/>
        </w:rPr>
      </w:pPr>
      <w:r>
        <w:rPr>
          <w:rFonts w:hint="eastAsia"/>
        </w:rPr>
        <w:t>已经为转产基金会拨出资源，该基金会为了帮助生产部门创造就业机会，提供了诸如机械、设备等许多设施；</w:t>
      </w:r>
    </w:p>
    <w:p w:rsidR="00000000" w:rsidRDefault="00000000">
      <w:pPr>
        <w:pStyle w:val="a0"/>
        <w:tabs>
          <w:tab w:val="num" w:pos="1550"/>
        </w:tabs>
        <w:ind w:left="1550"/>
        <w:rPr>
          <w:rFonts w:hint="eastAsia"/>
        </w:rPr>
      </w:pPr>
      <w:r>
        <w:rPr>
          <w:rFonts w:hint="eastAsia"/>
        </w:rPr>
        <w:t>特别银行在提供用于购买生产资料的低息贷款方面的作用已经得到加强；</w:t>
      </w:r>
    </w:p>
    <w:p w:rsidR="00000000" w:rsidRDefault="00000000">
      <w:pPr>
        <w:pStyle w:val="a0"/>
        <w:tabs>
          <w:tab w:val="num" w:pos="1550"/>
        </w:tabs>
        <w:ind w:left="1550"/>
        <w:rPr>
          <w:rFonts w:hint="eastAsia"/>
        </w:rPr>
      </w:pPr>
      <w:r>
        <w:rPr>
          <w:rFonts w:hint="eastAsia"/>
        </w:rPr>
        <w:t>为从事各种经济活动而申请许可证的行政手续已经得到简化，一些限制开展某些经济活动的程序，例如必须领取进出口许可证和缴纳强制性关税等，已被废除；</w:t>
      </w:r>
    </w:p>
    <w:p w:rsidR="00000000" w:rsidRDefault="00000000">
      <w:pPr>
        <w:pStyle w:val="a0"/>
        <w:tabs>
          <w:tab w:val="num" w:pos="1550"/>
        </w:tabs>
        <w:ind w:left="1550"/>
        <w:rPr>
          <w:rFonts w:hint="eastAsia"/>
        </w:rPr>
      </w:pPr>
      <w:r>
        <w:rPr>
          <w:rFonts w:hint="eastAsia"/>
        </w:rPr>
        <w:t>商业机构的负责人现已获得允许，可以担任制造公司的代理人，负责将其产品引入利比亚市场。</w:t>
      </w:r>
      <w:r>
        <w:rPr>
          <w:rFonts w:hint="eastAsia"/>
          <w:vertAlign w:val="superscript"/>
        </w:rPr>
        <w:t>4 5</w:t>
      </w:r>
    </w:p>
    <w:p w:rsidR="00000000" w:rsidRDefault="00000000">
      <w:pPr>
        <w:rPr>
          <w:rFonts w:hint="eastAsia"/>
        </w:rPr>
      </w:pPr>
      <w:r>
        <w:rPr>
          <w:rFonts w:hint="eastAsia"/>
        </w:rPr>
        <w:tab/>
        <w:t xml:space="preserve">21.  </w:t>
      </w:r>
      <w:r>
        <w:rPr>
          <w:rFonts w:hint="eastAsia"/>
        </w:rPr>
        <w:t>为了提高工人和求职者的技术和知识，已经根据</w:t>
      </w:r>
      <w:r>
        <w:rPr>
          <w:rFonts w:hint="eastAsia"/>
        </w:rPr>
        <w:t>1970</w:t>
      </w:r>
      <w:r>
        <w:rPr>
          <w:rFonts w:hint="eastAsia"/>
        </w:rPr>
        <w:t>年第</w:t>
      </w:r>
      <w:r>
        <w:rPr>
          <w:rFonts w:hint="eastAsia"/>
        </w:rPr>
        <w:t>58</w:t>
      </w:r>
      <w:r>
        <w:rPr>
          <w:rFonts w:hint="eastAsia"/>
        </w:rPr>
        <w:t>号法令的第</w:t>
      </w:r>
      <w:r>
        <w:rPr>
          <w:rFonts w:hint="eastAsia"/>
        </w:rPr>
        <w:t>6</w:t>
      </w:r>
      <w:r>
        <w:rPr>
          <w:rFonts w:hint="eastAsia"/>
        </w:rPr>
        <w:t>条规定，制定了概况介绍方案，同时成立了技术培训班和职业培训班，在这项法令中有一节是关于职业培训和工人的培训条件的。</w:t>
      </w:r>
      <w:r>
        <w:rPr>
          <w:rFonts w:hint="eastAsia"/>
        </w:rPr>
        <w:t>1976</w:t>
      </w:r>
      <w:r>
        <w:rPr>
          <w:rFonts w:hint="eastAsia"/>
        </w:rPr>
        <w:t>年第</w:t>
      </w:r>
      <w:r>
        <w:rPr>
          <w:rFonts w:hint="eastAsia"/>
        </w:rPr>
        <w:t>55</w:t>
      </w:r>
      <w:r>
        <w:rPr>
          <w:rFonts w:hint="eastAsia"/>
        </w:rPr>
        <w:t>号《公务员法》第</w:t>
      </w:r>
      <w:r>
        <w:rPr>
          <w:rFonts w:hint="eastAsia"/>
        </w:rPr>
        <w:t>30</w:t>
      </w:r>
      <w:r>
        <w:rPr>
          <w:rFonts w:hint="eastAsia"/>
        </w:rPr>
        <w:t>条提到了培训，这项法律规定，行政部门必须为其雇员提供初级和高级培训。为了实现这些目标，已经颁布了一些执行性法令。这些法令包括：</w:t>
      </w:r>
    </w:p>
    <w:p w:rsidR="00000000" w:rsidRDefault="00000000">
      <w:pPr>
        <w:pStyle w:val="a0"/>
        <w:tabs>
          <w:tab w:val="num" w:pos="1550"/>
        </w:tabs>
        <w:ind w:left="1550"/>
        <w:rPr>
          <w:rFonts w:hint="eastAsia"/>
        </w:rPr>
      </w:pPr>
      <w:r>
        <w:rPr>
          <w:rFonts w:hint="eastAsia"/>
        </w:rPr>
        <w:t>1999</w:t>
      </w:r>
      <w:r>
        <w:rPr>
          <w:rFonts w:hint="eastAsia"/>
        </w:rPr>
        <w:t>年第</w:t>
      </w:r>
      <w:r>
        <w:rPr>
          <w:rFonts w:hint="eastAsia"/>
        </w:rPr>
        <w:t>206</w:t>
      </w:r>
      <w:r>
        <w:rPr>
          <w:rFonts w:hint="eastAsia"/>
        </w:rPr>
        <w:t>号法令就培训问题作出了以下规定：“向个人提供技术和职业基础训练，并且传授各种职业和专业领域所需要的技术知识”。这项法令还规定了各种培训水平和类型以及培训的先决条件，特别强调了旨在实现职业培训目标的程序培训班和高级培训班；</w:t>
      </w:r>
    </w:p>
    <w:p w:rsidR="00000000" w:rsidRDefault="00000000">
      <w:pPr>
        <w:pStyle w:val="a0"/>
        <w:tabs>
          <w:tab w:val="num" w:pos="1550"/>
        </w:tabs>
        <w:ind w:left="1550"/>
        <w:rPr>
          <w:rFonts w:hint="eastAsia"/>
        </w:rPr>
      </w:pPr>
      <w:r>
        <w:rPr>
          <w:rFonts w:hint="eastAsia"/>
        </w:rPr>
        <w:t>有关为在地方行政部门任职的非技术工人举办培训班的</w:t>
      </w:r>
      <w:r>
        <w:rPr>
          <w:rFonts w:hint="eastAsia"/>
        </w:rPr>
        <w:t>1986</w:t>
      </w:r>
      <w:r>
        <w:rPr>
          <w:rFonts w:hint="eastAsia"/>
        </w:rPr>
        <w:t>年第</w:t>
      </w:r>
      <w:r>
        <w:rPr>
          <w:rFonts w:hint="eastAsia"/>
        </w:rPr>
        <w:t>431</w:t>
      </w:r>
      <w:r>
        <w:rPr>
          <w:rFonts w:hint="eastAsia"/>
        </w:rPr>
        <w:t>号法令。现在所有公务员和工人都有权接受各种培训，无论是公共部门还是私营部门都必须为其雇员提供培训。培训不仅仅是指国内的培训班，根据现行法律规定，工人也可出国进修，以便扩大知识面，了解技术进展情况以及学习最新技术；</w:t>
      </w:r>
    </w:p>
    <w:p w:rsidR="00000000" w:rsidRDefault="00000000">
      <w:pPr>
        <w:pStyle w:val="a0"/>
        <w:tabs>
          <w:tab w:val="num" w:pos="1550"/>
        </w:tabs>
        <w:ind w:left="1550"/>
        <w:rPr>
          <w:rFonts w:hint="eastAsia"/>
        </w:rPr>
      </w:pPr>
      <w:r>
        <w:rPr>
          <w:rFonts w:hint="eastAsia"/>
        </w:rPr>
        <w:t>为了设立更多的培训机构，</w:t>
      </w:r>
      <w:r>
        <w:rPr>
          <w:rFonts w:hint="eastAsia"/>
        </w:rPr>
        <w:t>1988</w:t>
      </w:r>
      <w:r>
        <w:rPr>
          <w:rFonts w:hint="eastAsia"/>
        </w:rPr>
        <w:t>年第</w:t>
      </w:r>
      <w:r>
        <w:rPr>
          <w:rFonts w:hint="eastAsia"/>
        </w:rPr>
        <w:t>90</w:t>
      </w:r>
      <w:r>
        <w:rPr>
          <w:rFonts w:hint="eastAsia"/>
        </w:rPr>
        <w:t>号法令规定建立教师和技术干部培训学院；</w:t>
      </w:r>
    </w:p>
    <w:p w:rsidR="00000000" w:rsidRDefault="00000000">
      <w:pPr>
        <w:pStyle w:val="a0"/>
        <w:tabs>
          <w:tab w:val="num" w:pos="1550"/>
        </w:tabs>
        <w:ind w:left="1550"/>
        <w:rPr>
          <w:rFonts w:hint="eastAsia"/>
        </w:rPr>
      </w:pPr>
      <w:r>
        <w:rPr>
          <w:rFonts w:hint="eastAsia"/>
        </w:rPr>
        <w:t>有关培训自由职业者的</w:t>
      </w:r>
      <w:r>
        <w:rPr>
          <w:rFonts w:hint="eastAsia"/>
        </w:rPr>
        <w:t>1989</w:t>
      </w:r>
      <w:r>
        <w:rPr>
          <w:rFonts w:hint="eastAsia"/>
        </w:rPr>
        <w:t>年第</w:t>
      </w:r>
      <w:r>
        <w:rPr>
          <w:rFonts w:hint="eastAsia"/>
        </w:rPr>
        <w:t>96</w:t>
      </w:r>
      <w:r>
        <w:rPr>
          <w:rFonts w:hint="eastAsia"/>
        </w:rPr>
        <w:t>号法令授权个人设立私营职业培训中心，向各行各业的男子和妇女提供有关技术和知识的培训；</w:t>
      </w:r>
    </w:p>
    <w:p w:rsidR="00000000" w:rsidRDefault="00000000">
      <w:pPr>
        <w:pStyle w:val="a0"/>
        <w:tabs>
          <w:tab w:val="num" w:pos="1550"/>
        </w:tabs>
        <w:spacing w:after="320"/>
        <w:ind w:left="1550"/>
        <w:rPr>
          <w:rFonts w:hint="eastAsia"/>
        </w:rPr>
      </w:pPr>
      <w:r>
        <w:rPr>
          <w:rFonts w:hint="eastAsia"/>
        </w:rPr>
        <w:t>1990</w:t>
      </w:r>
      <w:r>
        <w:rPr>
          <w:rFonts w:hint="eastAsia"/>
        </w:rPr>
        <w:t>年第</w:t>
      </w:r>
      <w:r>
        <w:rPr>
          <w:rFonts w:hint="eastAsia"/>
        </w:rPr>
        <w:t>942</w:t>
      </w:r>
      <w:r>
        <w:rPr>
          <w:rFonts w:hint="eastAsia"/>
        </w:rPr>
        <w:t>号法令规定设立国家培训中心，以便为国民经济各部门发展和培训人力资源。</w:t>
      </w:r>
    </w:p>
    <w:p w:rsidR="00000000" w:rsidRDefault="00000000">
      <w:pPr>
        <w:pStyle w:val="Heading3"/>
        <w:spacing w:after="240"/>
        <w:rPr>
          <w:rFonts w:hint="eastAsia"/>
        </w:rPr>
      </w:pPr>
      <w:r>
        <w:rPr>
          <w:rFonts w:hint="eastAsia"/>
        </w:rPr>
        <w:t>第七条</w:t>
      </w:r>
      <w:r>
        <w:rPr>
          <w:rFonts w:hint="eastAsia"/>
          <w:spacing w:val="0"/>
        </w:rPr>
        <w:t xml:space="preserve">  </w:t>
      </w:r>
      <w:r>
        <w:rPr>
          <w:rFonts w:hint="eastAsia"/>
        </w:rPr>
        <w:t>获得公平报酬的权利</w:t>
      </w:r>
    </w:p>
    <w:p w:rsidR="00000000" w:rsidRDefault="00000000">
      <w:pPr>
        <w:rPr>
          <w:rFonts w:hint="eastAsia"/>
        </w:rPr>
      </w:pPr>
      <w:r>
        <w:rPr>
          <w:rFonts w:hint="eastAsia"/>
        </w:rPr>
        <w:tab/>
        <w:t>22.  1981</w:t>
      </w:r>
      <w:r>
        <w:rPr>
          <w:rFonts w:hint="eastAsia"/>
        </w:rPr>
        <w:t>年第</w:t>
      </w:r>
      <w:r>
        <w:rPr>
          <w:rFonts w:hint="eastAsia"/>
        </w:rPr>
        <w:t>15</w:t>
      </w:r>
      <w:r>
        <w:rPr>
          <w:rFonts w:hint="eastAsia"/>
        </w:rPr>
        <w:t>号《工资法》就有关报酬的事项作出了规定。人民代表大会计划修订这项法令，以适应工人及其家庭的需要并且提高他们的生活水平。根据全国人民代表大会有关公共事务的</w:t>
      </w:r>
      <w:r>
        <w:rPr>
          <w:rFonts w:hint="eastAsia"/>
        </w:rPr>
        <w:t>2002</w:t>
      </w:r>
      <w:r>
        <w:rPr>
          <w:rFonts w:hint="eastAsia"/>
        </w:rPr>
        <w:t>年第</w:t>
      </w:r>
      <w:r>
        <w:rPr>
          <w:rFonts w:hint="eastAsia"/>
        </w:rPr>
        <w:t>20</w:t>
      </w:r>
      <w:r>
        <w:rPr>
          <w:rFonts w:hint="eastAsia"/>
        </w:rPr>
        <w:t>号法令，全国规划委员会已经接受委托，开始研究以何种方式提高家庭收入。</w:t>
      </w:r>
    </w:p>
    <w:p w:rsidR="00000000" w:rsidRDefault="00000000">
      <w:pPr>
        <w:rPr>
          <w:rFonts w:hint="eastAsia"/>
        </w:rPr>
      </w:pPr>
      <w:r>
        <w:rPr>
          <w:rFonts w:hint="eastAsia"/>
        </w:rPr>
        <w:tab/>
        <w:t xml:space="preserve">23.  </w:t>
      </w:r>
      <w:r>
        <w:rPr>
          <w:rFonts w:hint="eastAsia"/>
        </w:rPr>
        <w:t>关于报酬问题，阿拉伯利比亚民众国没有以性别、出身或者任何其他因素为理由区别对待工人。《公务员法》规定，男女同工同酬，在任何财务交易中不应有性别歧视，其中包括招聘和就业的标准。</w:t>
      </w:r>
    </w:p>
    <w:p w:rsidR="00000000" w:rsidRDefault="00000000">
      <w:pPr>
        <w:rPr>
          <w:rFonts w:hint="eastAsia"/>
        </w:rPr>
      </w:pPr>
      <w:r>
        <w:rPr>
          <w:rFonts w:hint="eastAsia"/>
        </w:rPr>
        <w:tab/>
        <w:t xml:space="preserve">24.  </w:t>
      </w:r>
      <w:r>
        <w:rPr>
          <w:rFonts w:hint="eastAsia"/>
        </w:rPr>
        <w:t>利比亚有关就业和公共管理的法律保障所有人</w:t>
      </w:r>
      <w:r>
        <w:rPr>
          <w:rFonts w:hint="eastAsia"/>
        </w:rPr>
        <w:t>(</w:t>
      </w:r>
      <w:r>
        <w:rPr>
          <w:rFonts w:hint="eastAsia"/>
        </w:rPr>
        <w:t>无论男女</w:t>
      </w:r>
      <w:r>
        <w:rPr>
          <w:rFonts w:hint="eastAsia"/>
        </w:rPr>
        <w:t>)</w:t>
      </w:r>
      <w:r>
        <w:rPr>
          <w:rFonts w:hint="eastAsia"/>
        </w:rPr>
        <w:t>都有同等机会获得就业和晋升，评判的依据是诸如能力、经验、受教育水平和资历等完全客观的标准。</w:t>
      </w:r>
      <w:r>
        <w:rPr>
          <w:rFonts w:hint="eastAsia"/>
        </w:rPr>
        <w:t>1976</w:t>
      </w:r>
      <w:r>
        <w:rPr>
          <w:rFonts w:hint="eastAsia"/>
        </w:rPr>
        <w:t>年第</w:t>
      </w:r>
      <w:r>
        <w:rPr>
          <w:rFonts w:hint="eastAsia"/>
        </w:rPr>
        <w:t>55</w:t>
      </w:r>
      <w:r>
        <w:rPr>
          <w:rFonts w:hint="eastAsia"/>
        </w:rPr>
        <w:t>号《公务员法》第</w:t>
      </w:r>
      <w:r>
        <w:rPr>
          <w:rFonts w:hint="eastAsia"/>
        </w:rPr>
        <w:t>36</w:t>
      </w:r>
      <w:r>
        <w:rPr>
          <w:rFonts w:hint="eastAsia"/>
        </w:rPr>
        <w:t>条至第</w:t>
      </w:r>
      <w:r>
        <w:rPr>
          <w:rFonts w:hint="eastAsia"/>
        </w:rPr>
        <w:t>50</w:t>
      </w:r>
      <w:r>
        <w:rPr>
          <w:rFonts w:hint="eastAsia"/>
        </w:rPr>
        <w:t>条规定了根据完全客观的标准来决定公务员晋升、奖金和其他奖励的条件。</w:t>
      </w:r>
      <w:r>
        <w:rPr>
          <w:rFonts w:hint="eastAsia"/>
        </w:rPr>
        <w:t>1970</w:t>
      </w:r>
      <w:r>
        <w:rPr>
          <w:rFonts w:hint="eastAsia"/>
        </w:rPr>
        <w:t>年第</w:t>
      </w:r>
      <w:r>
        <w:rPr>
          <w:rFonts w:hint="eastAsia"/>
        </w:rPr>
        <w:t>58</w:t>
      </w:r>
      <w:r>
        <w:rPr>
          <w:rFonts w:hint="eastAsia"/>
        </w:rPr>
        <w:t>号法令《劳工法》第</w:t>
      </w:r>
      <w:r>
        <w:rPr>
          <w:rFonts w:hint="eastAsia"/>
        </w:rPr>
        <w:t>3</w:t>
      </w:r>
      <w:r>
        <w:rPr>
          <w:rFonts w:hint="eastAsia"/>
        </w:rPr>
        <w:t>节第二章中的第</w:t>
      </w:r>
      <w:r>
        <w:rPr>
          <w:rFonts w:hint="eastAsia"/>
        </w:rPr>
        <w:t>85</w:t>
      </w:r>
      <w:r>
        <w:rPr>
          <w:rFonts w:hint="eastAsia"/>
        </w:rPr>
        <w:t>条至第</w:t>
      </w:r>
      <w:r>
        <w:rPr>
          <w:rFonts w:hint="eastAsia"/>
        </w:rPr>
        <w:t>90</w:t>
      </w:r>
      <w:r>
        <w:rPr>
          <w:rFonts w:hint="eastAsia"/>
        </w:rPr>
        <w:t>条规定了劳动时间和休息时间。第</w:t>
      </w:r>
      <w:r>
        <w:rPr>
          <w:rFonts w:hint="eastAsia"/>
        </w:rPr>
        <w:t>85</w:t>
      </w:r>
      <w:r>
        <w:rPr>
          <w:rFonts w:hint="eastAsia"/>
        </w:rPr>
        <w:t>条规定，劳动时间不得超过每天</w:t>
      </w:r>
      <w:r>
        <w:rPr>
          <w:rFonts w:hint="eastAsia"/>
        </w:rPr>
        <w:t>8</w:t>
      </w:r>
      <w:r>
        <w:rPr>
          <w:rFonts w:hint="eastAsia"/>
        </w:rPr>
        <w:t>小时</w:t>
      </w:r>
      <w:r>
        <w:rPr>
          <w:rFonts w:hint="eastAsia"/>
        </w:rPr>
        <w:t>(</w:t>
      </w:r>
      <w:r>
        <w:rPr>
          <w:rFonts w:hint="eastAsia"/>
        </w:rPr>
        <w:t>用膳时间和休息时间除外</w:t>
      </w:r>
      <w:r>
        <w:rPr>
          <w:rFonts w:hint="eastAsia"/>
        </w:rPr>
        <w:t>)</w:t>
      </w:r>
      <w:r>
        <w:rPr>
          <w:rFonts w:hint="eastAsia"/>
        </w:rPr>
        <w:t>，根据适用的国际文献确定最低就业年龄。第</w:t>
      </w:r>
      <w:r>
        <w:rPr>
          <w:rFonts w:hint="eastAsia"/>
        </w:rPr>
        <w:t>93</w:t>
      </w:r>
      <w:r>
        <w:rPr>
          <w:rFonts w:hint="eastAsia"/>
        </w:rPr>
        <w:t>条规定，儿童劳动时间不得超过每天</w:t>
      </w:r>
      <w:r>
        <w:rPr>
          <w:rFonts w:hint="eastAsia"/>
        </w:rPr>
        <w:t>6</w:t>
      </w:r>
      <w:r>
        <w:rPr>
          <w:rFonts w:hint="eastAsia"/>
        </w:rPr>
        <w:t>小时。</w:t>
      </w:r>
    </w:p>
    <w:p w:rsidR="00000000" w:rsidRDefault="00000000">
      <w:pPr>
        <w:rPr>
          <w:rFonts w:hint="eastAsia"/>
        </w:rPr>
      </w:pPr>
      <w:r>
        <w:rPr>
          <w:rFonts w:hint="eastAsia"/>
        </w:rPr>
        <w:tab/>
        <w:t xml:space="preserve">25.  </w:t>
      </w:r>
      <w:r>
        <w:rPr>
          <w:rFonts w:hint="eastAsia"/>
        </w:rPr>
        <w:t>为了确保工人的休息权利和防止任何形式的剥削，上述《劳工法》第</w:t>
      </w:r>
      <w:r>
        <w:rPr>
          <w:rFonts w:hint="eastAsia"/>
        </w:rPr>
        <w:t>88</w:t>
      </w:r>
      <w:r>
        <w:rPr>
          <w:rFonts w:hint="eastAsia"/>
        </w:rPr>
        <w:t>条的最后一款规定，雇主在休息日和公共假日终止劳动合同属于非法行为。</w:t>
      </w:r>
      <w:r>
        <w:rPr>
          <w:rFonts w:hint="eastAsia"/>
          <w:vertAlign w:val="superscript"/>
        </w:rPr>
        <w:t>6</w:t>
      </w:r>
    </w:p>
    <w:p w:rsidR="00000000" w:rsidRDefault="00000000">
      <w:pPr>
        <w:rPr>
          <w:rFonts w:hint="eastAsia"/>
        </w:rPr>
      </w:pPr>
      <w:r>
        <w:rPr>
          <w:rFonts w:hint="eastAsia"/>
        </w:rPr>
        <w:tab/>
        <w:t>26.  1976</w:t>
      </w:r>
      <w:r>
        <w:rPr>
          <w:rFonts w:hint="eastAsia"/>
        </w:rPr>
        <w:t>年第</w:t>
      </w:r>
      <w:r>
        <w:rPr>
          <w:rFonts w:hint="eastAsia"/>
        </w:rPr>
        <w:t>55</w:t>
      </w:r>
      <w:r>
        <w:rPr>
          <w:rFonts w:hint="eastAsia"/>
        </w:rPr>
        <w:t>号《公务员法》确保公务员有权休假</w:t>
      </w:r>
      <w:r>
        <w:rPr>
          <w:rFonts w:hint="eastAsia"/>
        </w:rPr>
        <w:t>(</w:t>
      </w:r>
      <w:r>
        <w:rPr>
          <w:rFonts w:hint="eastAsia"/>
        </w:rPr>
        <w:t>第</w:t>
      </w:r>
      <w:r>
        <w:rPr>
          <w:rFonts w:hint="eastAsia"/>
        </w:rPr>
        <w:t>65</w:t>
      </w:r>
      <w:r>
        <w:rPr>
          <w:rFonts w:hint="eastAsia"/>
        </w:rPr>
        <w:t>条至第</w:t>
      </w:r>
      <w:r>
        <w:rPr>
          <w:rFonts w:hint="eastAsia"/>
        </w:rPr>
        <w:t>74</w:t>
      </w:r>
      <w:r>
        <w:rPr>
          <w:rFonts w:hint="eastAsia"/>
        </w:rPr>
        <w:t>条</w:t>
      </w:r>
      <w:r>
        <w:rPr>
          <w:rFonts w:hint="eastAsia"/>
        </w:rPr>
        <w:t>)</w:t>
      </w:r>
      <w:r>
        <w:rPr>
          <w:rFonts w:hint="eastAsia"/>
        </w:rPr>
        <w:t>，这项法令将假期分为：“特别假、有薪假和无薪假”。</w:t>
      </w:r>
    </w:p>
    <w:p w:rsidR="00000000" w:rsidRDefault="00000000">
      <w:pPr>
        <w:rPr>
          <w:rFonts w:hint="eastAsia"/>
        </w:rPr>
      </w:pPr>
      <w:r>
        <w:rPr>
          <w:rFonts w:hint="eastAsia"/>
        </w:rPr>
        <w:tab/>
        <w:t xml:space="preserve">27.  </w:t>
      </w:r>
      <w:r>
        <w:rPr>
          <w:rFonts w:hint="eastAsia"/>
        </w:rPr>
        <w:t>利比亚民众国已经批准了一些有关工人权利和工人同雇主和其他人关系的国际公约。这些公约包括：</w:t>
      </w:r>
    </w:p>
    <w:p w:rsidR="00000000" w:rsidRDefault="00000000">
      <w:pPr>
        <w:pStyle w:val="a0"/>
        <w:tabs>
          <w:tab w:val="num" w:pos="1550"/>
        </w:tabs>
        <w:ind w:left="1550"/>
        <w:rPr>
          <w:rFonts w:hint="eastAsia"/>
        </w:rPr>
      </w:pPr>
      <w:r>
        <w:rPr>
          <w:rFonts w:hint="eastAsia"/>
        </w:rPr>
        <w:t>《制订最低工资的公约》，</w:t>
      </w:r>
      <w:r>
        <w:rPr>
          <w:rFonts w:hint="eastAsia"/>
        </w:rPr>
        <w:t>1970</w:t>
      </w:r>
      <w:r>
        <w:rPr>
          <w:rFonts w:hint="eastAsia"/>
        </w:rPr>
        <w:t>年</w:t>
      </w:r>
      <w:r>
        <w:rPr>
          <w:rFonts w:hint="eastAsia"/>
        </w:rPr>
        <w:t>(</w:t>
      </w:r>
      <w:r>
        <w:rPr>
          <w:rFonts w:hint="eastAsia"/>
        </w:rPr>
        <w:t>第</w:t>
      </w:r>
      <w:r>
        <w:rPr>
          <w:rFonts w:hint="eastAsia"/>
        </w:rPr>
        <w:t>131</w:t>
      </w:r>
      <w:r>
        <w:rPr>
          <w:rFonts w:hint="eastAsia"/>
        </w:rPr>
        <w:t>号</w:t>
      </w:r>
      <w:r>
        <w:rPr>
          <w:rFonts w:hint="eastAsia"/>
        </w:rPr>
        <w:t>)</w:t>
      </w:r>
      <w:r>
        <w:rPr>
          <w:rFonts w:hint="eastAsia"/>
        </w:rPr>
        <w:t>，于</w:t>
      </w:r>
      <w:r>
        <w:rPr>
          <w:rFonts w:hint="eastAsia"/>
        </w:rPr>
        <w:t>1971</w:t>
      </w:r>
      <w:r>
        <w:rPr>
          <w:rFonts w:hint="eastAsia"/>
        </w:rPr>
        <w:t>年</w:t>
      </w:r>
      <w:r>
        <w:rPr>
          <w:rFonts w:hint="eastAsia"/>
        </w:rPr>
        <w:t>6</w:t>
      </w:r>
      <w:r>
        <w:rPr>
          <w:rFonts w:hint="eastAsia"/>
        </w:rPr>
        <w:t>月</w:t>
      </w:r>
      <w:r>
        <w:rPr>
          <w:rFonts w:hint="eastAsia"/>
        </w:rPr>
        <w:t>27</w:t>
      </w:r>
      <w:r>
        <w:rPr>
          <w:rFonts w:hint="eastAsia"/>
        </w:rPr>
        <w:t>日批准；</w:t>
      </w:r>
    </w:p>
    <w:p w:rsidR="00000000" w:rsidRDefault="00000000">
      <w:pPr>
        <w:pStyle w:val="a0"/>
        <w:tabs>
          <w:tab w:val="num" w:pos="1550"/>
        </w:tabs>
        <w:ind w:left="1550"/>
        <w:rPr>
          <w:rFonts w:hint="eastAsia"/>
        </w:rPr>
      </w:pPr>
      <w:r>
        <w:rPr>
          <w:rFonts w:hint="eastAsia"/>
        </w:rPr>
        <w:t>《同酬公约》，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w:t>
      </w:r>
      <w:r>
        <w:rPr>
          <w:rFonts w:hint="eastAsia"/>
        </w:rPr>
        <w:t>)</w:t>
      </w:r>
      <w:r>
        <w:rPr>
          <w:rFonts w:hint="eastAsia"/>
        </w:rPr>
        <w:t>，于</w:t>
      </w:r>
      <w:r>
        <w:rPr>
          <w:rFonts w:hint="eastAsia"/>
        </w:rPr>
        <w:t>1962</w:t>
      </w:r>
      <w:r>
        <w:rPr>
          <w:rFonts w:hint="eastAsia"/>
        </w:rPr>
        <w:t>年</w:t>
      </w:r>
      <w:r>
        <w:rPr>
          <w:rFonts w:hint="eastAsia"/>
        </w:rPr>
        <w:t>6</w:t>
      </w:r>
      <w:r>
        <w:rPr>
          <w:rFonts w:hint="eastAsia"/>
        </w:rPr>
        <w:t>月</w:t>
      </w:r>
      <w:r>
        <w:rPr>
          <w:rFonts w:hint="eastAsia"/>
        </w:rPr>
        <w:t>20</w:t>
      </w:r>
      <w:r>
        <w:rPr>
          <w:rFonts w:hint="eastAsia"/>
        </w:rPr>
        <w:t>日批准；</w:t>
      </w:r>
    </w:p>
    <w:p w:rsidR="00000000" w:rsidRDefault="00000000">
      <w:pPr>
        <w:pStyle w:val="a0"/>
        <w:tabs>
          <w:tab w:val="num" w:pos="1550"/>
        </w:tabs>
        <w:spacing w:after="320"/>
        <w:ind w:left="1550"/>
        <w:rPr>
          <w:rFonts w:hint="eastAsia"/>
        </w:rPr>
      </w:pPr>
      <w:r>
        <w:rPr>
          <w:rFonts w:hint="eastAsia"/>
        </w:rPr>
        <w:t>《</w:t>
      </w:r>
      <w:r>
        <w:rPr>
          <w:rFonts w:hint="eastAsia"/>
        </w:rPr>
        <w:t>(</w:t>
      </w:r>
      <w:r>
        <w:rPr>
          <w:rFonts w:hint="eastAsia"/>
        </w:rPr>
        <w:t>工业</w:t>
      </w:r>
      <w:r>
        <w:rPr>
          <w:rFonts w:hint="eastAsia"/>
        </w:rPr>
        <w:t>)</w:t>
      </w:r>
      <w:r>
        <w:rPr>
          <w:rFonts w:hint="eastAsia"/>
        </w:rPr>
        <w:t>每周休息公约》，</w:t>
      </w:r>
      <w:r>
        <w:rPr>
          <w:rFonts w:hint="eastAsia"/>
        </w:rPr>
        <w:t>1921</w:t>
      </w:r>
      <w:r>
        <w:rPr>
          <w:rFonts w:hint="eastAsia"/>
        </w:rPr>
        <w:t>年</w:t>
      </w:r>
      <w:r>
        <w:rPr>
          <w:rFonts w:hint="eastAsia"/>
        </w:rPr>
        <w:t>(</w:t>
      </w:r>
      <w:r>
        <w:rPr>
          <w:rFonts w:hint="eastAsia"/>
        </w:rPr>
        <w:t>第</w:t>
      </w:r>
      <w:r>
        <w:rPr>
          <w:rFonts w:hint="eastAsia"/>
        </w:rPr>
        <w:t>14</w:t>
      </w:r>
      <w:r>
        <w:rPr>
          <w:rFonts w:hint="eastAsia"/>
        </w:rPr>
        <w:t>号</w:t>
      </w:r>
      <w:r>
        <w:rPr>
          <w:rFonts w:hint="eastAsia"/>
        </w:rPr>
        <w:t>)</w:t>
      </w:r>
      <w:r>
        <w:rPr>
          <w:rFonts w:hint="eastAsia"/>
        </w:rPr>
        <w:t>，于</w:t>
      </w:r>
      <w:r>
        <w:rPr>
          <w:rFonts w:hint="eastAsia"/>
        </w:rPr>
        <w:t>1971</w:t>
      </w:r>
      <w:r>
        <w:rPr>
          <w:rFonts w:hint="eastAsia"/>
        </w:rPr>
        <w:t>年</w:t>
      </w:r>
      <w:r>
        <w:rPr>
          <w:rFonts w:hint="eastAsia"/>
        </w:rPr>
        <w:t>5</w:t>
      </w:r>
      <w:r>
        <w:rPr>
          <w:rFonts w:hint="eastAsia"/>
        </w:rPr>
        <w:t>月</w:t>
      </w:r>
      <w:r>
        <w:rPr>
          <w:rFonts w:hint="eastAsia"/>
        </w:rPr>
        <w:t>27</w:t>
      </w:r>
      <w:r>
        <w:rPr>
          <w:rFonts w:hint="eastAsia"/>
        </w:rPr>
        <w:t>日批准。</w:t>
      </w:r>
    </w:p>
    <w:p w:rsidR="00000000" w:rsidRDefault="00000000">
      <w:pPr>
        <w:pStyle w:val="Heading4"/>
        <w:rPr>
          <w:rFonts w:hint="eastAsia"/>
        </w:rPr>
      </w:pPr>
      <w:r>
        <w:rPr>
          <w:rFonts w:hint="eastAsia"/>
        </w:rPr>
        <w:t>有关职业安全和职业健康的措施</w:t>
      </w:r>
    </w:p>
    <w:p w:rsidR="00000000" w:rsidRDefault="00000000">
      <w:pPr>
        <w:rPr>
          <w:rFonts w:hint="eastAsia"/>
        </w:rPr>
      </w:pPr>
      <w:r>
        <w:rPr>
          <w:rFonts w:hint="eastAsia"/>
        </w:rPr>
        <w:tab/>
        <w:t xml:space="preserve">28.  </w:t>
      </w:r>
      <w:r>
        <w:rPr>
          <w:rFonts w:hint="eastAsia"/>
        </w:rPr>
        <w:t>所有的有关法律都强调必须保护男女工人的职业安全和职业健康，必须由妇女自行选择最适合自己的工作，如果她们愿意，就不要阻止她们从事艰苦的或者危险的工作。</w:t>
      </w:r>
    </w:p>
    <w:p w:rsidR="00000000" w:rsidRDefault="00000000">
      <w:pPr>
        <w:spacing w:after="320"/>
        <w:rPr>
          <w:rFonts w:hint="eastAsia"/>
        </w:rPr>
      </w:pPr>
      <w:r>
        <w:rPr>
          <w:rFonts w:hint="eastAsia"/>
        </w:rPr>
        <w:tab/>
        <w:t xml:space="preserve">29.  </w:t>
      </w:r>
      <w:r>
        <w:rPr>
          <w:rFonts w:hint="eastAsia"/>
        </w:rPr>
        <w:t>关于保护所有工人的健康和安全问题，</w:t>
      </w:r>
      <w:r>
        <w:rPr>
          <w:rFonts w:hint="eastAsia"/>
        </w:rPr>
        <w:t>1976</w:t>
      </w:r>
      <w:r>
        <w:rPr>
          <w:rFonts w:hint="eastAsia"/>
        </w:rPr>
        <w:t>年第</w:t>
      </w:r>
      <w:r>
        <w:rPr>
          <w:rFonts w:hint="eastAsia"/>
        </w:rPr>
        <w:t>93</w:t>
      </w:r>
      <w:r>
        <w:rPr>
          <w:rFonts w:hint="eastAsia"/>
        </w:rPr>
        <w:t>号《劳动安全法》规定，公共部门和私营部门必须根据该法的规定采取一切必要措施，保护工人和在工作场所的其他人员免受职业性危险、工伤和疾病之害。《劳工法》的第四章涉及保护工人免受工伤。一些执行性法令，特别是</w:t>
      </w:r>
      <w:r>
        <w:rPr>
          <w:rFonts w:hint="eastAsia"/>
        </w:rPr>
        <w:t>1974</w:t>
      </w:r>
      <w:r>
        <w:rPr>
          <w:rFonts w:hint="eastAsia"/>
        </w:rPr>
        <w:t>年第</w:t>
      </w:r>
      <w:r>
        <w:rPr>
          <w:rFonts w:hint="eastAsia"/>
        </w:rPr>
        <w:t>8</w:t>
      </w:r>
      <w:r>
        <w:rPr>
          <w:rFonts w:hint="eastAsia"/>
        </w:rPr>
        <w:t>号法令，颁布了有关保护工人的职业安全和职业健康的规定，强调必须保护所有工人。</w:t>
      </w:r>
      <w:r>
        <w:rPr>
          <w:rFonts w:hint="eastAsia"/>
          <w:vertAlign w:val="superscript"/>
        </w:rPr>
        <w:t>7</w:t>
      </w:r>
    </w:p>
    <w:p w:rsidR="00000000" w:rsidRDefault="00000000">
      <w:pPr>
        <w:pStyle w:val="Heading3"/>
        <w:spacing w:after="240"/>
        <w:rPr>
          <w:rFonts w:hint="eastAsia"/>
        </w:rPr>
      </w:pPr>
      <w:r>
        <w:rPr>
          <w:rFonts w:hint="eastAsia"/>
        </w:rPr>
        <w:t>第八条</w:t>
      </w:r>
      <w:r>
        <w:rPr>
          <w:rFonts w:hint="eastAsia"/>
          <w:spacing w:val="0"/>
        </w:rPr>
        <w:t xml:space="preserve">  </w:t>
      </w:r>
      <w:r>
        <w:rPr>
          <w:rFonts w:hint="eastAsia"/>
        </w:rPr>
        <w:t>组织工会和工会联合会的权利</w:t>
      </w:r>
    </w:p>
    <w:p w:rsidR="00000000" w:rsidRDefault="00000000">
      <w:pPr>
        <w:rPr>
          <w:rFonts w:hint="eastAsia"/>
        </w:rPr>
      </w:pPr>
      <w:r>
        <w:rPr>
          <w:rFonts w:hint="eastAsia"/>
        </w:rPr>
        <w:tab/>
        <w:t xml:space="preserve">30.  </w:t>
      </w:r>
      <w:r>
        <w:rPr>
          <w:rFonts w:hint="eastAsia"/>
        </w:rPr>
        <w:t>根据《促进自由法》的第</w:t>
      </w:r>
      <w:r>
        <w:rPr>
          <w:rFonts w:hint="eastAsia"/>
        </w:rPr>
        <w:t>9</w:t>
      </w:r>
      <w:r>
        <w:rPr>
          <w:rFonts w:hint="eastAsia"/>
        </w:rPr>
        <w:t>条规定，公民可自由组织和参加工会、工会联合会、专业性协会、社会协会以及慈善组织，以便保护其利益和实现其合法目的。这些规定是符合《民众时代人权绿皮书》第</w:t>
      </w:r>
      <w:r>
        <w:rPr>
          <w:rFonts w:hint="eastAsia"/>
        </w:rPr>
        <w:t>6</w:t>
      </w:r>
      <w:r>
        <w:rPr>
          <w:rFonts w:hint="eastAsia"/>
        </w:rPr>
        <w:t>条原则的；这项原则指出：“利比亚社会的所有成员均可自由组织协会、工会以及工会联合会，以保护其专业利益。”</w:t>
      </w:r>
      <w:r>
        <w:rPr>
          <w:rFonts w:hint="eastAsia"/>
        </w:rPr>
        <w:t>1998</w:t>
      </w:r>
      <w:r>
        <w:rPr>
          <w:rFonts w:hint="eastAsia"/>
        </w:rPr>
        <w:t>年第</w:t>
      </w:r>
      <w:r>
        <w:rPr>
          <w:rFonts w:hint="eastAsia"/>
        </w:rPr>
        <w:t>23</w:t>
      </w:r>
      <w:r>
        <w:rPr>
          <w:rFonts w:hint="eastAsia"/>
        </w:rPr>
        <w:t>号《工会、联合会和专业协会法》确保所有专业团体毫无区别地享有为保护其成员的利益而建立工会、联合会和协会的权利。例如，根据</w:t>
      </w:r>
      <w:r>
        <w:rPr>
          <w:rFonts w:hint="eastAsia"/>
        </w:rPr>
        <w:t>1976</w:t>
      </w:r>
      <w:r>
        <w:rPr>
          <w:rFonts w:hint="eastAsia"/>
        </w:rPr>
        <w:t>年第</w:t>
      </w:r>
      <w:r>
        <w:rPr>
          <w:rFonts w:hint="eastAsia"/>
        </w:rPr>
        <w:t>98</w:t>
      </w:r>
      <w:r>
        <w:rPr>
          <w:rFonts w:hint="eastAsia"/>
        </w:rPr>
        <w:t>号法令，建立了公务员工会，该工会致力于提高公共管理的效率，服务公共利益以及通过提供帮助和服务保护公务员及其家庭的健康和物质需要。工会帮助其成员提出申诉，并且通过与有关机构合作，研究通过适当方法帮助公务员解决工作中的问题。公务员工会还致力于在信任、互相尊重和合作的基础上加强同事之间的友好关系。同样，有关建立医务人员工会的</w:t>
      </w:r>
      <w:r>
        <w:rPr>
          <w:rFonts w:hint="eastAsia"/>
        </w:rPr>
        <w:t>1973</w:t>
      </w:r>
      <w:r>
        <w:rPr>
          <w:rFonts w:hint="eastAsia"/>
        </w:rPr>
        <w:t>年第</w:t>
      </w:r>
      <w:r>
        <w:rPr>
          <w:rFonts w:hint="eastAsia"/>
        </w:rPr>
        <w:t>107</w:t>
      </w:r>
      <w:r>
        <w:rPr>
          <w:rFonts w:hint="eastAsia"/>
        </w:rPr>
        <w:t>号法令宣布，该工会致力于在其成员中倡导团结的精神，提高专业水平，促进同事之间的合作，并且参与全国健康和医务政策的规划。</w:t>
      </w:r>
    </w:p>
    <w:p w:rsidR="00000000" w:rsidRDefault="00000000">
      <w:pPr>
        <w:rPr>
          <w:rFonts w:hint="eastAsia"/>
        </w:rPr>
      </w:pPr>
      <w:r>
        <w:rPr>
          <w:rFonts w:hint="eastAsia"/>
        </w:rPr>
        <w:tab/>
        <w:t>31.  2002</w:t>
      </w:r>
      <w:r>
        <w:rPr>
          <w:rFonts w:hint="eastAsia"/>
        </w:rPr>
        <w:t>年第</w:t>
      </w:r>
      <w:r>
        <w:rPr>
          <w:rFonts w:hint="eastAsia"/>
        </w:rPr>
        <w:t>19</w:t>
      </w:r>
      <w:r>
        <w:rPr>
          <w:rFonts w:hint="eastAsia"/>
        </w:rPr>
        <w:t>号《私人协会重新组织法》及其执行性条例规定，凡是希望推动民间社会、改进其服务以及加强其机构的男女公民均有权根据这项法令的规定组织协会。不得阻止妇女建立或者参加这种协会。实际上，根据</w:t>
      </w:r>
      <w:r>
        <w:rPr>
          <w:rFonts w:hint="eastAsia"/>
        </w:rPr>
        <w:t>1998</w:t>
      </w:r>
      <w:r>
        <w:rPr>
          <w:rFonts w:hint="eastAsia"/>
        </w:rPr>
        <w:t>年第</w:t>
      </w:r>
      <w:r>
        <w:rPr>
          <w:rFonts w:hint="eastAsia"/>
        </w:rPr>
        <w:t>23</w:t>
      </w:r>
      <w:r>
        <w:rPr>
          <w:rFonts w:hint="eastAsia"/>
        </w:rPr>
        <w:t>号《工会、联合会和专业协会法》的规定，妇女完全有权参加工会或者联合会，因为立法部门使用的是“雇员”这一总括性词语。</w:t>
      </w:r>
    </w:p>
    <w:p w:rsidR="00000000" w:rsidRDefault="00000000">
      <w:pPr>
        <w:rPr>
          <w:rFonts w:hint="eastAsia"/>
        </w:rPr>
      </w:pPr>
      <w:r>
        <w:rPr>
          <w:rFonts w:hint="eastAsia"/>
        </w:rPr>
        <w:tab/>
        <w:t xml:space="preserve">32.  </w:t>
      </w:r>
      <w:r>
        <w:rPr>
          <w:rFonts w:hint="eastAsia"/>
        </w:rPr>
        <w:t>该国《</w:t>
      </w:r>
      <w:r>
        <w:rPr>
          <w:rFonts w:hint="eastAsia"/>
        </w:rPr>
        <w:t>1999</w:t>
      </w:r>
      <w:r>
        <w:rPr>
          <w:rFonts w:hint="eastAsia"/>
        </w:rPr>
        <w:t>年人权报告》表明，自从</w:t>
      </w:r>
      <w:r>
        <w:rPr>
          <w:rFonts w:hint="eastAsia"/>
        </w:rPr>
        <w:t>1954</w:t>
      </w:r>
      <w:r>
        <w:rPr>
          <w:rFonts w:hint="eastAsia"/>
        </w:rPr>
        <w:t>年该国第一个妇女组织成立以来，妇女就一直表明对于参加民间社会的承诺。</w:t>
      </w:r>
      <w:r>
        <w:rPr>
          <w:rFonts w:hint="eastAsia"/>
        </w:rPr>
        <w:t>2001</w:t>
      </w:r>
      <w:r>
        <w:rPr>
          <w:rFonts w:hint="eastAsia"/>
        </w:rPr>
        <w:t>年第</w:t>
      </w:r>
      <w:r>
        <w:rPr>
          <w:rFonts w:hint="eastAsia"/>
        </w:rPr>
        <w:t>20</w:t>
      </w:r>
      <w:r>
        <w:rPr>
          <w:rFonts w:hint="eastAsia"/>
        </w:rPr>
        <w:t>号《妇女协会章程法》规定，妇女有权组织妇女协会，以便在社会和文化方面提高妇女及其家庭的地位。</w:t>
      </w:r>
    </w:p>
    <w:p w:rsidR="00000000" w:rsidRDefault="00000000">
      <w:pPr>
        <w:spacing w:after="320"/>
        <w:rPr>
          <w:rFonts w:hint="eastAsia"/>
        </w:rPr>
      </w:pPr>
      <w:r>
        <w:rPr>
          <w:rFonts w:hint="eastAsia"/>
        </w:rPr>
        <w:tab/>
        <w:t xml:space="preserve">33.  </w:t>
      </w:r>
      <w:r>
        <w:rPr>
          <w:rFonts w:hint="eastAsia"/>
        </w:rPr>
        <w:t>国家科学研究中心所提供的</w:t>
      </w:r>
      <w:r>
        <w:rPr>
          <w:rFonts w:hint="eastAsia"/>
        </w:rPr>
        <w:t>1995</w:t>
      </w:r>
      <w:r>
        <w:rPr>
          <w:rFonts w:hint="eastAsia"/>
        </w:rPr>
        <w:t>年统计数字指出，全国共有</w:t>
      </w:r>
      <w:r>
        <w:rPr>
          <w:rFonts w:hint="eastAsia"/>
        </w:rPr>
        <w:t>57</w:t>
      </w:r>
      <w:r>
        <w:rPr>
          <w:rFonts w:hint="eastAsia"/>
        </w:rPr>
        <w:t>个拥有妇女会员的科研协会和专业协会。其中一些协会由妇女管理和运作。</w:t>
      </w:r>
    </w:p>
    <w:p w:rsidR="00000000" w:rsidRDefault="00000000">
      <w:pPr>
        <w:pStyle w:val="Heading3"/>
        <w:spacing w:after="240"/>
        <w:rPr>
          <w:rFonts w:hint="eastAsia"/>
        </w:rPr>
      </w:pPr>
      <w:r>
        <w:rPr>
          <w:rFonts w:hint="eastAsia"/>
        </w:rPr>
        <w:t>第九条</w:t>
      </w:r>
      <w:r>
        <w:rPr>
          <w:rFonts w:hint="eastAsia"/>
          <w:spacing w:val="0"/>
        </w:rPr>
        <w:t xml:space="preserve">  </w:t>
      </w:r>
      <w:r>
        <w:rPr>
          <w:rFonts w:hint="eastAsia"/>
        </w:rPr>
        <w:t>获得社会保障的权利</w:t>
      </w:r>
    </w:p>
    <w:p w:rsidR="00000000" w:rsidRDefault="00000000">
      <w:pPr>
        <w:rPr>
          <w:rFonts w:hint="eastAsia"/>
        </w:rPr>
      </w:pPr>
      <w:r>
        <w:rPr>
          <w:rFonts w:hint="eastAsia"/>
        </w:rPr>
        <w:tab/>
        <w:t xml:space="preserve">34.  </w:t>
      </w:r>
      <w:r>
        <w:rPr>
          <w:rFonts w:hint="eastAsia"/>
        </w:rPr>
        <w:t>利比亚法律保障所有公民都能根据</w:t>
      </w:r>
      <w:r>
        <w:rPr>
          <w:rFonts w:hint="eastAsia"/>
        </w:rPr>
        <w:t>1991</w:t>
      </w:r>
      <w:r>
        <w:rPr>
          <w:rFonts w:hint="eastAsia"/>
        </w:rPr>
        <w:t>年第</w:t>
      </w:r>
      <w:r>
        <w:rPr>
          <w:rFonts w:hint="eastAsia"/>
        </w:rPr>
        <w:t>24</w:t>
      </w:r>
      <w:r>
        <w:rPr>
          <w:rFonts w:hint="eastAsia"/>
        </w:rPr>
        <w:t>号《促进自由法》获得社会保障，在这项法令中载有以下的规定：“所有公民均有权获得社会福利和社会保险。社会照料所有无依无靠的人，保护穷人、老人、残疾人以及孤儿，保证让那些由于自己不能控制的原因而丧失劳动能力的人能过上体面生活。”《民众时代人权绿皮书》第</w:t>
      </w:r>
      <w:r>
        <w:rPr>
          <w:rFonts w:hint="eastAsia"/>
        </w:rPr>
        <w:t>14</w:t>
      </w:r>
      <w:r>
        <w:rPr>
          <w:rFonts w:hint="eastAsia"/>
        </w:rPr>
        <w:t>条原则规定，利比亚民众国社会供养所有丧失生计的人。</w:t>
      </w:r>
    </w:p>
    <w:p w:rsidR="00000000" w:rsidRDefault="00000000">
      <w:pPr>
        <w:rPr>
          <w:rFonts w:hint="eastAsia"/>
        </w:rPr>
      </w:pPr>
      <w:r>
        <w:rPr>
          <w:rFonts w:hint="eastAsia"/>
        </w:rPr>
        <w:tab/>
        <w:t xml:space="preserve">35.  </w:t>
      </w:r>
      <w:r>
        <w:rPr>
          <w:rFonts w:hint="eastAsia"/>
        </w:rPr>
        <w:t>获得社会保障的权利是由两项关键立法保障的：</w:t>
      </w:r>
      <w:r>
        <w:rPr>
          <w:rFonts w:hint="eastAsia"/>
        </w:rPr>
        <w:t>1980</w:t>
      </w:r>
      <w:r>
        <w:rPr>
          <w:rFonts w:hint="eastAsia"/>
        </w:rPr>
        <w:t>年第</w:t>
      </w:r>
      <w:r>
        <w:rPr>
          <w:rFonts w:hint="eastAsia"/>
        </w:rPr>
        <w:t>13</w:t>
      </w:r>
      <w:r>
        <w:rPr>
          <w:rFonts w:hint="eastAsia"/>
        </w:rPr>
        <w:t>号《社会保障法》</w:t>
      </w:r>
      <w:r>
        <w:rPr>
          <w:rFonts w:hint="eastAsia"/>
        </w:rPr>
        <w:t>(</w:t>
      </w:r>
      <w:r>
        <w:rPr>
          <w:rFonts w:hint="eastAsia"/>
        </w:rPr>
        <w:t>以及同其配套的全国人民大会</w:t>
      </w:r>
      <w:r>
        <w:rPr>
          <w:rFonts w:hint="eastAsia"/>
        </w:rPr>
        <w:t>1981</w:t>
      </w:r>
      <w:r>
        <w:rPr>
          <w:rFonts w:hint="eastAsia"/>
        </w:rPr>
        <w:t>年第</w:t>
      </w:r>
      <w:r>
        <w:rPr>
          <w:rFonts w:hint="eastAsia"/>
        </w:rPr>
        <w:t>669</w:t>
      </w:r>
      <w:r>
        <w:rPr>
          <w:rFonts w:hint="eastAsia"/>
        </w:rPr>
        <w:t>号法令所颁布的《社会保障和养恤金条例》</w:t>
      </w:r>
      <w:r>
        <w:rPr>
          <w:rFonts w:hint="eastAsia"/>
        </w:rPr>
        <w:t>)</w:t>
      </w:r>
      <w:r>
        <w:rPr>
          <w:rFonts w:hint="eastAsia"/>
        </w:rPr>
        <w:t>以及</w:t>
      </w:r>
      <w:r>
        <w:rPr>
          <w:rFonts w:hint="eastAsia"/>
        </w:rPr>
        <w:t>1998</w:t>
      </w:r>
      <w:r>
        <w:rPr>
          <w:rFonts w:hint="eastAsia"/>
        </w:rPr>
        <w:t>年第</w:t>
      </w:r>
      <w:r>
        <w:rPr>
          <w:rFonts w:hint="eastAsia"/>
        </w:rPr>
        <w:t>20</w:t>
      </w:r>
      <w:r>
        <w:rPr>
          <w:rFonts w:hint="eastAsia"/>
        </w:rPr>
        <w:t>号《社会保障基金法》。在此还应提到</w:t>
      </w:r>
      <w:r>
        <w:rPr>
          <w:rFonts w:hint="eastAsia"/>
        </w:rPr>
        <w:t>1987</w:t>
      </w:r>
      <w:r>
        <w:rPr>
          <w:rFonts w:hint="eastAsia"/>
        </w:rPr>
        <w:t>年第</w:t>
      </w:r>
      <w:r>
        <w:rPr>
          <w:rFonts w:hint="eastAsia"/>
        </w:rPr>
        <w:t>5</w:t>
      </w:r>
      <w:r>
        <w:rPr>
          <w:rFonts w:hint="eastAsia"/>
        </w:rPr>
        <w:t>号《残疾人法》。</w:t>
      </w:r>
    </w:p>
    <w:p w:rsidR="00000000" w:rsidRDefault="00000000">
      <w:pPr>
        <w:rPr>
          <w:rFonts w:hint="eastAsia"/>
        </w:rPr>
      </w:pPr>
      <w:r>
        <w:rPr>
          <w:rFonts w:hint="eastAsia"/>
        </w:rPr>
        <w:tab/>
        <w:t>36.  1970</w:t>
      </w:r>
      <w:r>
        <w:rPr>
          <w:rFonts w:hint="eastAsia"/>
        </w:rPr>
        <w:t>年第</w:t>
      </w:r>
      <w:r>
        <w:rPr>
          <w:rFonts w:hint="eastAsia"/>
        </w:rPr>
        <w:t>58</w:t>
      </w:r>
      <w:r>
        <w:rPr>
          <w:rFonts w:hint="eastAsia"/>
        </w:rPr>
        <w:t>号法令规定工人有权获得社会保障以及所有其他用现金或者实物发放的福利，并且禁止没收社会保障缴款</w:t>
      </w:r>
      <w:r>
        <w:rPr>
          <w:rFonts w:hint="eastAsia"/>
        </w:rPr>
        <w:t>(</w:t>
      </w:r>
      <w:r>
        <w:rPr>
          <w:rFonts w:hint="eastAsia"/>
        </w:rPr>
        <w:t>第</w:t>
      </w:r>
      <w:r>
        <w:rPr>
          <w:rFonts w:hint="eastAsia"/>
        </w:rPr>
        <w:t>34</w:t>
      </w:r>
      <w:r>
        <w:rPr>
          <w:rFonts w:hint="eastAsia"/>
        </w:rPr>
        <w:t>条</w:t>
      </w:r>
      <w:r>
        <w:rPr>
          <w:rFonts w:hint="eastAsia"/>
        </w:rPr>
        <w:t>)</w:t>
      </w:r>
      <w:r>
        <w:rPr>
          <w:rFonts w:hint="eastAsia"/>
        </w:rPr>
        <w:t>。有关修订《劳工法》和《社会保障法》某些条款的</w:t>
      </w:r>
      <w:r>
        <w:rPr>
          <w:rFonts w:hint="eastAsia"/>
        </w:rPr>
        <w:t>1971</w:t>
      </w:r>
      <w:r>
        <w:rPr>
          <w:rFonts w:hint="eastAsia"/>
        </w:rPr>
        <w:t>年第</w:t>
      </w:r>
      <w:r>
        <w:rPr>
          <w:rFonts w:hint="eastAsia"/>
        </w:rPr>
        <w:t>22</w:t>
      </w:r>
      <w:r>
        <w:rPr>
          <w:rFonts w:hint="eastAsia"/>
        </w:rPr>
        <w:t>号法令就工人获得社会保障权利问题制定了详细的规定。</w:t>
      </w:r>
    </w:p>
    <w:p w:rsidR="00000000" w:rsidRDefault="00000000">
      <w:pPr>
        <w:rPr>
          <w:rFonts w:hint="eastAsia"/>
        </w:rPr>
      </w:pPr>
      <w:r>
        <w:rPr>
          <w:rFonts w:hint="eastAsia"/>
        </w:rPr>
        <w:tab/>
        <w:t xml:space="preserve">37.  </w:t>
      </w:r>
      <w:r>
        <w:rPr>
          <w:rFonts w:hint="eastAsia"/>
        </w:rPr>
        <w:t>社会保护并不限于政府部门，而且也适用于私营部门，因为在公共部门或者私营部门的所有工人和公务员都有权参加社会保障计划。</w:t>
      </w:r>
    </w:p>
    <w:p w:rsidR="00000000" w:rsidRDefault="00000000">
      <w:pPr>
        <w:rPr>
          <w:rFonts w:hint="eastAsia"/>
        </w:rPr>
      </w:pPr>
      <w:r>
        <w:rPr>
          <w:rFonts w:hint="eastAsia"/>
        </w:rPr>
        <w:tab/>
        <w:t xml:space="preserve">38.  </w:t>
      </w:r>
      <w:r>
        <w:rPr>
          <w:rFonts w:hint="eastAsia"/>
        </w:rPr>
        <w:t>根据上述</w:t>
      </w:r>
      <w:r>
        <w:rPr>
          <w:rFonts w:hint="eastAsia"/>
        </w:rPr>
        <w:t>1980</w:t>
      </w:r>
      <w:r>
        <w:rPr>
          <w:rFonts w:hint="eastAsia"/>
        </w:rPr>
        <w:t>年第</w:t>
      </w:r>
      <w:r>
        <w:rPr>
          <w:rFonts w:hint="eastAsia"/>
        </w:rPr>
        <w:t>13</w:t>
      </w:r>
      <w:r>
        <w:rPr>
          <w:rFonts w:hint="eastAsia"/>
        </w:rPr>
        <w:t>号法令第</w:t>
      </w:r>
      <w:r>
        <w:rPr>
          <w:rFonts w:hint="eastAsia"/>
        </w:rPr>
        <w:t>1</w:t>
      </w:r>
      <w:r>
        <w:rPr>
          <w:rFonts w:hint="eastAsia"/>
        </w:rPr>
        <w:t>条的规定，工人和公务员有权享受医疗服务，如果发生工伤、职业病或者部分或者全部丧失劳动能力，有权获得足够的赔偿，以及领取养恤金。利比亚立法特别关注儿童、妇女、残疾人以及老年人等社会弱势群体，并且已经设立特别机构以满足他们的物质和精神需要，其中包括保护其身体健康和精神健康。国家社会保障基金监督、管理以及监测这些机构，因为这些机构属于国家特别关注的事项。</w:t>
      </w:r>
    </w:p>
    <w:p w:rsidR="00000000" w:rsidRDefault="00000000">
      <w:pPr>
        <w:ind w:firstLine="510"/>
        <w:rPr>
          <w:rFonts w:hint="eastAsia"/>
        </w:rPr>
      </w:pPr>
      <w:r>
        <w:rPr>
          <w:rFonts w:hint="eastAsia"/>
        </w:rPr>
        <w:t>39.  1985</w:t>
      </w:r>
      <w:r>
        <w:rPr>
          <w:rFonts w:hint="eastAsia"/>
        </w:rPr>
        <w:t>年第</w:t>
      </w:r>
      <w:r>
        <w:rPr>
          <w:rFonts w:hint="eastAsia"/>
        </w:rPr>
        <w:t>16</w:t>
      </w:r>
      <w:r>
        <w:rPr>
          <w:rFonts w:hint="eastAsia"/>
        </w:rPr>
        <w:t>号《基本生活费法》第</w:t>
      </w:r>
      <w:r>
        <w:rPr>
          <w:rFonts w:hint="eastAsia"/>
        </w:rPr>
        <w:t>12</w:t>
      </w:r>
      <w:r>
        <w:rPr>
          <w:rFonts w:hint="eastAsia"/>
        </w:rPr>
        <w:t>条规定在何种情况下部分或者全部丧失生计的人有权领取基本生活费。受益人包括：离婚妇女、生病户主的家庭、已经入院超过</w:t>
      </w:r>
      <w:r>
        <w:rPr>
          <w:rFonts w:hint="eastAsia"/>
        </w:rPr>
        <w:t>2</w:t>
      </w:r>
      <w:r>
        <w:rPr>
          <w:rFonts w:hint="eastAsia"/>
        </w:rPr>
        <w:t>个月的病人、归国侨民、户主已被关押、拘留或者服刑超过</w:t>
      </w:r>
      <w:r>
        <w:rPr>
          <w:rFonts w:hint="eastAsia"/>
        </w:rPr>
        <w:t>2</w:t>
      </w:r>
      <w:r>
        <w:rPr>
          <w:rFonts w:hint="eastAsia"/>
        </w:rPr>
        <w:t>个月的家庭、以及失踪人士或者战俘的家庭。这项法律保障刑满释放的人在找到工作之前领取基本生活费。这项法律还规定不适合工作的人以及没有家长抚养的未成年人拥有同等权利。</w:t>
      </w:r>
    </w:p>
    <w:p w:rsidR="00000000" w:rsidRDefault="00000000">
      <w:pPr>
        <w:ind w:firstLine="510"/>
        <w:rPr>
          <w:rFonts w:hint="eastAsia"/>
        </w:rPr>
      </w:pPr>
      <w:r>
        <w:rPr>
          <w:rFonts w:hint="eastAsia"/>
        </w:rPr>
        <w:t xml:space="preserve">40.  </w:t>
      </w:r>
      <w:r>
        <w:rPr>
          <w:rFonts w:hint="eastAsia"/>
        </w:rPr>
        <w:t>从以上事实可以看出，利比亚的法律规定，在疾病、工伤或者失业的情况下人人都有权领取现金补助，以免其家庭陷入绝境。在户主遭到监禁、生病或者死亡的情况下，其家庭有权领取生活费，直到渡过难关为止。</w:t>
      </w:r>
    </w:p>
    <w:p w:rsidR="00000000" w:rsidRDefault="00000000">
      <w:pPr>
        <w:ind w:firstLine="510"/>
        <w:rPr>
          <w:rFonts w:hint="eastAsia"/>
        </w:rPr>
      </w:pPr>
      <w:r>
        <w:rPr>
          <w:rFonts w:hint="eastAsia"/>
        </w:rPr>
        <w:t xml:space="preserve">41.  </w:t>
      </w:r>
      <w:r>
        <w:rPr>
          <w:rFonts w:hint="eastAsia"/>
        </w:rPr>
        <w:t>法律规定所有公民</w:t>
      </w:r>
      <w:r>
        <w:rPr>
          <w:rFonts w:hint="eastAsia"/>
        </w:rPr>
        <w:t>(</w:t>
      </w:r>
      <w:r>
        <w:rPr>
          <w:rFonts w:hint="eastAsia"/>
        </w:rPr>
        <w:t>无论男女</w:t>
      </w:r>
      <w:r>
        <w:rPr>
          <w:rFonts w:hint="eastAsia"/>
        </w:rPr>
        <w:t>)</w:t>
      </w:r>
      <w:r>
        <w:rPr>
          <w:rFonts w:hint="eastAsia"/>
        </w:rPr>
        <w:t>均有权领取现金补贴和食物补贴。这种补贴可以采取社会福利的形式，因为从原则上来说，社会必须照顾那些无家可归、无人供养或者因为个人或者社会的原因而无法照顾自己的人。这种补贴也可采取高质量的医疗服务的形式，其目的是要保障职业安全、为那些遭受工伤或者患有职业病的人提供医疗，为残疾人提供治疗和康复服务以及为收容机构中的人提供医疗服务。</w:t>
      </w:r>
    </w:p>
    <w:p w:rsidR="00000000" w:rsidRDefault="00000000">
      <w:pPr>
        <w:ind w:firstLine="510"/>
        <w:rPr>
          <w:rFonts w:hint="eastAsia"/>
        </w:rPr>
      </w:pPr>
      <w:r>
        <w:rPr>
          <w:rFonts w:hint="eastAsia"/>
        </w:rPr>
        <w:t xml:space="preserve">42.  </w:t>
      </w:r>
      <w:r>
        <w:rPr>
          <w:rFonts w:hint="eastAsia"/>
        </w:rPr>
        <w:t>为了强调社会福利对于改善公民的生活和提高他们生活水平的重要性，根据</w:t>
      </w:r>
      <w:r>
        <w:rPr>
          <w:rFonts w:hint="eastAsia"/>
        </w:rPr>
        <w:t>1998</w:t>
      </w:r>
      <w:r>
        <w:rPr>
          <w:rFonts w:hint="eastAsia"/>
        </w:rPr>
        <w:t>年第</w:t>
      </w:r>
      <w:r>
        <w:rPr>
          <w:rFonts w:hint="eastAsia"/>
        </w:rPr>
        <w:t>20</w:t>
      </w:r>
      <w:r>
        <w:rPr>
          <w:rFonts w:hint="eastAsia"/>
        </w:rPr>
        <w:t>号法令设立了社会保障基金，以便执行已经通过的政策。</w:t>
      </w:r>
    </w:p>
    <w:p w:rsidR="00000000" w:rsidRDefault="00000000">
      <w:pPr>
        <w:ind w:firstLine="510"/>
        <w:rPr>
          <w:rFonts w:hint="eastAsia"/>
        </w:rPr>
      </w:pPr>
      <w:r>
        <w:rPr>
          <w:rFonts w:hint="eastAsia"/>
        </w:rPr>
        <w:t xml:space="preserve">43.  </w:t>
      </w:r>
      <w:r>
        <w:rPr>
          <w:rFonts w:hint="eastAsia"/>
        </w:rPr>
        <w:t>值得注意的是，阿拉伯利比亚民众国接受它已经批准的国际文献的约束，这些文献包括：</w:t>
      </w:r>
    </w:p>
    <w:p w:rsidR="00000000" w:rsidRDefault="00000000">
      <w:pPr>
        <w:pStyle w:val="a0"/>
        <w:tabs>
          <w:tab w:val="num" w:pos="1530"/>
        </w:tabs>
        <w:ind w:left="1530"/>
        <w:rPr>
          <w:rFonts w:hint="eastAsia"/>
        </w:rPr>
      </w:pPr>
      <w:r>
        <w:rPr>
          <w:rFonts w:hint="eastAsia"/>
        </w:rPr>
        <w:t>《社会保障</w:t>
      </w:r>
      <w:r>
        <w:rPr>
          <w:rFonts w:hint="eastAsia"/>
        </w:rPr>
        <w:t>(</w:t>
      </w:r>
      <w:r>
        <w:rPr>
          <w:rFonts w:hint="eastAsia"/>
        </w:rPr>
        <w:t>最低标准</w:t>
      </w:r>
      <w:r>
        <w:rPr>
          <w:rFonts w:hint="eastAsia"/>
        </w:rPr>
        <w:t>)</w:t>
      </w:r>
      <w:r>
        <w:rPr>
          <w:rFonts w:hint="eastAsia"/>
        </w:rPr>
        <w:t>公约》，</w:t>
      </w:r>
      <w:r>
        <w:rPr>
          <w:rFonts w:hint="eastAsia"/>
        </w:rPr>
        <w:t>1952</w:t>
      </w:r>
      <w:r>
        <w:rPr>
          <w:rFonts w:hint="eastAsia"/>
        </w:rPr>
        <w:t>年</w:t>
      </w:r>
      <w:r>
        <w:rPr>
          <w:rFonts w:hint="eastAsia"/>
        </w:rPr>
        <w:t>(</w:t>
      </w:r>
      <w:r>
        <w:rPr>
          <w:rFonts w:hint="eastAsia"/>
        </w:rPr>
        <w:t>第</w:t>
      </w:r>
      <w:r>
        <w:rPr>
          <w:rFonts w:hint="eastAsia"/>
        </w:rPr>
        <w:t>102</w:t>
      </w:r>
      <w:r>
        <w:rPr>
          <w:rFonts w:hint="eastAsia"/>
        </w:rPr>
        <w:t>号</w:t>
      </w:r>
      <w:r>
        <w:rPr>
          <w:rFonts w:hint="eastAsia"/>
        </w:rPr>
        <w:t>)</w:t>
      </w:r>
      <w:r>
        <w:rPr>
          <w:rFonts w:hint="eastAsia"/>
        </w:rPr>
        <w:t>，于</w:t>
      </w:r>
      <w:r>
        <w:rPr>
          <w:rFonts w:hint="eastAsia"/>
        </w:rPr>
        <w:t>1971</w:t>
      </w:r>
      <w:r>
        <w:rPr>
          <w:rFonts w:hint="eastAsia"/>
        </w:rPr>
        <w:t>年</w:t>
      </w:r>
      <w:r>
        <w:rPr>
          <w:rFonts w:hint="eastAsia"/>
        </w:rPr>
        <w:t>5</w:t>
      </w:r>
      <w:r>
        <w:rPr>
          <w:rFonts w:hint="eastAsia"/>
        </w:rPr>
        <w:t>月</w:t>
      </w:r>
      <w:r>
        <w:rPr>
          <w:rFonts w:hint="eastAsia"/>
        </w:rPr>
        <w:t>19</w:t>
      </w:r>
      <w:r>
        <w:rPr>
          <w:rFonts w:hint="eastAsia"/>
        </w:rPr>
        <w:t>日批准；</w:t>
      </w:r>
    </w:p>
    <w:p w:rsidR="00000000" w:rsidRDefault="00000000">
      <w:pPr>
        <w:pStyle w:val="a0"/>
        <w:tabs>
          <w:tab w:val="num" w:pos="1530"/>
        </w:tabs>
        <w:ind w:left="1530"/>
        <w:rPr>
          <w:rFonts w:hint="eastAsia"/>
        </w:rPr>
      </w:pPr>
      <w:r>
        <w:rPr>
          <w:rFonts w:hint="eastAsia"/>
        </w:rPr>
        <w:t>《工伤津贴公约》，</w:t>
      </w:r>
      <w:r>
        <w:rPr>
          <w:rFonts w:hint="eastAsia"/>
        </w:rPr>
        <w:t>1964</w:t>
      </w:r>
      <w:r>
        <w:rPr>
          <w:rFonts w:hint="eastAsia"/>
        </w:rPr>
        <w:t>年</w:t>
      </w:r>
      <w:r>
        <w:rPr>
          <w:rFonts w:hint="eastAsia"/>
        </w:rPr>
        <w:t>(</w:t>
      </w:r>
      <w:r>
        <w:rPr>
          <w:rFonts w:hint="eastAsia"/>
        </w:rPr>
        <w:t>第</w:t>
      </w:r>
      <w:r>
        <w:rPr>
          <w:rFonts w:hint="eastAsia"/>
        </w:rPr>
        <w:t>121</w:t>
      </w:r>
      <w:r>
        <w:rPr>
          <w:rFonts w:hint="eastAsia"/>
        </w:rPr>
        <w:t>号</w:t>
      </w:r>
      <w:r>
        <w:rPr>
          <w:rFonts w:hint="eastAsia"/>
        </w:rPr>
        <w:t>)</w:t>
      </w:r>
      <w:r>
        <w:rPr>
          <w:rFonts w:hint="eastAsia"/>
        </w:rPr>
        <w:t>，于</w:t>
      </w:r>
      <w:r>
        <w:rPr>
          <w:rFonts w:hint="eastAsia"/>
        </w:rPr>
        <w:t>1971</w:t>
      </w:r>
      <w:r>
        <w:rPr>
          <w:rFonts w:hint="eastAsia"/>
        </w:rPr>
        <w:t>年</w:t>
      </w:r>
      <w:r>
        <w:rPr>
          <w:rFonts w:hint="eastAsia"/>
        </w:rPr>
        <w:t>5</w:t>
      </w:r>
      <w:r>
        <w:rPr>
          <w:rFonts w:hint="eastAsia"/>
        </w:rPr>
        <w:t>月</w:t>
      </w:r>
      <w:r>
        <w:rPr>
          <w:rFonts w:hint="eastAsia"/>
        </w:rPr>
        <w:t>25</w:t>
      </w:r>
      <w:r>
        <w:rPr>
          <w:rFonts w:hint="eastAsia"/>
        </w:rPr>
        <w:t>日批准；</w:t>
      </w:r>
    </w:p>
    <w:p w:rsidR="00000000" w:rsidRDefault="00000000">
      <w:pPr>
        <w:pStyle w:val="a0"/>
        <w:tabs>
          <w:tab w:val="num" w:pos="1530"/>
        </w:tabs>
        <w:ind w:left="1530"/>
        <w:rPr>
          <w:rFonts w:hint="eastAsia"/>
        </w:rPr>
      </w:pPr>
      <w:r>
        <w:rPr>
          <w:rFonts w:hint="eastAsia"/>
        </w:rPr>
        <w:t>《残疾、老年和遗属津贴公约》，</w:t>
      </w:r>
      <w:r>
        <w:rPr>
          <w:rFonts w:hint="eastAsia"/>
        </w:rPr>
        <w:t>1967</w:t>
      </w:r>
      <w:r>
        <w:rPr>
          <w:rFonts w:hint="eastAsia"/>
        </w:rPr>
        <w:t>年</w:t>
      </w:r>
      <w:r>
        <w:rPr>
          <w:rFonts w:hint="eastAsia"/>
        </w:rPr>
        <w:t>(</w:t>
      </w:r>
      <w:r>
        <w:rPr>
          <w:rFonts w:hint="eastAsia"/>
        </w:rPr>
        <w:t>第</w:t>
      </w:r>
      <w:r>
        <w:rPr>
          <w:rFonts w:hint="eastAsia"/>
        </w:rPr>
        <w:t>128</w:t>
      </w:r>
      <w:r>
        <w:rPr>
          <w:rFonts w:hint="eastAsia"/>
        </w:rPr>
        <w:t>号</w:t>
      </w:r>
      <w:r>
        <w:rPr>
          <w:rFonts w:hint="eastAsia"/>
        </w:rPr>
        <w:t>)</w:t>
      </w:r>
      <w:r>
        <w:rPr>
          <w:rFonts w:hint="eastAsia"/>
        </w:rPr>
        <w:t>，于</w:t>
      </w:r>
      <w:r>
        <w:rPr>
          <w:rFonts w:hint="eastAsia"/>
        </w:rPr>
        <w:t>1971</w:t>
      </w:r>
      <w:r>
        <w:rPr>
          <w:rFonts w:hint="eastAsia"/>
        </w:rPr>
        <w:t>年</w:t>
      </w:r>
      <w:r>
        <w:rPr>
          <w:rFonts w:hint="eastAsia"/>
        </w:rPr>
        <w:t>6</w:t>
      </w:r>
      <w:r>
        <w:rPr>
          <w:rFonts w:hint="eastAsia"/>
        </w:rPr>
        <w:t>月</w:t>
      </w:r>
      <w:r>
        <w:rPr>
          <w:rFonts w:hint="eastAsia"/>
        </w:rPr>
        <w:t>19</w:t>
      </w:r>
      <w:r>
        <w:rPr>
          <w:rFonts w:hint="eastAsia"/>
        </w:rPr>
        <w:t>日批准；以及</w:t>
      </w:r>
    </w:p>
    <w:p w:rsidR="00000000" w:rsidRDefault="00000000">
      <w:pPr>
        <w:pStyle w:val="a0"/>
        <w:tabs>
          <w:tab w:val="num" w:pos="1530"/>
        </w:tabs>
        <w:ind w:left="1530"/>
        <w:rPr>
          <w:rFonts w:hint="eastAsia"/>
        </w:rPr>
      </w:pPr>
      <w:r>
        <w:rPr>
          <w:rFonts w:hint="eastAsia"/>
        </w:rPr>
        <w:t>《医疗和疾病津贴公约》，</w:t>
      </w:r>
      <w:r>
        <w:rPr>
          <w:rFonts w:hint="eastAsia"/>
        </w:rPr>
        <w:t>1969</w:t>
      </w:r>
      <w:r>
        <w:rPr>
          <w:rFonts w:hint="eastAsia"/>
        </w:rPr>
        <w:t>年</w:t>
      </w:r>
      <w:r>
        <w:rPr>
          <w:rFonts w:hint="eastAsia"/>
        </w:rPr>
        <w:t>(</w:t>
      </w:r>
      <w:r>
        <w:rPr>
          <w:rFonts w:hint="eastAsia"/>
        </w:rPr>
        <w:t>第</w:t>
      </w:r>
      <w:r>
        <w:rPr>
          <w:rFonts w:hint="eastAsia"/>
        </w:rPr>
        <w:t>130</w:t>
      </w:r>
      <w:r>
        <w:rPr>
          <w:rFonts w:hint="eastAsia"/>
        </w:rPr>
        <w:t>号</w:t>
      </w:r>
      <w:r>
        <w:rPr>
          <w:rFonts w:hint="eastAsia"/>
        </w:rPr>
        <w:t>)</w:t>
      </w:r>
      <w:r>
        <w:rPr>
          <w:rFonts w:hint="eastAsia"/>
        </w:rPr>
        <w:t>，于</w:t>
      </w:r>
      <w:r>
        <w:rPr>
          <w:rFonts w:hint="eastAsia"/>
        </w:rPr>
        <w:t>1975</w:t>
      </w:r>
      <w:r>
        <w:rPr>
          <w:rFonts w:hint="eastAsia"/>
        </w:rPr>
        <w:t>年</w:t>
      </w:r>
      <w:r>
        <w:rPr>
          <w:rFonts w:hint="eastAsia"/>
        </w:rPr>
        <w:t>6</w:t>
      </w:r>
      <w:r>
        <w:rPr>
          <w:rFonts w:hint="eastAsia"/>
        </w:rPr>
        <w:t>月</w:t>
      </w:r>
      <w:r>
        <w:rPr>
          <w:rFonts w:hint="eastAsia"/>
        </w:rPr>
        <w:t>19</w:t>
      </w:r>
      <w:r>
        <w:rPr>
          <w:rFonts w:hint="eastAsia"/>
        </w:rPr>
        <w:t>日批准。</w:t>
      </w:r>
    </w:p>
    <w:p w:rsidR="00000000" w:rsidRDefault="00000000">
      <w:pPr>
        <w:spacing w:after="160"/>
        <w:rPr>
          <w:rFonts w:hint="eastAsia"/>
        </w:rPr>
      </w:pPr>
      <w:r>
        <w:rPr>
          <w:rFonts w:hint="eastAsia"/>
        </w:rPr>
        <w:tab/>
        <w:t xml:space="preserve">44.  </w:t>
      </w:r>
      <w:r>
        <w:rPr>
          <w:rFonts w:hint="eastAsia"/>
        </w:rPr>
        <w:t>正如上文所指出，这些公约对于执法部门和司法部门是有约束力的，因为国际法优先于国内法。下表显示的是</w:t>
      </w:r>
      <w:r>
        <w:rPr>
          <w:rFonts w:hint="eastAsia"/>
        </w:rPr>
        <w:t>2001</w:t>
      </w:r>
      <w:r>
        <w:rPr>
          <w:rFonts w:hint="eastAsia"/>
        </w:rPr>
        <w:t>年发放的各类养恤金的总额：</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136"/>
        <w:gridCol w:w="3137"/>
        <w:gridCol w:w="3137"/>
      </w:tblGrid>
      <w:tr w:rsidR="00000000">
        <w:tblPrEx>
          <w:tblCellMar>
            <w:top w:w="0" w:type="dxa"/>
            <w:bottom w:w="0" w:type="dxa"/>
          </w:tblCellMar>
        </w:tblPrEx>
        <w:tc>
          <w:tcPr>
            <w:tcW w:w="3136" w:type="dxa"/>
          </w:tcPr>
          <w:p w:rsidR="00000000" w:rsidRDefault="00000000">
            <w:pPr>
              <w:pStyle w:val="a2"/>
              <w:spacing w:before="40" w:after="20" w:line="288" w:lineRule="auto"/>
              <w:jc w:val="center"/>
              <w:rPr>
                <w:rFonts w:ascii="Time New Roman" w:eastAsia="SimHei" w:hAnsi="Time New Roman" w:hint="eastAsia"/>
              </w:rPr>
            </w:pPr>
            <w:r>
              <w:rPr>
                <w:rFonts w:ascii="Time New Roman" w:eastAsia="SimHei" w:hAnsi="Time New Roman" w:hint="eastAsia"/>
              </w:rPr>
              <w:t>养恤金类型</w:t>
            </w:r>
          </w:p>
        </w:tc>
        <w:tc>
          <w:tcPr>
            <w:tcW w:w="3137" w:type="dxa"/>
          </w:tcPr>
          <w:p w:rsidR="00000000" w:rsidRDefault="00000000">
            <w:pPr>
              <w:pStyle w:val="a2"/>
              <w:spacing w:before="40" w:after="20" w:line="288" w:lineRule="auto"/>
              <w:jc w:val="center"/>
              <w:rPr>
                <w:rFonts w:ascii="Time New Roman" w:eastAsia="SimHei" w:hAnsi="Time New Roman" w:hint="eastAsia"/>
              </w:rPr>
            </w:pPr>
            <w:r>
              <w:rPr>
                <w:rFonts w:ascii="Time New Roman" w:eastAsia="SimHei" w:hAnsi="Time New Roman" w:hint="eastAsia"/>
              </w:rPr>
              <w:t>受益人数</w:t>
            </w:r>
          </w:p>
        </w:tc>
        <w:tc>
          <w:tcPr>
            <w:tcW w:w="3137" w:type="dxa"/>
          </w:tcPr>
          <w:p w:rsidR="00000000" w:rsidRDefault="00000000">
            <w:pPr>
              <w:pStyle w:val="a2"/>
              <w:spacing w:before="40" w:after="20" w:line="288" w:lineRule="auto"/>
              <w:jc w:val="center"/>
              <w:rPr>
                <w:rFonts w:ascii="Time New Roman" w:eastAsia="SimHei" w:hAnsi="Time New Roman" w:hint="eastAsia"/>
              </w:rPr>
            </w:pPr>
            <w:r>
              <w:rPr>
                <w:rFonts w:ascii="Time New Roman" w:eastAsia="SimHei" w:hAnsi="Time New Roman" w:hint="eastAsia"/>
              </w:rPr>
              <w:t>发放金额</w:t>
            </w:r>
            <w:r>
              <w:rPr>
                <w:rFonts w:ascii="Time New Roman" w:eastAsia="SimHei" w:hAnsi="Time New Roman" w:hint="eastAsia"/>
              </w:rPr>
              <w:t>(</w:t>
            </w:r>
            <w:r>
              <w:rPr>
                <w:rFonts w:ascii="Time New Roman" w:eastAsia="SimHei" w:hAnsi="Time New Roman" w:hint="eastAsia"/>
              </w:rPr>
              <w:t>百万利比亚第纳尔</w:t>
            </w:r>
            <w:r>
              <w:rPr>
                <w:rFonts w:ascii="Time New Roman" w:eastAsia="SimHei" w:hAnsi="Time New Roman" w:hint="eastAsia"/>
              </w:rPr>
              <w:t>)</w:t>
            </w:r>
          </w:p>
        </w:tc>
      </w:tr>
      <w:tr w:rsidR="00000000">
        <w:tblPrEx>
          <w:tblCellMar>
            <w:top w:w="0" w:type="dxa"/>
            <w:bottom w:w="0" w:type="dxa"/>
          </w:tblCellMar>
        </w:tblPrEx>
        <w:tc>
          <w:tcPr>
            <w:tcW w:w="3136" w:type="dxa"/>
          </w:tcPr>
          <w:p w:rsidR="00000000" w:rsidRDefault="00000000">
            <w:pPr>
              <w:pStyle w:val="a2"/>
              <w:spacing w:before="40" w:after="20" w:line="288" w:lineRule="auto"/>
              <w:ind w:firstLine="210"/>
              <w:rPr>
                <w:rFonts w:hint="eastAsia"/>
              </w:rPr>
            </w:pPr>
            <w:r>
              <w:rPr>
                <w:rFonts w:hint="eastAsia"/>
              </w:rPr>
              <w:t>保险养恤金</w:t>
            </w:r>
          </w:p>
        </w:tc>
        <w:tc>
          <w:tcPr>
            <w:tcW w:w="3137" w:type="dxa"/>
          </w:tcPr>
          <w:p w:rsidR="00000000" w:rsidRDefault="00000000">
            <w:pPr>
              <w:spacing w:before="40" w:after="20" w:line="288" w:lineRule="auto"/>
              <w:ind w:right="1077"/>
              <w:jc w:val="right"/>
            </w:pPr>
            <w:r>
              <w:t>6 879</w:t>
            </w:r>
          </w:p>
        </w:tc>
        <w:tc>
          <w:tcPr>
            <w:tcW w:w="3137" w:type="dxa"/>
          </w:tcPr>
          <w:p w:rsidR="00000000" w:rsidRDefault="00000000">
            <w:pPr>
              <w:spacing w:before="40" w:after="20" w:line="288" w:lineRule="auto"/>
              <w:ind w:right="1077"/>
              <w:jc w:val="right"/>
            </w:pPr>
            <w:r>
              <w:t>8 131</w:t>
            </w:r>
          </w:p>
        </w:tc>
      </w:tr>
      <w:tr w:rsidR="00000000">
        <w:tblPrEx>
          <w:tblCellMar>
            <w:top w:w="0" w:type="dxa"/>
            <w:bottom w:w="0" w:type="dxa"/>
          </w:tblCellMar>
        </w:tblPrEx>
        <w:tc>
          <w:tcPr>
            <w:tcW w:w="3136" w:type="dxa"/>
          </w:tcPr>
          <w:p w:rsidR="00000000" w:rsidRDefault="00000000">
            <w:pPr>
              <w:pStyle w:val="a2"/>
              <w:spacing w:before="40" w:after="20" w:line="288" w:lineRule="auto"/>
              <w:ind w:firstLine="210"/>
              <w:rPr>
                <w:rFonts w:hint="eastAsia"/>
              </w:rPr>
            </w:pPr>
            <w:r>
              <w:rPr>
                <w:rFonts w:hint="eastAsia"/>
              </w:rPr>
              <w:t>社会保障养恤金</w:t>
            </w:r>
          </w:p>
        </w:tc>
        <w:tc>
          <w:tcPr>
            <w:tcW w:w="3137" w:type="dxa"/>
          </w:tcPr>
          <w:p w:rsidR="00000000" w:rsidRDefault="00000000">
            <w:pPr>
              <w:spacing w:before="40" w:after="20" w:line="288" w:lineRule="auto"/>
              <w:ind w:right="1077"/>
              <w:jc w:val="right"/>
            </w:pPr>
            <w:r>
              <w:t>208 652</w:t>
            </w:r>
          </w:p>
        </w:tc>
        <w:tc>
          <w:tcPr>
            <w:tcW w:w="3137" w:type="dxa"/>
          </w:tcPr>
          <w:p w:rsidR="00000000" w:rsidRDefault="00000000">
            <w:pPr>
              <w:spacing w:before="40" w:after="20" w:line="288" w:lineRule="auto"/>
              <w:ind w:right="1077"/>
              <w:jc w:val="right"/>
            </w:pPr>
            <w:r>
              <w:t>444 543</w:t>
            </w:r>
          </w:p>
        </w:tc>
      </w:tr>
      <w:tr w:rsidR="00000000">
        <w:tblPrEx>
          <w:tblCellMar>
            <w:top w:w="0" w:type="dxa"/>
            <w:bottom w:w="0" w:type="dxa"/>
          </w:tblCellMar>
        </w:tblPrEx>
        <w:tc>
          <w:tcPr>
            <w:tcW w:w="3136" w:type="dxa"/>
          </w:tcPr>
          <w:p w:rsidR="00000000" w:rsidRDefault="00000000">
            <w:pPr>
              <w:pStyle w:val="a2"/>
              <w:spacing w:before="40" w:after="20" w:line="288" w:lineRule="auto"/>
              <w:ind w:firstLine="210"/>
              <w:rPr>
                <w:rFonts w:hint="eastAsia"/>
              </w:rPr>
            </w:pPr>
            <w:r>
              <w:rPr>
                <w:rFonts w:hint="eastAsia"/>
              </w:rPr>
              <w:t>公务员退休养恤金</w:t>
            </w:r>
          </w:p>
        </w:tc>
        <w:tc>
          <w:tcPr>
            <w:tcW w:w="3137" w:type="dxa"/>
          </w:tcPr>
          <w:p w:rsidR="00000000" w:rsidRDefault="00000000">
            <w:pPr>
              <w:spacing w:before="40" w:after="20" w:line="288" w:lineRule="auto"/>
              <w:ind w:right="1077"/>
              <w:jc w:val="right"/>
            </w:pPr>
            <w:r>
              <w:t>4 249</w:t>
            </w:r>
          </w:p>
        </w:tc>
        <w:tc>
          <w:tcPr>
            <w:tcW w:w="3137" w:type="dxa"/>
          </w:tcPr>
          <w:p w:rsidR="00000000" w:rsidRDefault="00000000">
            <w:pPr>
              <w:spacing w:before="40" w:after="20" w:line="288" w:lineRule="auto"/>
              <w:ind w:right="1077"/>
              <w:jc w:val="right"/>
            </w:pPr>
            <w:r>
              <w:t>6 872</w:t>
            </w:r>
          </w:p>
        </w:tc>
      </w:tr>
      <w:tr w:rsidR="00000000">
        <w:tblPrEx>
          <w:tblCellMar>
            <w:top w:w="0" w:type="dxa"/>
            <w:bottom w:w="0" w:type="dxa"/>
          </w:tblCellMar>
        </w:tblPrEx>
        <w:tc>
          <w:tcPr>
            <w:tcW w:w="3136" w:type="dxa"/>
          </w:tcPr>
          <w:p w:rsidR="00000000" w:rsidRDefault="00000000">
            <w:pPr>
              <w:pStyle w:val="a2"/>
              <w:spacing w:before="40" w:after="20" w:line="288" w:lineRule="auto"/>
              <w:ind w:firstLine="210"/>
              <w:rPr>
                <w:rFonts w:hint="eastAsia"/>
              </w:rPr>
            </w:pPr>
            <w:r>
              <w:rPr>
                <w:rFonts w:hint="eastAsia"/>
              </w:rPr>
              <w:t>军官退休养恤金</w:t>
            </w:r>
          </w:p>
        </w:tc>
        <w:tc>
          <w:tcPr>
            <w:tcW w:w="3137" w:type="dxa"/>
          </w:tcPr>
          <w:p w:rsidR="00000000" w:rsidRDefault="00000000">
            <w:pPr>
              <w:spacing w:before="40" w:after="20" w:line="288" w:lineRule="auto"/>
              <w:ind w:right="1077"/>
              <w:jc w:val="right"/>
            </w:pPr>
            <w:r>
              <w:t>24 249</w:t>
            </w:r>
          </w:p>
        </w:tc>
        <w:tc>
          <w:tcPr>
            <w:tcW w:w="3137" w:type="dxa"/>
          </w:tcPr>
          <w:p w:rsidR="00000000" w:rsidRDefault="00000000">
            <w:pPr>
              <w:spacing w:before="40" w:after="20" w:line="288" w:lineRule="auto"/>
              <w:ind w:right="1077"/>
              <w:jc w:val="right"/>
            </w:pPr>
            <w:r>
              <w:t>55 169</w:t>
            </w:r>
          </w:p>
        </w:tc>
      </w:tr>
      <w:tr w:rsidR="00000000">
        <w:tblPrEx>
          <w:tblCellMar>
            <w:top w:w="0" w:type="dxa"/>
            <w:bottom w:w="0" w:type="dxa"/>
          </w:tblCellMar>
        </w:tblPrEx>
        <w:tc>
          <w:tcPr>
            <w:tcW w:w="3136" w:type="dxa"/>
          </w:tcPr>
          <w:p w:rsidR="00000000" w:rsidRDefault="00000000">
            <w:pPr>
              <w:pStyle w:val="a2"/>
              <w:spacing w:before="40" w:after="20" w:line="288" w:lineRule="auto"/>
              <w:jc w:val="center"/>
              <w:rPr>
                <w:rFonts w:hint="eastAsia"/>
              </w:rPr>
            </w:pPr>
            <w:r>
              <w:rPr>
                <w:rFonts w:hint="eastAsia"/>
              </w:rPr>
              <w:t>总</w:t>
            </w:r>
            <w:r>
              <w:rPr>
                <w:rFonts w:hint="eastAsia"/>
              </w:rPr>
              <w:t xml:space="preserve">  </w:t>
            </w:r>
            <w:r>
              <w:rPr>
                <w:rFonts w:hint="eastAsia"/>
              </w:rPr>
              <w:t>计</w:t>
            </w:r>
          </w:p>
        </w:tc>
        <w:tc>
          <w:tcPr>
            <w:tcW w:w="3137" w:type="dxa"/>
          </w:tcPr>
          <w:p w:rsidR="00000000" w:rsidRDefault="00000000">
            <w:pPr>
              <w:spacing w:before="40" w:after="20" w:line="288" w:lineRule="auto"/>
              <w:ind w:right="1077"/>
              <w:jc w:val="right"/>
            </w:pPr>
            <w:r>
              <w:t xml:space="preserve">242 229 </w:t>
            </w:r>
          </w:p>
        </w:tc>
        <w:tc>
          <w:tcPr>
            <w:tcW w:w="3137" w:type="dxa"/>
          </w:tcPr>
          <w:p w:rsidR="00000000" w:rsidRDefault="00000000">
            <w:pPr>
              <w:spacing w:before="40" w:after="20" w:line="288" w:lineRule="auto"/>
              <w:ind w:right="1077"/>
              <w:jc w:val="right"/>
            </w:pPr>
            <w:r>
              <w:t>514 715</w:t>
            </w:r>
          </w:p>
        </w:tc>
      </w:tr>
    </w:tbl>
    <w:p w:rsidR="00000000" w:rsidRDefault="00000000">
      <w:pPr>
        <w:spacing w:after="160"/>
        <w:rPr>
          <w:rFonts w:hint="eastAsia"/>
        </w:rPr>
      </w:pPr>
    </w:p>
    <w:p w:rsidR="00000000" w:rsidRDefault="00000000">
      <w:pPr>
        <w:pStyle w:val="Heading3"/>
        <w:rPr>
          <w:rFonts w:hint="eastAsia"/>
        </w:rPr>
      </w:pPr>
      <w:r>
        <w:rPr>
          <w:rFonts w:hint="eastAsia"/>
        </w:rPr>
        <w:t>第十条</w:t>
      </w:r>
      <w:r>
        <w:rPr>
          <w:rFonts w:hint="eastAsia"/>
          <w:spacing w:val="0"/>
        </w:rPr>
        <w:t xml:space="preserve">  </w:t>
      </w:r>
      <w:r>
        <w:rPr>
          <w:rFonts w:hint="eastAsia"/>
        </w:rPr>
        <w:t>保护家庭、母亲和子女的权利</w:t>
      </w:r>
    </w:p>
    <w:p w:rsidR="00000000" w:rsidRDefault="00000000">
      <w:pPr>
        <w:rPr>
          <w:rFonts w:hint="eastAsia"/>
        </w:rPr>
      </w:pPr>
      <w:r>
        <w:rPr>
          <w:rFonts w:hint="eastAsia"/>
        </w:rPr>
        <w:tab/>
        <w:t xml:space="preserve">45.  </w:t>
      </w:r>
      <w:r>
        <w:rPr>
          <w:rFonts w:hint="eastAsia"/>
        </w:rPr>
        <w:t>“家庭”一词通常是指由父亲、母亲及其子女组成的核心家庭。然而，根据利比亚的传统，祖父母和亲戚也属于通常称之为大家庭的一部分。</w:t>
      </w:r>
    </w:p>
    <w:p w:rsidR="00000000" w:rsidRDefault="00000000">
      <w:pPr>
        <w:rPr>
          <w:rFonts w:hint="eastAsia"/>
        </w:rPr>
      </w:pPr>
      <w:r>
        <w:rPr>
          <w:rFonts w:hint="eastAsia"/>
        </w:rPr>
        <w:tab/>
        <w:t xml:space="preserve">46.  </w:t>
      </w:r>
      <w:r>
        <w:rPr>
          <w:rFonts w:hint="eastAsia"/>
        </w:rPr>
        <w:t>成年年龄为</w:t>
      </w:r>
      <w:r>
        <w:rPr>
          <w:rFonts w:hint="eastAsia"/>
        </w:rPr>
        <w:t>18</w:t>
      </w:r>
      <w:r>
        <w:rPr>
          <w:rFonts w:hint="eastAsia"/>
        </w:rPr>
        <w:t>岁。根据《青少年法》第</w:t>
      </w:r>
      <w:r>
        <w:rPr>
          <w:rFonts w:hint="eastAsia"/>
        </w:rPr>
        <w:t>1</w:t>
      </w:r>
      <w:r>
        <w:rPr>
          <w:rFonts w:hint="eastAsia"/>
        </w:rPr>
        <w:t>条以及涉及刑事责任的《利比亚刑法》有关条款的规定，</w:t>
      </w:r>
      <w:r>
        <w:rPr>
          <w:rFonts w:hint="eastAsia"/>
        </w:rPr>
        <w:t>18</w:t>
      </w:r>
      <w:r>
        <w:rPr>
          <w:rFonts w:hint="eastAsia"/>
        </w:rPr>
        <w:t>岁的青年应对其行为承担责任。</w:t>
      </w:r>
    </w:p>
    <w:p w:rsidR="00000000" w:rsidRDefault="00000000">
      <w:pPr>
        <w:rPr>
          <w:rFonts w:hint="eastAsia"/>
        </w:rPr>
      </w:pPr>
      <w:r>
        <w:rPr>
          <w:rFonts w:hint="eastAsia"/>
        </w:rPr>
        <w:tab/>
        <w:t xml:space="preserve">47.  </w:t>
      </w:r>
      <w:r>
        <w:rPr>
          <w:rFonts w:hint="eastAsia"/>
        </w:rPr>
        <w:t>保护家庭是利比亚社会的基础之一。根据伊斯兰教的教规，社会鼓励人们结婚，反对人们离婚。</w:t>
      </w:r>
    </w:p>
    <w:p w:rsidR="00000000" w:rsidRDefault="00000000">
      <w:pPr>
        <w:rPr>
          <w:rFonts w:hint="eastAsia"/>
        </w:rPr>
      </w:pPr>
      <w:r>
        <w:rPr>
          <w:rFonts w:hint="eastAsia"/>
        </w:rPr>
        <w:tab/>
        <w:t xml:space="preserve">48.  </w:t>
      </w:r>
      <w:r>
        <w:rPr>
          <w:rFonts w:hint="eastAsia"/>
        </w:rPr>
        <w:t>除了利比亚民众国向经济、社会、文化权利委员会提交的初次报告以及该国有关《儿童权利公约》、《消除对妇女一切形式歧视公约》以及《公民权利和政治权利国际公约》执行情况的报告中所提供的信息以外，还应当指出，利比亚的立法部门已经制定了有关保护家庭的法律，并且已经制定了旨在保障家庭成员的安全和稳定的政策。《刑法》第二章标题三为：“侵犯家庭罪”，该章将一些侵犯家庭权利的行为定为非法行为，其中包括：拒付赡养费、不养家、对于家庭不尽责</w:t>
      </w:r>
      <w:r>
        <w:rPr>
          <w:rFonts w:hint="eastAsia"/>
        </w:rPr>
        <w:t>(</w:t>
      </w:r>
      <w:r>
        <w:rPr>
          <w:rFonts w:hint="eastAsia"/>
        </w:rPr>
        <w:t>第</w:t>
      </w:r>
      <w:r>
        <w:rPr>
          <w:rFonts w:hint="eastAsia"/>
        </w:rPr>
        <w:t>396</w:t>
      </w:r>
      <w:r>
        <w:rPr>
          <w:rFonts w:hint="eastAsia"/>
        </w:rPr>
        <w:t>条</w:t>
      </w:r>
      <w:r>
        <w:rPr>
          <w:rFonts w:hint="eastAsia"/>
        </w:rPr>
        <w:t>)</w:t>
      </w:r>
      <w:r>
        <w:rPr>
          <w:rFonts w:hint="eastAsia"/>
        </w:rPr>
        <w:t>以及执行纪律不当和使用错误的教育方法</w:t>
      </w:r>
      <w:r>
        <w:rPr>
          <w:rFonts w:hint="eastAsia"/>
        </w:rPr>
        <w:t>(</w:t>
      </w:r>
      <w:r>
        <w:rPr>
          <w:rFonts w:hint="eastAsia"/>
        </w:rPr>
        <w:t>第</w:t>
      </w:r>
      <w:r>
        <w:rPr>
          <w:rFonts w:hint="eastAsia"/>
        </w:rPr>
        <w:t>397</w:t>
      </w:r>
      <w:r>
        <w:rPr>
          <w:rFonts w:hint="eastAsia"/>
        </w:rPr>
        <w:t>条</w:t>
      </w:r>
      <w:r>
        <w:rPr>
          <w:rFonts w:hint="eastAsia"/>
        </w:rPr>
        <w:t>)</w:t>
      </w:r>
      <w:r>
        <w:rPr>
          <w:rFonts w:hint="eastAsia"/>
        </w:rPr>
        <w:t>。</w:t>
      </w:r>
    </w:p>
    <w:p w:rsidR="00000000" w:rsidRDefault="00000000">
      <w:pPr>
        <w:rPr>
          <w:rFonts w:hint="eastAsia"/>
        </w:rPr>
      </w:pPr>
      <w:r>
        <w:rPr>
          <w:rFonts w:hint="eastAsia"/>
        </w:rPr>
        <w:tab/>
        <w:t>49.  1984</w:t>
      </w:r>
      <w:r>
        <w:rPr>
          <w:rFonts w:hint="eastAsia"/>
        </w:rPr>
        <w:t>年第</w:t>
      </w:r>
      <w:r>
        <w:rPr>
          <w:rFonts w:hint="eastAsia"/>
        </w:rPr>
        <w:t>10</w:t>
      </w:r>
      <w:r>
        <w:rPr>
          <w:rFonts w:hint="eastAsia"/>
        </w:rPr>
        <w:t>号法令就结婚和离婚作出了规定，依据这条法令，必须获得双方的同意才能签署婚姻契约</w:t>
      </w:r>
      <w:r>
        <w:rPr>
          <w:rFonts w:hint="eastAsia"/>
        </w:rPr>
        <w:t>(</w:t>
      </w:r>
      <w:r>
        <w:rPr>
          <w:rFonts w:hint="eastAsia"/>
        </w:rPr>
        <w:t>第</w:t>
      </w:r>
      <w:r>
        <w:rPr>
          <w:rFonts w:hint="eastAsia"/>
        </w:rPr>
        <w:t>2</w:t>
      </w:r>
      <w:r>
        <w:rPr>
          <w:rFonts w:hint="eastAsia"/>
        </w:rPr>
        <w:t>条</w:t>
      </w:r>
      <w:r>
        <w:rPr>
          <w:rFonts w:hint="eastAsia"/>
        </w:rPr>
        <w:t>)</w:t>
      </w:r>
      <w:r>
        <w:rPr>
          <w:rFonts w:hint="eastAsia"/>
        </w:rPr>
        <w:t>。这条法令还规定：“法定监护人不得强迫被监护人违背自己的意愿结婚，也不得阻止他们同自己选择的对象结婚。”</w:t>
      </w:r>
    </w:p>
    <w:p w:rsidR="00000000" w:rsidRDefault="00000000">
      <w:pPr>
        <w:spacing w:after="240"/>
        <w:rPr>
          <w:rFonts w:hint="eastAsia"/>
        </w:rPr>
      </w:pPr>
      <w:r>
        <w:rPr>
          <w:rFonts w:hint="eastAsia"/>
        </w:rPr>
        <w:tab/>
        <w:t xml:space="preserve">50.  </w:t>
      </w:r>
      <w:r>
        <w:rPr>
          <w:rFonts w:hint="eastAsia"/>
        </w:rPr>
        <w:t>为了向母亲提供特别保护，</w:t>
      </w:r>
      <w:r>
        <w:rPr>
          <w:rFonts w:hint="eastAsia"/>
        </w:rPr>
        <w:t>1980</w:t>
      </w:r>
      <w:r>
        <w:rPr>
          <w:rFonts w:hint="eastAsia"/>
        </w:rPr>
        <w:t>年第</w:t>
      </w:r>
      <w:r>
        <w:rPr>
          <w:rFonts w:hint="eastAsia"/>
        </w:rPr>
        <w:t>13</w:t>
      </w:r>
      <w:r>
        <w:rPr>
          <w:rFonts w:hint="eastAsia"/>
        </w:rPr>
        <w:t>号《社会保障法》规定，母亲在特别时期有权领取补助，其中包括产妇补贴</w:t>
      </w:r>
      <w:r>
        <w:rPr>
          <w:rFonts w:hint="eastAsia"/>
        </w:rPr>
        <w:t>(</w:t>
      </w:r>
      <w:r>
        <w:rPr>
          <w:rFonts w:hint="eastAsia"/>
        </w:rPr>
        <w:t>从怀孕第</w:t>
      </w:r>
      <w:r>
        <w:rPr>
          <w:rFonts w:hint="eastAsia"/>
        </w:rPr>
        <w:t>4</w:t>
      </w:r>
      <w:r>
        <w:rPr>
          <w:rFonts w:hint="eastAsia"/>
        </w:rPr>
        <w:t>个月开始发放至分娩为止</w:t>
      </w:r>
      <w:r>
        <w:rPr>
          <w:rFonts w:hint="eastAsia"/>
        </w:rPr>
        <w:t>)</w:t>
      </w:r>
      <w:r>
        <w:rPr>
          <w:rFonts w:hint="eastAsia"/>
        </w:rPr>
        <w:t>以及婴儿补助。在</w:t>
      </w:r>
      <w:r>
        <w:rPr>
          <w:rFonts w:hint="eastAsia"/>
        </w:rPr>
        <w:t>2002</w:t>
      </w:r>
      <w:r>
        <w:rPr>
          <w:rFonts w:hint="eastAsia"/>
        </w:rPr>
        <w:t>年，总共发放了</w:t>
      </w:r>
      <w:r>
        <w:rPr>
          <w:rFonts w:hint="eastAsia"/>
        </w:rPr>
        <w:t>37,000,178</w:t>
      </w:r>
      <w:r>
        <w:rPr>
          <w:rFonts w:hint="eastAsia"/>
        </w:rPr>
        <w:t>第纳尔的产妇补贴以及</w:t>
      </w:r>
      <w:r>
        <w:rPr>
          <w:rFonts w:hint="eastAsia"/>
        </w:rPr>
        <w:t>369,113,550</w:t>
      </w:r>
      <w:r>
        <w:rPr>
          <w:rFonts w:hint="eastAsia"/>
        </w:rPr>
        <w:t>第纳尔的婴儿补助。下表显示的</w:t>
      </w:r>
      <w:r>
        <w:rPr>
          <w:rFonts w:hint="eastAsia"/>
        </w:rPr>
        <w:t>2001</w:t>
      </w:r>
      <w:r>
        <w:rPr>
          <w:rFonts w:hint="eastAsia"/>
        </w:rPr>
        <w:t>年有关家庭成员数目和家庭年收入的分类统计数字，单位是第纳尔。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41"/>
        <w:gridCol w:w="941"/>
        <w:gridCol w:w="941"/>
        <w:gridCol w:w="941"/>
        <w:gridCol w:w="941"/>
        <w:gridCol w:w="941"/>
        <w:gridCol w:w="941"/>
        <w:gridCol w:w="941"/>
        <w:gridCol w:w="941"/>
        <w:gridCol w:w="941"/>
      </w:tblGrid>
      <w:tr w:rsidR="00000000">
        <w:tblPrEx>
          <w:tblCellMar>
            <w:top w:w="0" w:type="dxa"/>
            <w:bottom w:w="0" w:type="dxa"/>
          </w:tblCellMar>
        </w:tblPrEx>
        <w:trPr>
          <w:cantSplit/>
        </w:trPr>
        <w:tc>
          <w:tcPr>
            <w:tcW w:w="941" w:type="dxa"/>
            <w:vMerge w:val="restart"/>
            <w:vAlign w:val="center"/>
          </w:tcPr>
          <w:p w:rsidR="00000000" w:rsidRDefault="00000000">
            <w:pPr>
              <w:pStyle w:val="a2"/>
              <w:spacing w:line="240" w:lineRule="auto"/>
              <w:jc w:val="center"/>
              <w:rPr>
                <w:rFonts w:ascii="Time New Roman" w:eastAsia="SimHei" w:hAnsi="Time New Roman" w:hint="eastAsia"/>
                <w:sz w:val="18"/>
              </w:rPr>
            </w:pPr>
            <w:r>
              <w:rPr>
                <w:rFonts w:ascii="Time New Roman" w:eastAsia="SimHei" w:hAnsi="Time New Roman" w:hint="eastAsia"/>
                <w:sz w:val="18"/>
              </w:rPr>
              <w:t>家庭成员数</w:t>
            </w:r>
            <w:r>
              <w:rPr>
                <w:rFonts w:ascii="Time New Roman" w:eastAsia="SimHei" w:hAnsi="Time New Roman" w:hint="eastAsia"/>
                <w:sz w:val="18"/>
              </w:rPr>
              <w:t xml:space="preserve"> </w:t>
            </w:r>
            <w:r>
              <w:rPr>
                <w:rFonts w:ascii="Time New Roman" w:eastAsia="SimHei" w:hAnsi="Time New Roman" w:hint="eastAsia"/>
                <w:sz w:val="18"/>
              </w:rPr>
              <w:t>目</w:t>
            </w:r>
          </w:p>
        </w:tc>
        <w:tc>
          <w:tcPr>
            <w:tcW w:w="8469" w:type="dxa"/>
            <w:gridSpan w:val="9"/>
          </w:tcPr>
          <w:p w:rsidR="00000000" w:rsidRDefault="00000000">
            <w:pPr>
              <w:pStyle w:val="a2"/>
              <w:jc w:val="center"/>
              <w:rPr>
                <w:rFonts w:ascii="Time New Roman" w:eastAsia="SimHei" w:hAnsi="Time New Roman" w:hint="eastAsia"/>
                <w:sz w:val="18"/>
              </w:rPr>
            </w:pPr>
            <w:r>
              <w:rPr>
                <w:rFonts w:ascii="Time New Roman" w:eastAsia="SimHei" w:hAnsi="Time New Roman" w:hint="eastAsia"/>
                <w:sz w:val="18"/>
              </w:rPr>
              <w:t>家</w:t>
            </w:r>
            <w:r>
              <w:rPr>
                <w:rFonts w:ascii="Time New Roman" w:eastAsia="SimHei" w:hAnsi="Time New Roman" w:hint="eastAsia"/>
                <w:sz w:val="18"/>
              </w:rPr>
              <w:t xml:space="preserve"> </w:t>
            </w:r>
            <w:r>
              <w:rPr>
                <w:rFonts w:ascii="Time New Roman" w:eastAsia="SimHei" w:hAnsi="Time New Roman" w:hint="eastAsia"/>
                <w:sz w:val="18"/>
              </w:rPr>
              <w:t>庭</w:t>
            </w:r>
            <w:r>
              <w:rPr>
                <w:rFonts w:ascii="Time New Roman" w:eastAsia="SimHei" w:hAnsi="Time New Roman" w:hint="eastAsia"/>
                <w:sz w:val="18"/>
              </w:rPr>
              <w:t xml:space="preserve"> </w:t>
            </w:r>
            <w:r>
              <w:rPr>
                <w:rFonts w:ascii="Time New Roman" w:eastAsia="SimHei" w:hAnsi="Time New Roman" w:hint="eastAsia"/>
                <w:sz w:val="18"/>
              </w:rPr>
              <w:t>年</w:t>
            </w:r>
            <w:r>
              <w:rPr>
                <w:rFonts w:ascii="Time New Roman" w:eastAsia="SimHei" w:hAnsi="Time New Roman" w:hint="eastAsia"/>
                <w:sz w:val="18"/>
              </w:rPr>
              <w:t xml:space="preserve"> </w:t>
            </w:r>
            <w:r>
              <w:rPr>
                <w:rFonts w:ascii="Time New Roman" w:eastAsia="SimHei" w:hAnsi="Time New Roman" w:hint="eastAsia"/>
                <w:sz w:val="18"/>
              </w:rPr>
              <w:t>收</w:t>
            </w:r>
            <w:r>
              <w:rPr>
                <w:rFonts w:ascii="Time New Roman" w:eastAsia="SimHei" w:hAnsi="Time New Roman" w:hint="eastAsia"/>
                <w:sz w:val="18"/>
              </w:rPr>
              <w:t xml:space="preserve"> </w:t>
            </w:r>
            <w:r>
              <w:rPr>
                <w:rFonts w:ascii="Time New Roman" w:eastAsia="SimHei" w:hAnsi="Time New Roman" w:hint="eastAsia"/>
                <w:sz w:val="18"/>
              </w:rPr>
              <w:t>入</w:t>
            </w:r>
          </w:p>
        </w:tc>
      </w:tr>
      <w:tr w:rsidR="00000000">
        <w:tblPrEx>
          <w:tblCellMar>
            <w:top w:w="0" w:type="dxa"/>
            <w:bottom w:w="0" w:type="dxa"/>
          </w:tblCellMar>
        </w:tblPrEx>
        <w:trPr>
          <w:cantSplit/>
        </w:trPr>
        <w:tc>
          <w:tcPr>
            <w:tcW w:w="941" w:type="dxa"/>
            <w:vMerge/>
          </w:tcPr>
          <w:p w:rsidR="00000000" w:rsidRDefault="00000000">
            <w:pPr>
              <w:pStyle w:val="a2"/>
              <w:jc w:val="center"/>
              <w:rPr>
                <w:rFonts w:ascii="Time New Roman" w:eastAsia="SimHei" w:hAnsi="Time New Roman" w:hint="eastAsia"/>
                <w:sz w:val="18"/>
              </w:rPr>
            </w:pP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sz w:val="18"/>
              </w:rPr>
              <w:t>不到</w:t>
            </w:r>
            <w:r>
              <w:rPr>
                <w:rFonts w:ascii="Time New Roman" w:eastAsia="SimHei" w:hAnsi="Time New Roman" w:hint="eastAsia"/>
                <w:b/>
                <w:sz w:val="18"/>
              </w:rPr>
              <w:t>2</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2</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2</w:t>
            </w:r>
            <w:r>
              <w:rPr>
                <w:rFonts w:ascii="Time New Roman" w:eastAsia="SimHei" w:hAnsi="Time New Roman" w:hint="eastAsia"/>
                <w:sz w:val="18"/>
              </w:rPr>
              <w:t xml:space="preserve"> </w:t>
            </w:r>
            <w:r>
              <w:rPr>
                <w:rFonts w:ascii="Time New Roman" w:eastAsia="SimHei" w:hAnsi="Time New Roman" w:hint="eastAsia"/>
                <w:b/>
                <w:sz w:val="18"/>
              </w:rPr>
              <w:t>500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3</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4</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5</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b/>
                <w:sz w:val="18"/>
              </w:rPr>
              <w:t>6</w:t>
            </w:r>
            <w:r>
              <w:rPr>
                <w:rFonts w:ascii="Time New Roman" w:eastAsia="SimHei" w:hAnsi="Time New Roman" w:hint="eastAsia"/>
                <w:sz w:val="18"/>
              </w:rPr>
              <w:t xml:space="preserve"> </w:t>
            </w:r>
            <w:r>
              <w:rPr>
                <w:rFonts w:ascii="Time New Roman" w:eastAsia="SimHei" w:hAnsi="Time New Roman" w:hint="eastAsia"/>
                <w:b/>
                <w:sz w:val="18"/>
              </w:rPr>
              <w:t>500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sz w:val="18"/>
              </w:rPr>
              <w:t>超过</w:t>
            </w:r>
            <w:r>
              <w:rPr>
                <w:rFonts w:ascii="Time New Roman" w:eastAsia="SimHei" w:hAnsi="Time New Roman" w:hint="eastAsia"/>
                <w:b/>
                <w:sz w:val="18"/>
              </w:rPr>
              <w:t>8</w:t>
            </w:r>
            <w:r>
              <w:rPr>
                <w:rFonts w:ascii="Time New Roman" w:eastAsia="SimHei" w:hAnsi="Time New Roman" w:hint="eastAsia"/>
                <w:sz w:val="18"/>
              </w:rPr>
              <w:t xml:space="preserve"> </w:t>
            </w:r>
            <w:r>
              <w:rPr>
                <w:rFonts w:ascii="Time New Roman" w:eastAsia="SimHei" w:hAnsi="Time New Roman" w:hint="eastAsia"/>
                <w:b/>
                <w:sz w:val="18"/>
              </w:rPr>
              <w:t>000</w:t>
            </w:r>
          </w:p>
        </w:tc>
        <w:tc>
          <w:tcPr>
            <w:tcW w:w="941" w:type="dxa"/>
          </w:tcPr>
          <w:p w:rsidR="00000000" w:rsidRDefault="00000000">
            <w:pPr>
              <w:pStyle w:val="a2"/>
              <w:jc w:val="center"/>
              <w:rPr>
                <w:rFonts w:ascii="Time New Roman" w:eastAsia="SimHei" w:hAnsi="Time New Roman" w:hint="eastAsia"/>
                <w:sz w:val="18"/>
              </w:rPr>
            </w:pPr>
            <w:r>
              <w:rPr>
                <w:rFonts w:ascii="Time New Roman" w:eastAsia="SimHei" w:hAnsi="Time New Roman" w:hint="eastAsia"/>
                <w:sz w:val="18"/>
              </w:rPr>
              <w:t>家庭数目</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1 - 4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140 926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44 756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20 067</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42 832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28 961</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16 832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4 473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3 506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302 353</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5 - 6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32 316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21 978</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12 576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31 793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21 254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19 931</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6 771</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6 345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153 864</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7 - 8</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21 853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16 225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9 136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28 308</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16 597</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17 245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8 233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8 882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126 479</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9 - 10</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16 026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10 754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6 015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20 921</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12 555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12 808</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7 223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9 125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95 427</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11 - 12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7 727</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6 072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3 442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11 895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7 877</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8 426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5 165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7 087</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57 691</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13 - 14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3 136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2 521</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1 503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4 939</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3 673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4 103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2 616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3 896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25 414</w:t>
            </w:r>
          </w:p>
        </w:tc>
      </w:tr>
      <w:tr w:rsidR="00000000">
        <w:tblPrEx>
          <w:tblCellMar>
            <w:top w:w="0" w:type="dxa"/>
            <w:bottom w:w="0" w:type="dxa"/>
          </w:tblCellMar>
        </w:tblPrEx>
        <w:tc>
          <w:tcPr>
            <w:tcW w:w="941" w:type="dxa"/>
          </w:tcPr>
          <w:p w:rsidR="00000000" w:rsidRDefault="00000000">
            <w:pPr>
              <w:pStyle w:val="a2"/>
              <w:jc w:val="center"/>
              <w:rPr>
                <w:rFonts w:hint="eastAsia"/>
                <w:spacing w:val="0"/>
                <w:sz w:val="18"/>
              </w:rPr>
            </w:pPr>
            <w:r>
              <w:rPr>
                <w:rFonts w:hint="eastAsia"/>
                <w:spacing w:val="0"/>
                <w:sz w:val="18"/>
              </w:rPr>
              <w:t>超过</w:t>
            </w:r>
            <w:r>
              <w:rPr>
                <w:rFonts w:hint="eastAsia"/>
                <w:spacing w:val="0"/>
                <w:sz w:val="18"/>
              </w:rPr>
              <w:t>15</w:t>
            </w:r>
            <w:r>
              <w:rPr>
                <w:rFonts w:hint="eastAsia"/>
                <w:spacing w:val="0"/>
                <w:sz w:val="18"/>
              </w:rPr>
              <w:t>岁</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1 665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1 198</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683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2 376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1 993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2 415</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1 763</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3 239</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15 332</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总</w:t>
            </w:r>
            <w:r>
              <w:rPr>
                <w:rFonts w:hint="eastAsia"/>
                <w:sz w:val="18"/>
              </w:rPr>
              <w:t xml:space="preserve">  </w:t>
            </w:r>
            <w:r>
              <w:rPr>
                <w:rFonts w:hint="eastAsia"/>
                <w:sz w:val="18"/>
              </w:rPr>
              <w:t>计</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223 676</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103 504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53 422</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143 064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92 910</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81 760</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37 144</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42 080</w:t>
            </w:r>
          </w:p>
        </w:tc>
        <w:tc>
          <w:tcPr>
            <w:tcW w:w="941" w:type="dxa"/>
            <w:vAlign w:val="center"/>
          </w:tcPr>
          <w:p w:rsidR="00000000" w:rsidRDefault="00000000">
            <w:pPr>
              <w:keepNext/>
              <w:keepLines/>
              <w:tabs>
                <w:tab w:val="right" w:pos="529"/>
              </w:tabs>
              <w:spacing w:before="60"/>
              <w:ind w:right="170" w:firstLine="4"/>
              <w:jc w:val="right"/>
              <w:rPr>
                <w:spacing w:val="0"/>
                <w:sz w:val="18"/>
              </w:rPr>
            </w:pPr>
            <w:r>
              <w:rPr>
                <w:spacing w:val="0"/>
                <w:sz w:val="18"/>
              </w:rPr>
              <w:t>777 560</w:t>
            </w:r>
          </w:p>
        </w:tc>
      </w:tr>
      <w:tr w:rsidR="00000000">
        <w:tblPrEx>
          <w:tblCellMar>
            <w:top w:w="0" w:type="dxa"/>
            <w:bottom w:w="0" w:type="dxa"/>
          </w:tblCellMar>
        </w:tblPrEx>
        <w:tc>
          <w:tcPr>
            <w:tcW w:w="941" w:type="dxa"/>
          </w:tcPr>
          <w:p w:rsidR="00000000" w:rsidRDefault="00000000">
            <w:pPr>
              <w:pStyle w:val="a2"/>
              <w:jc w:val="center"/>
              <w:rPr>
                <w:rFonts w:hint="eastAsia"/>
                <w:sz w:val="18"/>
              </w:rPr>
            </w:pPr>
            <w:r>
              <w:rPr>
                <w:rFonts w:hint="eastAsia"/>
                <w:sz w:val="18"/>
              </w:rPr>
              <w:t>百分比</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28.8</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13.3</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6.9</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18.4</w:t>
            </w:r>
          </w:p>
        </w:tc>
        <w:tc>
          <w:tcPr>
            <w:tcW w:w="941" w:type="dxa"/>
            <w:vAlign w:val="center"/>
          </w:tcPr>
          <w:p w:rsidR="00000000" w:rsidRDefault="00000000">
            <w:pPr>
              <w:pStyle w:val="a2"/>
              <w:tabs>
                <w:tab w:val="decimal" w:pos="529"/>
              </w:tabs>
              <w:spacing w:before="60"/>
              <w:ind w:firstLine="4"/>
              <w:rPr>
                <w:rFonts w:hint="eastAsia"/>
                <w:sz w:val="18"/>
              </w:rPr>
            </w:pPr>
            <w:r>
              <w:rPr>
                <w:sz w:val="18"/>
              </w:rPr>
              <w:t>12.0</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10.5</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4.8</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5.4</w:t>
            </w:r>
          </w:p>
        </w:tc>
        <w:tc>
          <w:tcPr>
            <w:tcW w:w="941" w:type="dxa"/>
            <w:vAlign w:val="center"/>
          </w:tcPr>
          <w:p w:rsidR="00000000" w:rsidRDefault="00000000">
            <w:pPr>
              <w:keepNext/>
              <w:keepLines/>
              <w:tabs>
                <w:tab w:val="decimal" w:pos="529"/>
              </w:tabs>
              <w:spacing w:before="60"/>
              <w:ind w:firstLine="4"/>
              <w:rPr>
                <w:spacing w:val="0"/>
                <w:sz w:val="18"/>
              </w:rPr>
            </w:pPr>
            <w:r>
              <w:rPr>
                <w:spacing w:val="0"/>
                <w:sz w:val="18"/>
              </w:rPr>
              <w:t>100</w:t>
            </w:r>
          </w:p>
        </w:tc>
      </w:tr>
    </w:tbl>
    <w:p w:rsidR="00000000" w:rsidRDefault="00000000">
      <w:pPr>
        <w:pStyle w:val="a2"/>
        <w:ind w:right="113"/>
        <w:rPr>
          <w:rFonts w:hint="eastAsia"/>
          <w:sz w:val="20"/>
        </w:rPr>
      </w:pPr>
    </w:p>
    <w:p w:rsidR="00000000" w:rsidRDefault="00000000">
      <w:pPr>
        <w:pStyle w:val="Heading4"/>
        <w:rPr>
          <w:rFonts w:hint="eastAsia"/>
        </w:rPr>
      </w:pPr>
      <w:r>
        <w:rPr>
          <w:rFonts w:hint="eastAsia"/>
        </w:rPr>
        <w:t>儿童的权利</w:t>
      </w:r>
    </w:p>
    <w:p w:rsidR="00000000" w:rsidRDefault="00000000">
      <w:pPr>
        <w:rPr>
          <w:rFonts w:hint="eastAsia"/>
        </w:rPr>
      </w:pPr>
      <w:r>
        <w:rPr>
          <w:rFonts w:hint="eastAsia"/>
        </w:rPr>
        <w:tab/>
        <w:t xml:space="preserve">51.  </w:t>
      </w:r>
      <w:r>
        <w:rPr>
          <w:rFonts w:hint="eastAsia"/>
        </w:rPr>
        <w:t>关于保护儿童权利的问题，请看利比亚的初次报告以及联合国儿童基金会于</w:t>
      </w:r>
      <w:r>
        <w:rPr>
          <w:rFonts w:hint="eastAsia"/>
        </w:rPr>
        <w:t>1997</w:t>
      </w:r>
      <w:r>
        <w:rPr>
          <w:rFonts w:hint="eastAsia"/>
        </w:rPr>
        <w:t>年编写的有关阿拉伯利比亚民众国的妇女和儿童状况的报告。也请注意以下新的信息：</w:t>
      </w:r>
    </w:p>
    <w:p w:rsidR="00000000" w:rsidRDefault="00000000">
      <w:pPr>
        <w:pStyle w:val="ae"/>
        <w:rPr>
          <w:rFonts w:hint="eastAsia"/>
        </w:rPr>
      </w:pPr>
      <w:r>
        <w:rPr>
          <w:rFonts w:hint="eastAsia"/>
        </w:rPr>
        <w:t>1.  1997</w:t>
      </w:r>
      <w:r>
        <w:rPr>
          <w:rFonts w:hint="eastAsia"/>
        </w:rPr>
        <w:t>年第</w:t>
      </w:r>
      <w:r>
        <w:rPr>
          <w:rFonts w:hint="eastAsia"/>
        </w:rPr>
        <w:t>5</w:t>
      </w:r>
      <w:r>
        <w:rPr>
          <w:rFonts w:hint="eastAsia"/>
        </w:rPr>
        <w:t>号《保护儿童法》规定了旨在保护儿童利益的新的补贴和保障制度，现说明如下：</w:t>
      </w:r>
    </w:p>
    <w:p w:rsidR="00000000" w:rsidRDefault="00000000">
      <w:pPr>
        <w:pStyle w:val="a0"/>
        <w:tabs>
          <w:tab w:val="num" w:pos="2040"/>
        </w:tabs>
        <w:spacing w:line="312" w:lineRule="auto"/>
        <w:ind w:left="2540"/>
        <w:rPr>
          <w:rFonts w:hint="eastAsia"/>
        </w:rPr>
      </w:pPr>
      <w:r>
        <w:rPr>
          <w:rFonts w:hint="eastAsia"/>
        </w:rPr>
        <w:t>为不知父母的儿童取名，以便帮助他们领取身份证、旅行证件以及国籍证明；</w:t>
      </w:r>
    </w:p>
    <w:p w:rsidR="00000000" w:rsidRDefault="00000000">
      <w:pPr>
        <w:pStyle w:val="a0"/>
        <w:tabs>
          <w:tab w:val="num" w:pos="2040"/>
        </w:tabs>
        <w:spacing w:line="312" w:lineRule="auto"/>
        <w:ind w:left="2540"/>
        <w:rPr>
          <w:rFonts w:hint="eastAsia"/>
        </w:rPr>
      </w:pPr>
      <w:r>
        <w:rPr>
          <w:rFonts w:hint="eastAsia"/>
        </w:rPr>
        <w:t>这项法令规定雇用童工为非法行为，除非其目的是为了让儿童学习一门手艺；</w:t>
      </w:r>
    </w:p>
    <w:p w:rsidR="00000000" w:rsidRDefault="00000000">
      <w:pPr>
        <w:pStyle w:val="a0"/>
        <w:tabs>
          <w:tab w:val="num" w:pos="2040"/>
        </w:tabs>
        <w:spacing w:line="312" w:lineRule="auto"/>
        <w:ind w:left="2540"/>
        <w:rPr>
          <w:rFonts w:hint="eastAsia"/>
        </w:rPr>
      </w:pPr>
      <w:r>
        <w:rPr>
          <w:rFonts w:hint="eastAsia"/>
        </w:rPr>
        <w:t>社会保障基金负有照料和保护没有家长抚养的儿童以及那些由于个人环境曾经参与不正常行为和违法行为的儿童的责任。社会保障基金通过社会福利和改革中心履行这种责任，这些中心由合格的社会工作者监督并且代替儿童的父母照料这些孩子。</w:t>
      </w:r>
    </w:p>
    <w:p w:rsidR="00000000" w:rsidRDefault="00000000">
      <w:pPr>
        <w:pStyle w:val="ae"/>
        <w:rPr>
          <w:rFonts w:hint="eastAsia"/>
        </w:rPr>
      </w:pPr>
      <w:r>
        <w:rPr>
          <w:rFonts w:hint="eastAsia"/>
        </w:rPr>
        <w:t xml:space="preserve">2.  </w:t>
      </w:r>
      <w:r>
        <w:rPr>
          <w:rFonts w:hint="eastAsia"/>
        </w:rPr>
        <w:t>根据</w:t>
      </w:r>
      <w:r>
        <w:rPr>
          <w:rFonts w:hint="eastAsia"/>
        </w:rPr>
        <w:t>1998</w:t>
      </w:r>
      <w:r>
        <w:rPr>
          <w:rFonts w:hint="eastAsia"/>
        </w:rPr>
        <w:t>年第</w:t>
      </w:r>
      <w:r>
        <w:rPr>
          <w:rFonts w:hint="eastAsia"/>
        </w:rPr>
        <w:t>20</w:t>
      </w:r>
      <w:r>
        <w:rPr>
          <w:rFonts w:hint="eastAsia"/>
        </w:rPr>
        <w:t>号法令，社会保障基金负责保护少年犯并且帮助他们康复。</w:t>
      </w:r>
    </w:p>
    <w:p w:rsidR="00000000" w:rsidRDefault="00000000">
      <w:pPr>
        <w:pStyle w:val="ae"/>
        <w:rPr>
          <w:rFonts w:hint="eastAsia"/>
        </w:rPr>
      </w:pPr>
      <w:r>
        <w:rPr>
          <w:rFonts w:hint="eastAsia"/>
        </w:rPr>
        <w:t>3.</w:t>
      </w:r>
      <w:r>
        <w:rPr>
          <w:rFonts w:hint="eastAsia"/>
        </w:rPr>
        <w:tab/>
      </w:r>
      <w:r>
        <w:rPr>
          <w:rFonts w:hint="eastAsia"/>
        </w:rPr>
        <w:t>现已生效的法律禁止以出身或者任何其他原因对儿童进行任何形式的歧视，并且通过禁止童工、儿童卖淫和儿童色情制品来保护所有儿童免受经济剥削。</w:t>
      </w:r>
    </w:p>
    <w:p w:rsidR="00000000" w:rsidRDefault="00000000">
      <w:pPr>
        <w:pStyle w:val="ae"/>
        <w:rPr>
          <w:rFonts w:hint="eastAsia"/>
        </w:rPr>
      </w:pPr>
      <w:r>
        <w:rPr>
          <w:rFonts w:hint="eastAsia"/>
        </w:rPr>
        <w:t>4.</w:t>
      </w:r>
      <w:r>
        <w:rPr>
          <w:rFonts w:hint="eastAsia"/>
        </w:rPr>
        <w:tab/>
      </w:r>
      <w:r>
        <w:rPr>
          <w:rFonts w:hint="eastAsia"/>
        </w:rPr>
        <w:t>阿拉伯利比亚民众国参加的同儿童问题有关的国际文献包括：</w:t>
      </w:r>
    </w:p>
    <w:p w:rsidR="00000000" w:rsidRDefault="00000000">
      <w:pPr>
        <w:pStyle w:val="a0"/>
        <w:tabs>
          <w:tab w:val="clear" w:pos="510"/>
          <w:tab w:val="num" w:pos="2040"/>
        </w:tabs>
        <w:spacing w:line="312" w:lineRule="auto"/>
        <w:ind w:left="2540"/>
        <w:rPr>
          <w:rFonts w:hint="eastAsia"/>
        </w:rPr>
      </w:pPr>
      <w:r>
        <w:rPr>
          <w:rFonts w:hint="eastAsia"/>
        </w:rPr>
        <w:t>《儿童权利公约》，</w:t>
      </w:r>
      <w:r>
        <w:rPr>
          <w:rFonts w:hint="eastAsia"/>
        </w:rPr>
        <w:t>1991</w:t>
      </w:r>
      <w:r>
        <w:rPr>
          <w:rFonts w:hint="eastAsia"/>
        </w:rPr>
        <w:t>年第</w:t>
      </w:r>
      <w:r>
        <w:rPr>
          <w:rFonts w:hint="eastAsia"/>
        </w:rPr>
        <w:t>2</w:t>
      </w:r>
      <w:r>
        <w:rPr>
          <w:rFonts w:hint="eastAsia"/>
        </w:rPr>
        <w:t>号法令批准；</w:t>
      </w:r>
    </w:p>
    <w:p w:rsidR="00000000" w:rsidRDefault="00000000">
      <w:pPr>
        <w:pStyle w:val="a0"/>
        <w:tabs>
          <w:tab w:val="clear" w:pos="510"/>
          <w:tab w:val="num" w:pos="2040"/>
        </w:tabs>
        <w:spacing w:line="312" w:lineRule="auto"/>
        <w:ind w:left="2540"/>
        <w:rPr>
          <w:rFonts w:hint="eastAsia"/>
        </w:rPr>
      </w:pPr>
      <w:r>
        <w:rPr>
          <w:rFonts w:hint="eastAsia"/>
        </w:rPr>
        <w:t>《公民权利和政治权利国际公约》；</w:t>
      </w:r>
    </w:p>
    <w:p w:rsidR="00000000" w:rsidRDefault="00000000">
      <w:pPr>
        <w:pStyle w:val="a0"/>
        <w:tabs>
          <w:tab w:val="clear" w:pos="510"/>
          <w:tab w:val="num" w:pos="2040"/>
        </w:tabs>
        <w:spacing w:line="312" w:lineRule="auto"/>
        <w:ind w:left="2540"/>
        <w:rPr>
          <w:rFonts w:hint="eastAsia"/>
        </w:rPr>
      </w:pPr>
      <w:r>
        <w:rPr>
          <w:rFonts w:hint="eastAsia"/>
        </w:rPr>
        <w:t>《消除对妇女一切形式歧视公约》；</w:t>
      </w:r>
    </w:p>
    <w:p w:rsidR="00000000" w:rsidRDefault="00000000">
      <w:pPr>
        <w:pStyle w:val="a0"/>
        <w:tabs>
          <w:tab w:val="clear" w:pos="510"/>
          <w:tab w:val="num" w:pos="2040"/>
        </w:tabs>
        <w:spacing w:line="312" w:lineRule="auto"/>
        <w:ind w:left="2540"/>
        <w:rPr>
          <w:rFonts w:hint="eastAsia"/>
        </w:rPr>
      </w:pPr>
      <w:r>
        <w:rPr>
          <w:rFonts w:hint="eastAsia"/>
        </w:rPr>
        <w:t>《保护生育公约》，</w:t>
      </w:r>
      <w:r>
        <w:rPr>
          <w:rFonts w:hint="eastAsia"/>
        </w:rPr>
        <w:t>1952</w:t>
      </w:r>
      <w:r>
        <w:rPr>
          <w:rFonts w:hint="eastAsia"/>
        </w:rPr>
        <w:t>年</w:t>
      </w:r>
      <w:r>
        <w:rPr>
          <w:rFonts w:hint="eastAsia"/>
        </w:rPr>
        <w:t>(</w:t>
      </w:r>
      <w:r>
        <w:rPr>
          <w:rFonts w:hint="eastAsia"/>
        </w:rPr>
        <w:t>第</w:t>
      </w:r>
      <w:r>
        <w:rPr>
          <w:rFonts w:hint="eastAsia"/>
        </w:rPr>
        <w:t>103</w:t>
      </w:r>
      <w:r>
        <w:rPr>
          <w:rFonts w:hint="eastAsia"/>
        </w:rPr>
        <w:t>号</w:t>
      </w:r>
      <w:r>
        <w:rPr>
          <w:rFonts w:hint="eastAsia"/>
        </w:rPr>
        <w:t>)</w:t>
      </w:r>
      <w:r>
        <w:rPr>
          <w:rFonts w:hint="eastAsia"/>
        </w:rPr>
        <w:t>；以及</w:t>
      </w:r>
    </w:p>
    <w:p w:rsidR="00000000" w:rsidRDefault="00000000">
      <w:pPr>
        <w:pStyle w:val="a0"/>
        <w:tabs>
          <w:tab w:val="clear" w:pos="510"/>
          <w:tab w:val="num" w:pos="2040"/>
        </w:tabs>
        <w:spacing w:line="312" w:lineRule="auto"/>
        <w:ind w:left="2540"/>
        <w:rPr>
          <w:rFonts w:hint="eastAsia"/>
        </w:rPr>
      </w:pPr>
      <w:r>
        <w:rPr>
          <w:rFonts w:hint="eastAsia"/>
        </w:rPr>
        <w:t>劳工组织的有关公约以及阿拉伯劳工组织《关于准予就业最低年龄公约》。</w:t>
      </w:r>
    </w:p>
    <w:p w:rsidR="00000000" w:rsidRDefault="00000000">
      <w:pPr>
        <w:spacing w:after="320"/>
        <w:rPr>
          <w:rFonts w:hint="eastAsia"/>
        </w:rPr>
      </w:pPr>
      <w:r>
        <w:rPr>
          <w:rFonts w:hint="eastAsia"/>
        </w:rPr>
        <w:tab/>
        <w:t xml:space="preserve">52.  </w:t>
      </w:r>
      <w:r>
        <w:rPr>
          <w:rFonts w:hint="eastAsia"/>
        </w:rPr>
        <w:t>阿拉伯利比亚民众国利用了国际社会所提供的专门知识和帮助，并且同儿童基金会在的黎波里的办事处、联合国教育、科学和文化组织以及世界卫生组织合作，为保护家庭、母亲和儿童而设立有关机制。</w:t>
      </w:r>
    </w:p>
    <w:p w:rsidR="00000000" w:rsidRDefault="00000000">
      <w:pPr>
        <w:pStyle w:val="Heading3"/>
        <w:rPr>
          <w:rFonts w:hint="eastAsia"/>
        </w:rPr>
      </w:pPr>
      <w:r>
        <w:rPr>
          <w:rFonts w:hint="eastAsia"/>
        </w:rPr>
        <w:t>第十一条</w:t>
      </w:r>
      <w:r>
        <w:rPr>
          <w:rFonts w:hint="eastAsia"/>
          <w:spacing w:val="0"/>
        </w:rPr>
        <w:t xml:space="preserve">  </w:t>
      </w:r>
      <w:r>
        <w:rPr>
          <w:rFonts w:hint="eastAsia"/>
        </w:rPr>
        <w:t>获得食物、衣服和住房的权利</w:t>
      </w:r>
      <w:r>
        <w:br/>
      </w:r>
      <w:r>
        <w:rPr>
          <w:rFonts w:hint="eastAsia"/>
        </w:rPr>
        <w:t>(</w:t>
      </w:r>
      <w:r>
        <w:rPr>
          <w:rFonts w:hint="eastAsia"/>
        </w:rPr>
        <w:t>适足生活水准权</w:t>
      </w:r>
      <w:r>
        <w:rPr>
          <w:rFonts w:hint="eastAsia"/>
        </w:rPr>
        <w:t>)</w:t>
      </w:r>
    </w:p>
    <w:p w:rsidR="00000000" w:rsidRDefault="00000000">
      <w:pPr>
        <w:pStyle w:val="Heading4"/>
        <w:rPr>
          <w:rFonts w:hint="eastAsia"/>
          <w:u w:val="none"/>
        </w:rPr>
      </w:pPr>
      <w:r>
        <w:rPr>
          <w:rFonts w:hint="eastAsia"/>
        </w:rPr>
        <w:t>第</w:t>
      </w:r>
      <w:r>
        <w:rPr>
          <w:rFonts w:hint="eastAsia"/>
        </w:rPr>
        <w:t>1</w:t>
      </w:r>
      <w:r>
        <w:rPr>
          <w:rFonts w:hint="eastAsia"/>
        </w:rPr>
        <w:t>段</w:t>
      </w:r>
      <w:r>
        <w:rPr>
          <w:rFonts w:hint="eastAsia"/>
          <w:u w:val="none"/>
        </w:rPr>
        <w:t xml:space="preserve"> </w:t>
      </w:r>
      <w:r>
        <w:rPr>
          <w:rStyle w:val="FootnoteReference"/>
          <w:u w:val="none"/>
        </w:rPr>
        <w:footnoteReference w:customMarkFollows="1" w:id="2"/>
        <w:t>*</w:t>
      </w:r>
    </w:p>
    <w:p w:rsidR="00000000" w:rsidRDefault="00000000">
      <w:pPr>
        <w:rPr>
          <w:rFonts w:hint="eastAsia"/>
        </w:rPr>
      </w:pPr>
      <w:r>
        <w:rPr>
          <w:rFonts w:hint="eastAsia"/>
        </w:rPr>
        <w:tab/>
        <w:t xml:space="preserve">53.  </w:t>
      </w:r>
      <w:r>
        <w:rPr>
          <w:rFonts w:hint="eastAsia"/>
        </w:rPr>
        <w:t>根据利比亚国家文献和信息处所编写的人类发展报告，利比亚人民，无论是就全体人民而言还是就没有收入的失业者和退休人士而言，均享有适足的生活水准，因为按照法律规定，这些弱势群体有权领取基本生活费，可以满足其基本需求。</w:t>
      </w:r>
    </w:p>
    <w:p w:rsidR="00000000" w:rsidRDefault="00000000">
      <w:pPr>
        <w:rPr>
          <w:rFonts w:hint="eastAsia"/>
        </w:rPr>
      </w:pPr>
      <w:r>
        <w:rPr>
          <w:rFonts w:hint="eastAsia"/>
        </w:rPr>
        <w:tab/>
        <w:t xml:space="preserve">54.  </w:t>
      </w:r>
      <w:r>
        <w:rPr>
          <w:rFonts w:hint="eastAsia"/>
        </w:rPr>
        <w:t>利比亚人民的生活水准有所改善，从有关人均热能摄入量的指标上也能反映出来，因为摄入量高于国际最低标准。在缩小在</w:t>
      </w:r>
      <w:r>
        <w:rPr>
          <w:rFonts w:hint="eastAsia"/>
        </w:rPr>
        <w:t>1969</w:t>
      </w:r>
      <w:r>
        <w:rPr>
          <w:rFonts w:hint="eastAsia"/>
        </w:rPr>
        <w:t>年革命之前已经形成的社会各阶层收入差别方面，发展计划和人类发展投资方案已经取得明显成效。</w:t>
      </w:r>
    </w:p>
    <w:p w:rsidR="00000000" w:rsidRDefault="00000000">
      <w:pPr>
        <w:rPr>
          <w:rFonts w:hint="eastAsia"/>
        </w:rPr>
      </w:pPr>
      <w:r>
        <w:rPr>
          <w:rFonts w:hint="eastAsia"/>
        </w:rPr>
        <w:tab/>
        <w:t xml:space="preserve">55.  </w:t>
      </w:r>
      <w:r>
        <w:rPr>
          <w:rFonts w:hint="eastAsia"/>
        </w:rPr>
        <w:t>根据家庭开支调查的结果</w:t>
      </w:r>
      <w:r>
        <w:rPr>
          <w:rFonts w:hint="eastAsia"/>
        </w:rPr>
        <w:t>(</w:t>
      </w:r>
      <w:r>
        <w:rPr>
          <w:rFonts w:hint="eastAsia"/>
        </w:rPr>
        <w:t>这次调查使用了吉尼系数来衡量收入不平等情况</w:t>
      </w:r>
      <w:r>
        <w:rPr>
          <w:rFonts w:hint="eastAsia"/>
        </w:rPr>
        <w:t>)</w:t>
      </w:r>
      <w:r>
        <w:rPr>
          <w:rFonts w:hint="eastAsia"/>
        </w:rPr>
        <w:t>，从全国平均水平和全体人口角度来看，利比亚的收入差别不大。全国各地区的收入差别也不算太大，因为没有十分明显的差异。</w:t>
      </w:r>
    </w:p>
    <w:p w:rsidR="00000000" w:rsidRDefault="00000000">
      <w:pPr>
        <w:rPr>
          <w:rFonts w:hint="eastAsia"/>
        </w:rPr>
      </w:pPr>
      <w:r>
        <w:rPr>
          <w:rFonts w:hint="eastAsia"/>
        </w:rPr>
        <w:tab/>
        <w:t xml:space="preserve">56.  </w:t>
      </w:r>
      <w:r>
        <w:rPr>
          <w:rFonts w:hint="eastAsia"/>
        </w:rPr>
        <w:t>为了确保所有人都能获得适足的生活水准，已经采取必要措施以保证通过低价销售渠道和以最优惠的条件不断提供商品。所有公民都享受国家补贴。此外，已经建立了许多消费者协会。</w:t>
      </w:r>
      <w:r>
        <w:rPr>
          <w:rFonts w:hint="eastAsia"/>
        </w:rPr>
        <w:t>1979</w:t>
      </w:r>
      <w:r>
        <w:rPr>
          <w:rFonts w:hint="eastAsia"/>
        </w:rPr>
        <w:t>年这类协会的数目为</w:t>
      </w:r>
      <w:r>
        <w:rPr>
          <w:rFonts w:hint="eastAsia"/>
        </w:rPr>
        <w:t>5,998</w:t>
      </w:r>
      <w:r>
        <w:rPr>
          <w:rFonts w:hint="eastAsia"/>
        </w:rPr>
        <w:t>个，到</w:t>
      </w:r>
      <w:r>
        <w:rPr>
          <w:rFonts w:hint="eastAsia"/>
        </w:rPr>
        <w:t>2003</w:t>
      </w:r>
      <w:r>
        <w:rPr>
          <w:rFonts w:hint="eastAsia"/>
        </w:rPr>
        <w:t>年已经增加到</w:t>
      </w:r>
      <w:r>
        <w:rPr>
          <w:rFonts w:hint="eastAsia"/>
        </w:rPr>
        <w:t>888,229</w:t>
      </w:r>
      <w:r>
        <w:rPr>
          <w:rFonts w:hint="eastAsia"/>
        </w:rPr>
        <w:t>个，为利比亚</w:t>
      </w:r>
      <w:r>
        <w:rPr>
          <w:rFonts w:hint="eastAsia"/>
        </w:rPr>
        <w:t>776,448</w:t>
      </w:r>
      <w:r>
        <w:rPr>
          <w:rFonts w:hint="eastAsia"/>
        </w:rPr>
        <w:t>个家庭或者说超过</w:t>
      </w:r>
      <w:r>
        <w:rPr>
          <w:rFonts w:hint="eastAsia"/>
        </w:rPr>
        <w:t>570</w:t>
      </w:r>
      <w:r>
        <w:rPr>
          <w:rFonts w:hint="eastAsia"/>
        </w:rPr>
        <w:t>万人民提供服务。</w:t>
      </w:r>
    </w:p>
    <w:p w:rsidR="00000000" w:rsidRDefault="00000000">
      <w:pPr>
        <w:spacing w:after="160"/>
        <w:rPr>
          <w:rFonts w:hint="eastAsia"/>
        </w:rPr>
      </w:pPr>
      <w:r>
        <w:rPr>
          <w:rFonts w:hint="eastAsia"/>
        </w:rPr>
        <w:tab/>
        <w:t xml:space="preserve">57.  </w:t>
      </w:r>
      <w:r>
        <w:rPr>
          <w:rFonts w:hint="eastAsia"/>
        </w:rPr>
        <w:t>生活水准的提高来自个人购买力的改善。这是因为平均人均现金收入有了很大增加，其根本原因在于人均国民生产总值从</w:t>
      </w:r>
      <w:r>
        <w:rPr>
          <w:rFonts w:hint="eastAsia"/>
        </w:rPr>
        <w:t>1970</w:t>
      </w:r>
      <w:r>
        <w:rPr>
          <w:rFonts w:hint="eastAsia"/>
        </w:rPr>
        <w:t>年的</w:t>
      </w:r>
      <w:r>
        <w:rPr>
          <w:rFonts w:hint="eastAsia"/>
        </w:rPr>
        <w:t>656</w:t>
      </w:r>
      <w:r>
        <w:rPr>
          <w:rFonts w:hint="eastAsia"/>
        </w:rPr>
        <w:t>个第纳尔增加到</w:t>
      </w:r>
      <w:r>
        <w:rPr>
          <w:rFonts w:hint="eastAsia"/>
        </w:rPr>
        <w:t>1980</w:t>
      </w:r>
      <w:r>
        <w:rPr>
          <w:rFonts w:hint="eastAsia"/>
        </w:rPr>
        <w:t>年代的</w:t>
      </w:r>
      <w:r>
        <w:rPr>
          <w:rFonts w:hint="eastAsia"/>
        </w:rPr>
        <w:t>3,318</w:t>
      </w:r>
      <w:r>
        <w:rPr>
          <w:rFonts w:hint="eastAsia"/>
        </w:rPr>
        <w:t>个第纳尔，年复增长率几乎达到</w:t>
      </w:r>
      <w:r>
        <w:rPr>
          <w:rFonts w:hint="eastAsia"/>
        </w:rPr>
        <w:t>19%</w:t>
      </w:r>
      <w:r>
        <w:rPr>
          <w:rFonts w:hint="eastAsia"/>
        </w:rPr>
        <w:t>。人均国民生产总值的增长率要高于人口增长率。虽然在</w:t>
      </w:r>
      <w:r>
        <w:rPr>
          <w:rFonts w:hint="eastAsia"/>
        </w:rPr>
        <w:t>1980</w:t>
      </w:r>
      <w:r>
        <w:rPr>
          <w:rFonts w:hint="eastAsia"/>
        </w:rPr>
        <w:t>年代以后人均收入有所下降，但是收入还是适足的，在</w:t>
      </w:r>
      <w:r>
        <w:rPr>
          <w:rFonts w:hint="eastAsia"/>
        </w:rPr>
        <w:t>1997</w:t>
      </w:r>
      <w:r>
        <w:rPr>
          <w:rFonts w:hint="eastAsia"/>
        </w:rPr>
        <w:t>年稳定在</w:t>
      </w:r>
      <w:r>
        <w:rPr>
          <w:rFonts w:hint="eastAsia"/>
        </w:rPr>
        <w:t>2,618</w:t>
      </w:r>
      <w:r>
        <w:rPr>
          <w:rFonts w:hint="eastAsia"/>
        </w:rPr>
        <w:t>个第纳尔左右，请看下表。</w:t>
      </w:r>
    </w:p>
    <w:p w:rsidR="00000000" w:rsidRDefault="00000000">
      <w:pPr>
        <w:pStyle w:val="Heading3"/>
        <w:pageBreakBefore/>
        <w:rPr>
          <w:rFonts w:hint="eastAsia"/>
        </w:rPr>
      </w:pPr>
      <w:r>
        <w:rPr>
          <w:rFonts w:hint="eastAsia"/>
        </w:rPr>
        <w:t>人均收入和国民生产总值的趋势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52"/>
        <w:gridCol w:w="2352"/>
        <w:gridCol w:w="2353"/>
        <w:gridCol w:w="2353"/>
      </w:tblGrid>
      <w:tr w:rsidR="00000000">
        <w:tblPrEx>
          <w:tblCellMar>
            <w:top w:w="0" w:type="dxa"/>
            <w:bottom w:w="0" w:type="dxa"/>
          </w:tblCellMar>
        </w:tblPrEx>
        <w:tc>
          <w:tcPr>
            <w:tcW w:w="2352" w:type="dxa"/>
            <w:vAlign w:val="center"/>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年</w:t>
            </w:r>
            <w:r>
              <w:rPr>
                <w:rFonts w:ascii="Time New Roman" w:eastAsia="SimHei" w:hAnsi="Time New Roman" w:hint="eastAsia"/>
              </w:rPr>
              <w:t xml:space="preserve">  </w:t>
            </w:r>
            <w:r>
              <w:rPr>
                <w:rFonts w:ascii="Time New Roman" w:eastAsia="SimHei" w:hAnsi="Time New Roman" w:hint="eastAsia"/>
              </w:rPr>
              <w:t>份</w:t>
            </w:r>
          </w:p>
        </w:tc>
        <w:tc>
          <w:tcPr>
            <w:tcW w:w="2352" w:type="dxa"/>
            <w:vAlign w:val="center"/>
          </w:tcPr>
          <w:p w:rsidR="00000000" w:rsidRDefault="00000000">
            <w:pPr>
              <w:pStyle w:val="a2"/>
              <w:spacing w:before="60" w:after="20" w:line="240" w:lineRule="auto"/>
              <w:jc w:val="center"/>
              <w:rPr>
                <w:rFonts w:ascii="Time New Roman" w:eastAsia="SimHei" w:hAnsi="Time New Roman" w:hint="eastAsia"/>
              </w:rPr>
            </w:pPr>
            <w:r>
              <w:rPr>
                <w:rFonts w:ascii="Time New Roman" w:eastAsia="SimHei" w:hAnsi="Time New Roman" w:hint="eastAsia"/>
              </w:rPr>
              <w:t>国民生产总值</w:t>
            </w:r>
            <w:r>
              <w:rPr>
                <w:rFonts w:ascii="Time New Roman" w:eastAsia="SimHei" w:hAnsi="Time New Roman"/>
              </w:rPr>
              <w:br/>
            </w:r>
            <w:r>
              <w:rPr>
                <w:rFonts w:ascii="Time New Roman" w:eastAsia="SimHei" w:hAnsi="Time New Roman" w:hint="eastAsia"/>
              </w:rPr>
              <w:t>(</w:t>
            </w:r>
            <w:r>
              <w:rPr>
                <w:rFonts w:ascii="Time New Roman" w:eastAsia="SimHei" w:hAnsi="Time New Roman" w:hint="eastAsia"/>
              </w:rPr>
              <w:t>按时价要素成本计算，</w:t>
            </w:r>
            <w:r>
              <w:rPr>
                <w:rFonts w:ascii="Time New Roman" w:eastAsia="SimHei" w:hAnsi="Time New Roman"/>
              </w:rPr>
              <w:br/>
            </w:r>
            <w:r>
              <w:rPr>
                <w:rFonts w:ascii="Time New Roman" w:eastAsia="SimHei" w:hAnsi="Time New Roman" w:hint="eastAsia"/>
              </w:rPr>
              <w:t>百万第纳尔</w:t>
            </w:r>
            <w:r>
              <w:rPr>
                <w:rFonts w:ascii="Time New Roman" w:eastAsia="SimHei" w:hAnsi="Time New Roman" w:hint="eastAsia"/>
              </w:rPr>
              <w:t>)</w:t>
            </w:r>
          </w:p>
        </w:tc>
        <w:tc>
          <w:tcPr>
            <w:tcW w:w="2353" w:type="dxa"/>
            <w:vAlign w:val="center"/>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居民人数</w:t>
            </w:r>
            <w:r>
              <w:rPr>
                <w:rFonts w:ascii="Time New Roman" w:eastAsia="SimHei" w:hAnsi="Time New Roman"/>
              </w:rPr>
              <w:br/>
              <w:t>(</w:t>
            </w:r>
            <w:r>
              <w:rPr>
                <w:rFonts w:ascii="Time New Roman" w:eastAsia="SimHei" w:hAnsi="Time New Roman" w:hint="eastAsia"/>
              </w:rPr>
              <w:t>千</w:t>
            </w:r>
            <w:r>
              <w:rPr>
                <w:rFonts w:ascii="Time New Roman" w:eastAsia="SimHei" w:hAnsi="Time New Roman" w:hint="eastAsia"/>
              </w:rPr>
              <w:t xml:space="preserve"> </w:t>
            </w:r>
            <w:r>
              <w:rPr>
                <w:rFonts w:ascii="Time New Roman" w:eastAsia="SimHei" w:hAnsi="Time New Roman" w:hint="eastAsia"/>
              </w:rPr>
              <w:t>人</w:t>
            </w:r>
            <w:r>
              <w:rPr>
                <w:rFonts w:ascii="Time New Roman" w:eastAsia="SimHei" w:hAnsi="Time New Roman" w:hint="eastAsia"/>
              </w:rPr>
              <w:t>)</w:t>
            </w:r>
          </w:p>
        </w:tc>
        <w:tc>
          <w:tcPr>
            <w:tcW w:w="2353" w:type="dxa"/>
            <w:vAlign w:val="center"/>
          </w:tcPr>
          <w:p w:rsidR="00000000" w:rsidRDefault="00000000">
            <w:pPr>
              <w:pStyle w:val="a2"/>
              <w:spacing w:line="240" w:lineRule="auto"/>
              <w:jc w:val="center"/>
              <w:rPr>
                <w:rFonts w:ascii="Time New Roman" w:eastAsia="SimHei" w:hAnsi="Time New Roman" w:hint="eastAsia"/>
              </w:rPr>
            </w:pPr>
            <w:r>
              <w:rPr>
                <w:rFonts w:ascii="Time New Roman" w:eastAsia="SimHei" w:hAnsi="Time New Roman" w:hint="eastAsia"/>
              </w:rPr>
              <w:t>人</w:t>
            </w:r>
            <w:r>
              <w:rPr>
                <w:rFonts w:ascii="Time New Roman" w:eastAsia="SimHei" w:hAnsi="Time New Roman" w:hint="eastAsia"/>
              </w:rPr>
              <w:t xml:space="preserve"> </w:t>
            </w:r>
            <w:r>
              <w:rPr>
                <w:rFonts w:ascii="Time New Roman" w:eastAsia="SimHei" w:hAnsi="Time New Roman" w:hint="eastAsia"/>
              </w:rPr>
              <w:t>均</w:t>
            </w:r>
            <w:r>
              <w:rPr>
                <w:rFonts w:ascii="Time New Roman" w:eastAsia="SimHei" w:hAnsi="Time New Roman" w:hint="eastAsia"/>
              </w:rPr>
              <w:t xml:space="preserve"> </w:t>
            </w:r>
            <w:r>
              <w:rPr>
                <w:rFonts w:ascii="Time New Roman" w:eastAsia="SimHei" w:hAnsi="Time New Roman" w:hint="eastAsia"/>
              </w:rPr>
              <w:t>收</w:t>
            </w:r>
            <w:r>
              <w:rPr>
                <w:rFonts w:ascii="Time New Roman" w:eastAsia="SimHei" w:hAnsi="Time New Roman" w:hint="eastAsia"/>
              </w:rPr>
              <w:t xml:space="preserve"> </w:t>
            </w:r>
            <w:r>
              <w:rPr>
                <w:rFonts w:ascii="Time New Roman" w:eastAsia="SimHei" w:hAnsi="Time New Roman" w:hint="eastAsia"/>
              </w:rPr>
              <w:t>入</w:t>
            </w:r>
            <w:r>
              <w:rPr>
                <w:rFonts w:ascii="Time New Roman" w:eastAsia="SimHei" w:hAnsi="Time New Roman"/>
              </w:rPr>
              <w:br/>
              <w:t>(</w:t>
            </w:r>
            <w:r>
              <w:rPr>
                <w:rFonts w:ascii="Time New Roman" w:eastAsia="SimHei" w:hAnsi="Time New Roman" w:hint="eastAsia"/>
              </w:rPr>
              <w:t>第纳尔</w:t>
            </w:r>
            <w:r>
              <w:rPr>
                <w:rFonts w:ascii="Time New Roman" w:eastAsia="SimHei" w:hAnsi="Time New Roman" w:hint="eastAsia"/>
              </w:rPr>
              <w:t>)</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1970</w:t>
            </w:r>
          </w:p>
        </w:tc>
        <w:tc>
          <w:tcPr>
            <w:tcW w:w="2352" w:type="dxa"/>
          </w:tcPr>
          <w:p w:rsidR="00000000" w:rsidRDefault="00000000">
            <w:pPr>
              <w:pStyle w:val="a2"/>
              <w:spacing w:line="240" w:lineRule="auto"/>
              <w:ind w:right="763"/>
              <w:jc w:val="right"/>
            </w:pPr>
            <w:r>
              <w:t>1 288.3</w:t>
            </w:r>
          </w:p>
        </w:tc>
        <w:tc>
          <w:tcPr>
            <w:tcW w:w="2353" w:type="dxa"/>
          </w:tcPr>
          <w:p w:rsidR="00000000" w:rsidRDefault="00000000">
            <w:pPr>
              <w:pStyle w:val="a2"/>
              <w:spacing w:line="240" w:lineRule="auto"/>
              <w:ind w:right="763"/>
              <w:jc w:val="right"/>
            </w:pPr>
            <w:r>
              <w:t>1 963.0</w:t>
            </w:r>
          </w:p>
        </w:tc>
        <w:tc>
          <w:tcPr>
            <w:tcW w:w="2353" w:type="dxa"/>
          </w:tcPr>
          <w:p w:rsidR="00000000" w:rsidRDefault="00000000">
            <w:pPr>
              <w:pStyle w:val="a2"/>
              <w:spacing w:line="240" w:lineRule="auto"/>
              <w:ind w:right="763"/>
              <w:jc w:val="right"/>
            </w:pPr>
            <w:r>
              <w:t>656</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1975</w:t>
            </w:r>
          </w:p>
        </w:tc>
        <w:tc>
          <w:tcPr>
            <w:tcW w:w="2352" w:type="dxa"/>
          </w:tcPr>
          <w:p w:rsidR="00000000" w:rsidRDefault="00000000">
            <w:pPr>
              <w:pStyle w:val="a2"/>
              <w:spacing w:line="240" w:lineRule="auto"/>
              <w:ind w:right="763"/>
              <w:jc w:val="right"/>
            </w:pPr>
            <w:r>
              <w:t>3 674.3</w:t>
            </w:r>
          </w:p>
        </w:tc>
        <w:tc>
          <w:tcPr>
            <w:tcW w:w="2353" w:type="dxa"/>
          </w:tcPr>
          <w:p w:rsidR="00000000" w:rsidRDefault="00000000">
            <w:pPr>
              <w:pStyle w:val="a2"/>
              <w:spacing w:line="240" w:lineRule="auto"/>
              <w:ind w:right="763"/>
              <w:jc w:val="right"/>
            </w:pPr>
            <w:r>
              <w:t>2 595.5</w:t>
            </w:r>
          </w:p>
        </w:tc>
        <w:tc>
          <w:tcPr>
            <w:tcW w:w="2353" w:type="dxa"/>
          </w:tcPr>
          <w:p w:rsidR="00000000" w:rsidRDefault="00000000">
            <w:pPr>
              <w:pStyle w:val="a2"/>
              <w:spacing w:line="240" w:lineRule="auto"/>
              <w:ind w:right="763"/>
              <w:jc w:val="right"/>
            </w:pPr>
            <w:r>
              <w:t>1 416</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1980</w:t>
            </w:r>
          </w:p>
        </w:tc>
        <w:tc>
          <w:tcPr>
            <w:tcW w:w="2352" w:type="dxa"/>
          </w:tcPr>
          <w:p w:rsidR="00000000" w:rsidRDefault="00000000">
            <w:pPr>
              <w:pStyle w:val="a2"/>
              <w:spacing w:line="240" w:lineRule="auto"/>
              <w:ind w:right="763"/>
              <w:jc w:val="right"/>
            </w:pPr>
            <w:r>
              <w:t>10 553.8</w:t>
            </w:r>
          </w:p>
        </w:tc>
        <w:tc>
          <w:tcPr>
            <w:tcW w:w="2353" w:type="dxa"/>
          </w:tcPr>
          <w:p w:rsidR="00000000" w:rsidRDefault="00000000">
            <w:pPr>
              <w:pStyle w:val="a2"/>
              <w:spacing w:line="240" w:lineRule="auto"/>
              <w:ind w:right="763"/>
              <w:jc w:val="right"/>
            </w:pPr>
            <w:r>
              <w:t>3 180.8</w:t>
            </w:r>
          </w:p>
        </w:tc>
        <w:tc>
          <w:tcPr>
            <w:tcW w:w="2353" w:type="dxa"/>
          </w:tcPr>
          <w:p w:rsidR="00000000" w:rsidRDefault="00000000">
            <w:pPr>
              <w:pStyle w:val="a2"/>
              <w:spacing w:line="240" w:lineRule="auto"/>
              <w:ind w:right="763"/>
              <w:jc w:val="right"/>
            </w:pPr>
            <w:r>
              <w:t>3 318</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1985</w:t>
            </w:r>
          </w:p>
        </w:tc>
        <w:tc>
          <w:tcPr>
            <w:tcW w:w="2352" w:type="dxa"/>
          </w:tcPr>
          <w:p w:rsidR="00000000" w:rsidRDefault="00000000">
            <w:pPr>
              <w:pStyle w:val="a2"/>
              <w:spacing w:line="240" w:lineRule="auto"/>
              <w:ind w:right="763"/>
              <w:jc w:val="right"/>
            </w:pPr>
            <w:r>
              <w:t>7 852.1</w:t>
            </w:r>
          </w:p>
        </w:tc>
        <w:tc>
          <w:tcPr>
            <w:tcW w:w="2353" w:type="dxa"/>
          </w:tcPr>
          <w:p w:rsidR="00000000" w:rsidRDefault="00000000">
            <w:pPr>
              <w:pStyle w:val="a2"/>
              <w:spacing w:line="240" w:lineRule="auto"/>
              <w:ind w:right="763"/>
              <w:jc w:val="right"/>
            </w:pPr>
            <w:r>
              <w:t>3 617.8</w:t>
            </w:r>
          </w:p>
        </w:tc>
        <w:tc>
          <w:tcPr>
            <w:tcW w:w="2353" w:type="dxa"/>
          </w:tcPr>
          <w:p w:rsidR="00000000" w:rsidRDefault="00000000">
            <w:pPr>
              <w:pStyle w:val="a2"/>
              <w:spacing w:line="240" w:lineRule="auto"/>
              <w:ind w:right="763"/>
              <w:jc w:val="right"/>
            </w:pPr>
            <w:r>
              <w:t>2 170</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1990</w:t>
            </w:r>
          </w:p>
        </w:tc>
        <w:tc>
          <w:tcPr>
            <w:tcW w:w="2352" w:type="dxa"/>
          </w:tcPr>
          <w:p w:rsidR="00000000" w:rsidRDefault="00000000">
            <w:pPr>
              <w:pStyle w:val="a2"/>
              <w:spacing w:line="240" w:lineRule="auto"/>
              <w:ind w:right="763"/>
              <w:jc w:val="right"/>
            </w:pPr>
            <w:r>
              <w:t>7 749.6</w:t>
            </w:r>
          </w:p>
        </w:tc>
        <w:tc>
          <w:tcPr>
            <w:tcW w:w="2353" w:type="dxa"/>
          </w:tcPr>
          <w:p w:rsidR="00000000" w:rsidRDefault="00000000">
            <w:pPr>
              <w:pStyle w:val="a2"/>
              <w:spacing w:line="240" w:lineRule="auto"/>
              <w:ind w:right="763"/>
              <w:jc w:val="right"/>
            </w:pPr>
            <w:r>
              <w:t>4 525.0</w:t>
            </w:r>
          </w:p>
        </w:tc>
        <w:tc>
          <w:tcPr>
            <w:tcW w:w="2353" w:type="dxa"/>
          </w:tcPr>
          <w:p w:rsidR="00000000" w:rsidRDefault="00000000">
            <w:pPr>
              <w:pStyle w:val="a2"/>
              <w:spacing w:line="240" w:lineRule="auto"/>
              <w:ind w:right="763"/>
              <w:jc w:val="right"/>
            </w:pPr>
            <w:r>
              <w:t>1 713</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1995</w:t>
            </w:r>
          </w:p>
        </w:tc>
        <w:tc>
          <w:tcPr>
            <w:tcW w:w="2352" w:type="dxa"/>
          </w:tcPr>
          <w:p w:rsidR="00000000" w:rsidRDefault="00000000">
            <w:pPr>
              <w:pStyle w:val="a2"/>
              <w:spacing w:line="240" w:lineRule="auto"/>
              <w:ind w:right="763"/>
              <w:jc w:val="right"/>
            </w:pPr>
            <w:r>
              <w:t>13 121.3</w:t>
            </w:r>
          </w:p>
        </w:tc>
        <w:tc>
          <w:tcPr>
            <w:tcW w:w="2353" w:type="dxa"/>
          </w:tcPr>
          <w:p w:rsidR="00000000" w:rsidRDefault="00000000">
            <w:pPr>
              <w:pStyle w:val="a2"/>
              <w:spacing w:line="240" w:lineRule="auto"/>
              <w:ind w:right="763"/>
              <w:jc w:val="right"/>
            </w:pPr>
            <w:r>
              <w:t>4 799.0</w:t>
            </w:r>
          </w:p>
        </w:tc>
        <w:tc>
          <w:tcPr>
            <w:tcW w:w="2353" w:type="dxa"/>
          </w:tcPr>
          <w:p w:rsidR="00000000" w:rsidRDefault="00000000">
            <w:pPr>
              <w:pStyle w:val="a2"/>
              <w:spacing w:line="240" w:lineRule="auto"/>
              <w:ind w:right="567"/>
              <w:jc w:val="right"/>
            </w:pPr>
            <w:r>
              <w:t>4 389.7</w:t>
            </w:r>
          </w:p>
        </w:tc>
      </w:tr>
      <w:tr w:rsidR="00000000">
        <w:tblPrEx>
          <w:tblCellMar>
            <w:top w:w="0" w:type="dxa"/>
            <w:bottom w:w="0" w:type="dxa"/>
          </w:tblCellMar>
        </w:tblPrEx>
        <w:tc>
          <w:tcPr>
            <w:tcW w:w="2352" w:type="dxa"/>
          </w:tcPr>
          <w:p w:rsidR="00000000" w:rsidRDefault="00000000">
            <w:pPr>
              <w:pStyle w:val="a2"/>
              <w:spacing w:line="240" w:lineRule="auto"/>
              <w:jc w:val="center"/>
              <w:rPr>
                <w:rFonts w:hint="eastAsia"/>
              </w:rPr>
            </w:pPr>
            <w:r>
              <w:rPr>
                <w:rFonts w:hint="eastAsia"/>
              </w:rPr>
              <w:t>2000</w:t>
            </w:r>
          </w:p>
        </w:tc>
        <w:tc>
          <w:tcPr>
            <w:tcW w:w="2352" w:type="dxa"/>
          </w:tcPr>
          <w:p w:rsidR="00000000" w:rsidRDefault="00000000">
            <w:pPr>
              <w:pStyle w:val="a2"/>
              <w:spacing w:line="240" w:lineRule="auto"/>
              <w:ind w:right="763"/>
              <w:jc w:val="right"/>
            </w:pPr>
            <w:r>
              <w:t>17 620.2</w:t>
            </w:r>
          </w:p>
        </w:tc>
        <w:tc>
          <w:tcPr>
            <w:tcW w:w="2353" w:type="dxa"/>
          </w:tcPr>
          <w:p w:rsidR="00000000" w:rsidRDefault="00000000">
            <w:pPr>
              <w:pStyle w:val="a2"/>
              <w:spacing w:line="240" w:lineRule="auto"/>
              <w:ind w:right="763"/>
              <w:jc w:val="right"/>
            </w:pPr>
            <w:r>
              <w:t>5 125   </w:t>
            </w:r>
          </w:p>
        </w:tc>
        <w:tc>
          <w:tcPr>
            <w:tcW w:w="2353" w:type="dxa"/>
          </w:tcPr>
          <w:p w:rsidR="00000000" w:rsidRDefault="00000000">
            <w:pPr>
              <w:pStyle w:val="a2"/>
              <w:spacing w:line="240" w:lineRule="auto"/>
              <w:ind w:right="763"/>
              <w:jc w:val="right"/>
            </w:pPr>
            <w:r>
              <w:t>3 438</w:t>
            </w:r>
          </w:p>
        </w:tc>
      </w:tr>
    </w:tbl>
    <w:p w:rsidR="00000000" w:rsidRDefault="00000000">
      <w:pPr>
        <w:rPr>
          <w:rFonts w:hint="eastAsia"/>
        </w:rPr>
      </w:pPr>
    </w:p>
    <w:p w:rsidR="00000000" w:rsidRDefault="00000000">
      <w:pPr>
        <w:rPr>
          <w:rFonts w:hint="eastAsia"/>
        </w:rPr>
      </w:pPr>
      <w:r>
        <w:rPr>
          <w:rFonts w:hint="eastAsia"/>
        </w:rPr>
        <w:tab/>
        <w:t xml:space="preserve">58.  </w:t>
      </w:r>
      <w:r>
        <w:rPr>
          <w:rFonts w:hint="eastAsia"/>
        </w:rPr>
        <w:t>实际人均收入的增加反映在个人购买货物和劳务以及储蓄的能力上，也反映在同社会水准有关的家庭开支以及可以提供的货物和劳务上，因为这是提高人民生活水准的一个重要因素。根据利比亚民众国</w:t>
      </w:r>
      <w:r>
        <w:rPr>
          <w:rFonts w:hint="eastAsia"/>
        </w:rPr>
        <w:t>1999</w:t>
      </w:r>
      <w:r>
        <w:rPr>
          <w:rFonts w:hint="eastAsia"/>
        </w:rPr>
        <w:t>年人类发展报告，家庭在消费品和劳务上的开支加上占收入</w:t>
      </w:r>
      <w:r>
        <w:rPr>
          <w:rFonts w:hint="eastAsia"/>
        </w:rPr>
        <w:t>30%</w:t>
      </w:r>
      <w:r>
        <w:rPr>
          <w:rFonts w:hint="eastAsia"/>
        </w:rPr>
        <w:t>的平均储蓄能力从</w:t>
      </w:r>
      <w:r>
        <w:rPr>
          <w:rFonts w:hint="eastAsia"/>
        </w:rPr>
        <w:t>1970</w:t>
      </w:r>
      <w:r>
        <w:rPr>
          <w:rFonts w:hint="eastAsia"/>
        </w:rPr>
        <w:t>年的</w:t>
      </w:r>
      <w:r>
        <w:rPr>
          <w:rFonts w:hint="eastAsia"/>
        </w:rPr>
        <w:t>395,600,000</w:t>
      </w:r>
      <w:r>
        <w:rPr>
          <w:rFonts w:hint="eastAsia"/>
        </w:rPr>
        <w:t>第纳尔上升到</w:t>
      </w:r>
      <w:r>
        <w:rPr>
          <w:rFonts w:hint="eastAsia"/>
        </w:rPr>
        <w:t>1997</w:t>
      </w:r>
      <w:r>
        <w:rPr>
          <w:rFonts w:hint="eastAsia"/>
        </w:rPr>
        <w:t>年的</w:t>
      </w:r>
      <w:r>
        <w:rPr>
          <w:rFonts w:hint="eastAsia"/>
        </w:rPr>
        <w:t>7,236,000,000</w:t>
      </w:r>
      <w:r>
        <w:rPr>
          <w:rFonts w:hint="eastAsia"/>
        </w:rPr>
        <w:t>第纳尔。国家在消费品和劳务方面的开支也增加了，从</w:t>
      </w:r>
      <w:r>
        <w:rPr>
          <w:rFonts w:hint="eastAsia"/>
        </w:rPr>
        <w:t>1970</w:t>
      </w:r>
      <w:r>
        <w:rPr>
          <w:rFonts w:hint="eastAsia"/>
        </w:rPr>
        <w:t>年的</w:t>
      </w:r>
      <w:r>
        <w:rPr>
          <w:rFonts w:hint="eastAsia"/>
        </w:rPr>
        <w:t>220,700,000</w:t>
      </w:r>
      <w:r>
        <w:rPr>
          <w:rFonts w:hint="eastAsia"/>
        </w:rPr>
        <w:t>第纳尔增加到</w:t>
      </w:r>
      <w:r>
        <w:rPr>
          <w:rFonts w:hint="eastAsia"/>
        </w:rPr>
        <w:t>1997</w:t>
      </w:r>
      <w:r>
        <w:rPr>
          <w:rFonts w:hint="eastAsia"/>
        </w:rPr>
        <w:t>年的</w:t>
      </w:r>
      <w:r>
        <w:rPr>
          <w:rFonts w:hint="eastAsia"/>
        </w:rPr>
        <w:t>4,328,200,000</w:t>
      </w:r>
      <w:r>
        <w:rPr>
          <w:rFonts w:hint="eastAsia"/>
        </w:rPr>
        <w:t>第纳尔。</w:t>
      </w:r>
    </w:p>
    <w:p w:rsidR="00000000" w:rsidRDefault="00000000">
      <w:pPr>
        <w:rPr>
          <w:rFonts w:hint="eastAsia"/>
        </w:rPr>
      </w:pPr>
      <w:r>
        <w:rPr>
          <w:rFonts w:hint="eastAsia"/>
        </w:rPr>
        <w:tab/>
        <w:t xml:space="preserve">59.  </w:t>
      </w:r>
      <w:r>
        <w:rPr>
          <w:rFonts w:hint="eastAsia"/>
        </w:rPr>
        <w:t>社会政策推动了人均收入的增加，为所有社会团体提供了免费的教育、卫生和住房服务，其中优先照顾了穷人和残疾人。</w:t>
      </w:r>
    </w:p>
    <w:p w:rsidR="00000000" w:rsidRDefault="00000000">
      <w:pPr>
        <w:spacing w:after="320"/>
        <w:rPr>
          <w:rFonts w:hint="eastAsia"/>
        </w:rPr>
      </w:pPr>
      <w:r>
        <w:rPr>
          <w:rFonts w:hint="eastAsia"/>
        </w:rPr>
        <w:tab/>
        <w:t xml:space="preserve">60.  </w:t>
      </w:r>
      <w:r>
        <w:rPr>
          <w:rFonts w:hint="eastAsia"/>
        </w:rPr>
        <w:t>从国家的服务收支方面来说，人们可以清楚地看到公民的付费要低于成本，换句话说，这些服务几乎是免费的。</w:t>
      </w:r>
    </w:p>
    <w:p w:rsidR="00000000" w:rsidRDefault="00000000">
      <w:pPr>
        <w:pStyle w:val="Heading4"/>
        <w:rPr>
          <w:rFonts w:hint="eastAsia"/>
        </w:rPr>
      </w:pPr>
      <w:r>
        <w:t>(c)</w:t>
      </w:r>
      <w:r>
        <w:rPr>
          <w:rFonts w:hint="eastAsia"/>
        </w:rPr>
        <w:t xml:space="preserve"> </w:t>
      </w:r>
      <w:r>
        <w:rPr>
          <w:rFonts w:hint="eastAsia"/>
        </w:rPr>
        <w:t>分段</w:t>
      </w:r>
    </w:p>
    <w:p w:rsidR="00000000" w:rsidRDefault="00000000">
      <w:pPr>
        <w:spacing w:after="320"/>
        <w:rPr>
          <w:rFonts w:hint="eastAsia"/>
        </w:rPr>
      </w:pPr>
      <w:r>
        <w:rPr>
          <w:rFonts w:hint="eastAsia"/>
        </w:rPr>
        <w:tab/>
        <w:t xml:space="preserve">61.  </w:t>
      </w:r>
      <w:r>
        <w:rPr>
          <w:rFonts w:hint="eastAsia"/>
        </w:rPr>
        <w:t>利比亚划分贫困线的依据是能否获得商品和服务以及是否每个月都有足以满足其日常需求的稳定收入。生活在贫困线以下的人士均受惠于基本生活费计划，这项计划的目的是要确保所有人都能享有适足的生活水准。因此，在利比亚是不存在贫穷阶层的。</w:t>
      </w:r>
    </w:p>
    <w:p w:rsidR="00000000" w:rsidRDefault="00000000">
      <w:pPr>
        <w:pStyle w:val="Heading4"/>
        <w:rPr>
          <w:rFonts w:hint="eastAsia"/>
        </w:rPr>
      </w:pPr>
      <w:r>
        <w:t>(d)</w:t>
      </w:r>
      <w:r>
        <w:rPr>
          <w:rFonts w:hint="eastAsia"/>
        </w:rPr>
        <w:t xml:space="preserve"> </w:t>
      </w:r>
      <w:r>
        <w:rPr>
          <w:rFonts w:hint="eastAsia"/>
        </w:rPr>
        <w:t>分段</w:t>
      </w:r>
    </w:p>
    <w:p w:rsidR="00000000" w:rsidRDefault="00000000">
      <w:pPr>
        <w:rPr>
          <w:rFonts w:hint="eastAsia"/>
        </w:rPr>
      </w:pPr>
      <w:r>
        <w:rPr>
          <w:rFonts w:hint="eastAsia"/>
        </w:rPr>
        <w:tab/>
        <w:t xml:space="preserve">62.  </w:t>
      </w:r>
      <w:r>
        <w:rPr>
          <w:rFonts w:hint="eastAsia"/>
        </w:rPr>
        <w:t>利比亚的社会政策和经济政策的依据是衡量物质福利和心理福利的生活质量指数。从物质方面来说，这些指数所衡量的因素包括：适足的住房、饮用水、卫生、基本医疗服务、能够提供适当热量摄入量的足够食物，以及运输和通信。本报告载有有关这些指数的详细信息。</w:t>
      </w:r>
    </w:p>
    <w:p w:rsidR="00000000" w:rsidRDefault="00000000">
      <w:pPr>
        <w:pStyle w:val="Heading4"/>
        <w:spacing w:before="300"/>
        <w:rPr>
          <w:rFonts w:hint="eastAsia"/>
        </w:rPr>
      </w:pPr>
      <w:r>
        <w:rPr>
          <w:rFonts w:hint="eastAsia"/>
        </w:rPr>
        <w:t>第</w:t>
      </w:r>
      <w:r>
        <w:rPr>
          <w:rFonts w:hint="eastAsia"/>
        </w:rPr>
        <w:t>2</w:t>
      </w:r>
      <w:r>
        <w:rPr>
          <w:rFonts w:hint="eastAsia"/>
        </w:rPr>
        <w:t>段</w:t>
      </w:r>
      <w:r>
        <w:rPr>
          <w:rFonts w:hint="eastAsia"/>
          <w:spacing w:val="0"/>
        </w:rPr>
        <w:t xml:space="preserve">  </w:t>
      </w:r>
      <w:r>
        <w:rPr>
          <w:rFonts w:hint="eastAsia"/>
        </w:rPr>
        <w:t>获得足够食物的权利</w:t>
      </w:r>
    </w:p>
    <w:p w:rsidR="00000000" w:rsidRDefault="00000000">
      <w:pPr>
        <w:rPr>
          <w:rFonts w:hint="eastAsia"/>
        </w:rPr>
      </w:pPr>
      <w:r>
        <w:rPr>
          <w:rFonts w:hint="eastAsia"/>
        </w:rPr>
        <w:tab/>
        <w:t xml:space="preserve">63.  </w:t>
      </w:r>
      <w:r>
        <w:rPr>
          <w:rFonts w:hint="eastAsia"/>
        </w:rPr>
        <w:t>请参看利比亚有关《经济、社会和文化权利国际公约》执行情况的初次报告中所载的信息。同时也请注意以下的评论和新的信息。</w:t>
      </w:r>
    </w:p>
    <w:p w:rsidR="00000000" w:rsidRDefault="00000000">
      <w:pPr>
        <w:pStyle w:val="a0"/>
        <w:tabs>
          <w:tab w:val="num" w:pos="1550"/>
        </w:tabs>
        <w:ind w:left="1550"/>
        <w:rPr>
          <w:rFonts w:hint="eastAsia"/>
        </w:rPr>
      </w:pPr>
      <w:r>
        <w:rPr>
          <w:rFonts w:hint="eastAsia"/>
        </w:rPr>
        <w:t>根据联合国粮食和农业组织</w:t>
      </w:r>
      <w:r>
        <w:rPr>
          <w:rFonts w:hint="eastAsia"/>
        </w:rPr>
        <w:t>(</w:t>
      </w:r>
      <w:r>
        <w:rPr>
          <w:rFonts w:hint="eastAsia"/>
        </w:rPr>
        <w:t>粮农组织</w:t>
      </w:r>
      <w:r>
        <w:rPr>
          <w:rFonts w:hint="eastAsia"/>
        </w:rPr>
        <w:t>)</w:t>
      </w:r>
      <w:r>
        <w:rPr>
          <w:rFonts w:hint="eastAsia"/>
        </w:rPr>
        <w:t>所提供的数字，阿拉伯利比亚民众国平均人均热量摄入量在</w:t>
      </w:r>
      <w:r>
        <w:rPr>
          <w:rFonts w:hint="eastAsia"/>
        </w:rPr>
        <w:t>2001</w:t>
      </w:r>
      <w:r>
        <w:rPr>
          <w:rFonts w:hint="eastAsia"/>
        </w:rPr>
        <w:t>年为</w:t>
      </w:r>
      <w:r>
        <w:rPr>
          <w:rFonts w:hint="eastAsia"/>
        </w:rPr>
        <w:t>3,333</w:t>
      </w:r>
      <w:r>
        <w:rPr>
          <w:rFonts w:hint="eastAsia"/>
        </w:rPr>
        <w:t>卡，而同年的世界平均数仅为</w:t>
      </w:r>
      <w:r>
        <w:rPr>
          <w:rFonts w:hint="eastAsia"/>
        </w:rPr>
        <w:t>2,807</w:t>
      </w:r>
      <w:r>
        <w:rPr>
          <w:rFonts w:hint="eastAsia"/>
        </w:rPr>
        <w:t>卡，发达国家的数字为</w:t>
      </w:r>
      <w:r>
        <w:rPr>
          <w:rFonts w:hint="eastAsia"/>
        </w:rPr>
        <w:t>3,285</w:t>
      </w:r>
      <w:r>
        <w:rPr>
          <w:rFonts w:hint="eastAsia"/>
        </w:rPr>
        <w:t>卡。之所以能够取得这样的成果是因为坚持了利比亚的营养政策，这是确保个人和家庭社会福利的一种办法。这项政策毫无例外地适用于社会的所有成员。</w:t>
      </w:r>
    </w:p>
    <w:p w:rsidR="00000000" w:rsidRDefault="00000000">
      <w:pPr>
        <w:pStyle w:val="a0"/>
        <w:tabs>
          <w:tab w:val="num" w:pos="1550"/>
        </w:tabs>
        <w:ind w:left="1550"/>
        <w:rPr>
          <w:rFonts w:hint="eastAsia"/>
        </w:rPr>
      </w:pPr>
      <w:r>
        <w:rPr>
          <w:rFonts w:hint="eastAsia"/>
        </w:rPr>
        <w:t>关于母亲和儿童的营养状况，请参看儿童基金会在</w:t>
      </w:r>
      <w:r>
        <w:rPr>
          <w:rFonts w:hint="eastAsia"/>
        </w:rPr>
        <w:t>1999</w:t>
      </w:r>
      <w:r>
        <w:rPr>
          <w:rFonts w:hint="eastAsia"/>
        </w:rPr>
        <w:t>年所开展的有关阿拉伯利比亚民众国的妇女和儿童状况的研究。根据现有数据，特别是阿拉伯利比亚民众国</w:t>
      </w:r>
      <w:r>
        <w:rPr>
          <w:rFonts w:hint="eastAsia"/>
        </w:rPr>
        <w:t>1999</w:t>
      </w:r>
      <w:r>
        <w:rPr>
          <w:rFonts w:hint="eastAsia"/>
        </w:rPr>
        <w:t>年人类发展报告中所载的数据，利比亚的饥饿和营养不良现象只存在于病例之中。</w:t>
      </w:r>
    </w:p>
    <w:p w:rsidR="00000000" w:rsidRDefault="00000000">
      <w:pPr>
        <w:pStyle w:val="a0"/>
        <w:tabs>
          <w:tab w:val="num" w:pos="1550"/>
        </w:tabs>
        <w:ind w:left="1550"/>
        <w:rPr>
          <w:rFonts w:hint="eastAsia"/>
        </w:rPr>
      </w:pPr>
      <w:r>
        <w:rPr>
          <w:rFonts w:hint="eastAsia"/>
        </w:rPr>
        <w:t>关于第</w:t>
      </w:r>
      <w:r>
        <w:rPr>
          <w:rFonts w:hint="eastAsia"/>
        </w:rPr>
        <w:t>2</w:t>
      </w:r>
      <w:r>
        <w:rPr>
          <w:rFonts w:hint="eastAsia"/>
        </w:rPr>
        <w:t>段</w:t>
      </w:r>
      <w:r>
        <w:rPr>
          <w:rFonts w:hint="eastAsia"/>
        </w:rPr>
        <w:t>(</w:t>
      </w:r>
      <w:r>
        <w:t>b)</w:t>
      </w:r>
      <w:r>
        <w:rPr>
          <w:rFonts w:hint="eastAsia"/>
        </w:rPr>
        <w:t>节第</w:t>
      </w:r>
      <w:r>
        <w:rPr>
          <w:rFonts w:hint="eastAsia"/>
        </w:rPr>
        <w:t>(</w:t>
      </w:r>
      <w:r>
        <w:rPr>
          <w:rFonts w:hint="eastAsia"/>
        </w:rPr>
        <w:t>一</w:t>
      </w:r>
      <w:r>
        <w:rPr>
          <w:rFonts w:hint="eastAsia"/>
        </w:rPr>
        <w:t>)</w:t>
      </w:r>
      <w:r>
        <w:rPr>
          <w:rFonts w:hint="eastAsia"/>
        </w:rPr>
        <w:t>分段至第</w:t>
      </w:r>
      <w:r>
        <w:rPr>
          <w:rFonts w:hint="eastAsia"/>
        </w:rPr>
        <w:t>(</w:t>
      </w:r>
      <w:r>
        <w:rPr>
          <w:rFonts w:hint="eastAsia"/>
        </w:rPr>
        <w:t>三</w:t>
      </w:r>
      <w:r>
        <w:rPr>
          <w:rFonts w:hint="eastAsia"/>
        </w:rPr>
        <w:t>)</w:t>
      </w:r>
      <w:r>
        <w:rPr>
          <w:rFonts w:hint="eastAsia"/>
        </w:rPr>
        <w:t>分段，请参看利比亚有关《公约》执行情况的报告以及联合国开发计划署所公布的人类发展报告。关于</w:t>
      </w:r>
      <w:r>
        <w:rPr>
          <w:rFonts w:hint="eastAsia"/>
        </w:rPr>
        <w:t>(</w:t>
      </w:r>
      <w:r>
        <w:t>c)</w:t>
      </w:r>
      <w:r>
        <w:rPr>
          <w:rFonts w:hint="eastAsia"/>
        </w:rPr>
        <w:t>分段，在上世纪末所建立的社会保障基金已经确保没有生活来源的人能够获得足够的收入。根据计算所发放的补助足以满足社会最贫穷的阶层的所有日常需要，其中包括对于适足食物的需要。</w:t>
      </w:r>
    </w:p>
    <w:p w:rsidR="00000000" w:rsidRDefault="00000000">
      <w:pPr>
        <w:pStyle w:val="a0"/>
        <w:tabs>
          <w:tab w:val="num" w:pos="1550"/>
        </w:tabs>
        <w:spacing w:after="320"/>
        <w:ind w:left="1550"/>
        <w:rPr>
          <w:rFonts w:hint="eastAsia"/>
        </w:rPr>
      </w:pPr>
      <w:r>
        <w:rPr>
          <w:rFonts w:hint="eastAsia"/>
        </w:rPr>
        <w:t>同时根据“社会照顾无人照顾之人，社会照料无人照料之人。”的原则，向福利院中的穷人以及老人、残疾人和无人扶养的儿童提供足够的食物。</w:t>
      </w:r>
    </w:p>
    <w:p w:rsidR="00000000" w:rsidRDefault="00000000">
      <w:pPr>
        <w:pStyle w:val="Heading4"/>
        <w:rPr>
          <w:rFonts w:hint="eastAsia"/>
        </w:rPr>
      </w:pPr>
      <w:r>
        <w:rPr>
          <w:rFonts w:hint="eastAsia"/>
        </w:rPr>
        <w:t>(</w:t>
      </w:r>
      <w:r>
        <w:t>d)</w:t>
      </w:r>
      <w:r>
        <w:rPr>
          <w:rFonts w:hint="eastAsia"/>
        </w:rPr>
        <w:t xml:space="preserve"> </w:t>
      </w:r>
      <w:r>
        <w:rPr>
          <w:rFonts w:hint="eastAsia"/>
        </w:rPr>
        <w:t>段</w:t>
      </w:r>
    </w:p>
    <w:p w:rsidR="00000000" w:rsidRDefault="00000000">
      <w:pPr>
        <w:rPr>
          <w:rFonts w:hint="eastAsia"/>
        </w:rPr>
      </w:pPr>
      <w:r>
        <w:rPr>
          <w:rFonts w:hint="eastAsia"/>
        </w:rPr>
        <w:tab/>
        <w:t xml:space="preserve">64.  </w:t>
      </w:r>
      <w:r>
        <w:rPr>
          <w:rFonts w:hint="eastAsia"/>
        </w:rPr>
        <w:t>阿拉伯利比亚民众国向所有阶层的人民发放食品补助。</w:t>
      </w:r>
      <w:r>
        <w:rPr>
          <w:rFonts w:hint="eastAsia"/>
        </w:rPr>
        <w:t>2002</w:t>
      </w:r>
      <w:r>
        <w:rPr>
          <w:rFonts w:hint="eastAsia"/>
        </w:rPr>
        <w:t>年用于食品补助的预算拨款高达</w:t>
      </w:r>
      <w:r>
        <w:rPr>
          <w:rFonts w:hint="eastAsia"/>
        </w:rPr>
        <w:t>7</w:t>
      </w:r>
      <w:r>
        <w:rPr>
          <w:rFonts w:hint="eastAsia"/>
        </w:rPr>
        <w:t>亿第纳尔，</w:t>
      </w:r>
      <w:r>
        <w:rPr>
          <w:rFonts w:hint="eastAsia"/>
        </w:rPr>
        <w:t>2003</w:t>
      </w:r>
      <w:r>
        <w:rPr>
          <w:rFonts w:hint="eastAsia"/>
        </w:rPr>
        <w:t>年为</w:t>
      </w:r>
      <w:r>
        <w:rPr>
          <w:rFonts w:hint="eastAsia"/>
        </w:rPr>
        <w:t>3</w:t>
      </w:r>
      <w:r>
        <w:rPr>
          <w:rFonts w:hint="eastAsia"/>
        </w:rPr>
        <w:t>亿第纳尔。</w:t>
      </w:r>
    </w:p>
    <w:p w:rsidR="00000000" w:rsidRDefault="00000000">
      <w:pPr>
        <w:spacing w:after="320"/>
        <w:rPr>
          <w:rFonts w:hint="eastAsia"/>
        </w:rPr>
      </w:pPr>
      <w:r>
        <w:rPr>
          <w:rFonts w:hint="eastAsia"/>
        </w:rPr>
        <w:tab/>
        <w:t xml:space="preserve">65.  </w:t>
      </w:r>
      <w:r>
        <w:rPr>
          <w:rFonts w:hint="eastAsia"/>
        </w:rPr>
        <w:t>有关进口商品的</w:t>
      </w:r>
      <w:r>
        <w:rPr>
          <w:rFonts w:hint="eastAsia"/>
        </w:rPr>
        <w:t>1996</w:t>
      </w:r>
      <w:r>
        <w:rPr>
          <w:rFonts w:hint="eastAsia"/>
        </w:rPr>
        <w:t>年第</w:t>
      </w:r>
      <w:r>
        <w:rPr>
          <w:rFonts w:hint="eastAsia"/>
        </w:rPr>
        <w:t>4</w:t>
      </w:r>
      <w:r>
        <w:rPr>
          <w:rFonts w:hint="eastAsia"/>
        </w:rPr>
        <w:t>号法令的第</w:t>
      </w:r>
      <w:r>
        <w:rPr>
          <w:rFonts w:hint="eastAsia"/>
        </w:rPr>
        <w:t>6</w:t>
      </w:r>
      <w:r>
        <w:rPr>
          <w:rFonts w:hint="eastAsia"/>
        </w:rPr>
        <w:t>条规定，必须以可以承受的价格向公民提供他们所需的消费品，以便确保毫无例外地将商品公平地分配给社会所有成员。基本商品是根据</w:t>
      </w:r>
      <w:r>
        <w:rPr>
          <w:rFonts w:hint="eastAsia"/>
        </w:rPr>
        <w:t>1976</w:t>
      </w:r>
      <w:r>
        <w:rPr>
          <w:rFonts w:hint="eastAsia"/>
        </w:rPr>
        <w:t>年第</w:t>
      </w:r>
      <w:r>
        <w:rPr>
          <w:rFonts w:hint="eastAsia"/>
        </w:rPr>
        <w:t>60</w:t>
      </w:r>
      <w:r>
        <w:rPr>
          <w:rFonts w:hint="eastAsia"/>
        </w:rPr>
        <w:t>号法令由消费者合作社分配的，从而所有公民都能以低于成本的补助价格获得所需的食品。例如，向面包铺提供面粉，使他们能够向利比亚民众国的所有人提供便宜的面包。</w:t>
      </w:r>
    </w:p>
    <w:p w:rsidR="00000000" w:rsidRDefault="00000000">
      <w:pPr>
        <w:pStyle w:val="Heading4"/>
        <w:rPr>
          <w:rFonts w:hint="eastAsia"/>
        </w:rPr>
      </w:pPr>
      <w:r>
        <w:t>(e)</w:t>
      </w:r>
      <w:r>
        <w:rPr>
          <w:rFonts w:hint="eastAsia"/>
        </w:rPr>
        <w:t xml:space="preserve"> </w:t>
      </w:r>
      <w:r>
        <w:rPr>
          <w:rFonts w:hint="eastAsia"/>
        </w:rPr>
        <w:t>段</w:t>
      </w:r>
    </w:p>
    <w:p w:rsidR="00000000" w:rsidRDefault="00000000">
      <w:pPr>
        <w:spacing w:after="320"/>
        <w:rPr>
          <w:rFonts w:hint="eastAsia"/>
        </w:rPr>
      </w:pPr>
      <w:r>
        <w:rPr>
          <w:rFonts w:hint="eastAsia"/>
        </w:rPr>
        <w:tab/>
        <w:t xml:space="preserve">66.  </w:t>
      </w:r>
      <w:r>
        <w:rPr>
          <w:rFonts w:hint="eastAsia"/>
        </w:rPr>
        <w:t>上文已经提到为保护粮食生产而采取的措施，其中包括制定法律禁止为建筑之目的而开发农田，例如：《保护农田法》、有关保护牲畜的立法以及为制定保存粮食和储存农产品方法而采取的措施。</w:t>
      </w:r>
    </w:p>
    <w:p w:rsidR="00000000" w:rsidRDefault="00000000">
      <w:pPr>
        <w:pStyle w:val="Heading4"/>
        <w:rPr>
          <w:rFonts w:hint="eastAsia"/>
        </w:rPr>
      </w:pPr>
      <w:r>
        <w:t>(f)</w:t>
      </w:r>
      <w:r>
        <w:rPr>
          <w:rFonts w:hint="eastAsia"/>
        </w:rPr>
        <w:t xml:space="preserve"> </w:t>
      </w:r>
      <w:r>
        <w:rPr>
          <w:rFonts w:hint="eastAsia"/>
        </w:rPr>
        <w:t>段</w:t>
      </w:r>
    </w:p>
    <w:p w:rsidR="00000000" w:rsidRDefault="00000000">
      <w:pPr>
        <w:rPr>
          <w:rFonts w:hint="eastAsia"/>
        </w:rPr>
      </w:pPr>
      <w:r>
        <w:rPr>
          <w:rFonts w:hint="eastAsia"/>
        </w:rPr>
        <w:tab/>
        <w:t xml:space="preserve">67.  </w:t>
      </w:r>
      <w:r>
        <w:rPr>
          <w:rFonts w:hint="eastAsia"/>
        </w:rPr>
        <w:t>采用了一些方法来传播有关营养原则的知识。这里我们要特别提到：</w:t>
      </w:r>
    </w:p>
    <w:p w:rsidR="00000000" w:rsidRDefault="00000000">
      <w:pPr>
        <w:numPr>
          <w:ilvl w:val="0"/>
          <w:numId w:val="87"/>
        </w:numPr>
        <w:rPr>
          <w:rFonts w:hint="eastAsia"/>
        </w:rPr>
      </w:pPr>
      <w:r>
        <w:rPr>
          <w:rFonts w:hint="eastAsia"/>
        </w:rPr>
        <w:t>教育计划；</w:t>
      </w:r>
    </w:p>
    <w:p w:rsidR="00000000" w:rsidRDefault="00000000">
      <w:pPr>
        <w:numPr>
          <w:ilvl w:val="0"/>
          <w:numId w:val="87"/>
        </w:numPr>
        <w:rPr>
          <w:rFonts w:hint="eastAsia"/>
        </w:rPr>
      </w:pPr>
      <w:r>
        <w:rPr>
          <w:rFonts w:hint="eastAsia"/>
        </w:rPr>
        <w:t>保健中心；</w:t>
      </w:r>
    </w:p>
    <w:p w:rsidR="00000000" w:rsidRDefault="00000000">
      <w:pPr>
        <w:numPr>
          <w:ilvl w:val="0"/>
          <w:numId w:val="87"/>
        </w:numPr>
        <w:rPr>
          <w:rFonts w:hint="eastAsia"/>
        </w:rPr>
      </w:pPr>
      <w:r>
        <w:rPr>
          <w:rFonts w:hint="eastAsia"/>
        </w:rPr>
        <w:t>母亲和儿童保健中心；</w:t>
      </w:r>
    </w:p>
    <w:p w:rsidR="00000000" w:rsidRDefault="00000000">
      <w:pPr>
        <w:numPr>
          <w:ilvl w:val="0"/>
          <w:numId w:val="87"/>
        </w:numPr>
        <w:rPr>
          <w:rFonts w:hint="eastAsia"/>
        </w:rPr>
      </w:pPr>
      <w:r>
        <w:rPr>
          <w:rFonts w:hint="eastAsia"/>
        </w:rPr>
        <w:t>报纸、杂志、广播和电视；</w:t>
      </w:r>
    </w:p>
    <w:p w:rsidR="00000000" w:rsidRDefault="00000000">
      <w:pPr>
        <w:numPr>
          <w:ilvl w:val="0"/>
          <w:numId w:val="87"/>
        </w:numPr>
        <w:rPr>
          <w:rFonts w:hint="eastAsia"/>
        </w:rPr>
      </w:pPr>
      <w:r>
        <w:rPr>
          <w:rFonts w:hint="eastAsia"/>
        </w:rPr>
        <w:t>传单和小册子。</w:t>
      </w:r>
    </w:p>
    <w:p w:rsidR="00000000" w:rsidRDefault="00000000">
      <w:pPr>
        <w:spacing w:after="320"/>
        <w:rPr>
          <w:rFonts w:hint="eastAsia"/>
        </w:rPr>
      </w:pPr>
      <w:r>
        <w:rPr>
          <w:rFonts w:hint="eastAsia"/>
        </w:rPr>
        <w:tab/>
        <w:t xml:space="preserve">68.  </w:t>
      </w:r>
      <w:r>
        <w:rPr>
          <w:rFonts w:hint="eastAsia"/>
        </w:rPr>
        <w:t>然而，有关营养的认识水平仍然很低，特别是在母乳喂养以及一些有害于营养的作法方面。</w:t>
      </w:r>
    </w:p>
    <w:p w:rsidR="00000000" w:rsidRDefault="00000000">
      <w:pPr>
        <w:pStyle w:val="Heading4"/>
        <w:rPr>
          <w:rFonts w:hint="eastAsia"/>
          <w:bCs/>
          <w:u w:val="none"/>
        </w:rPr>
      </w:pPr>
      <w:r>
        <w:rPr>
          <w:rFonts w:hint="eastAsia"/>
        </w:rPr>
        <w:t>第</w:t>
      </w:r>
      <w:r>
        <w:rPr>
          <w:rFonts w:hint="eastAsia"/>
        </w:rPr>
        <w:t>5</w:t>
      </w:r>
      <w:r>
        <w:rPr>
          <w:rFonts w:hint="eastAsia"/>
        </w:rPr>
        <w:t>段第</w:t>
      </w:r>
      <w:r>
        <w:rPr>
          <w:rFonts w:hint="eastAsia"/>
        </w:rPr>
        <w:t>(</w:t>
      </w:r>
      <w:r>
        <w:rPr>
          <w:rFonts w:hint="eastAsia"/>
        </w:rPr>
        <w:t>一</w:t>
      </w:r>
      <w:r>
        <w:rPr>
          <w:rFonts w:hint="eastAsia"/>
        </w:rPr>
        <w:t>)</w:t>
      </w:r>
      <w:r>
        <w:rPr>
          <w:rFonts w:hint="eastAsia"/>
        </w:rPr>
        <w:t>节</w:t>
      </w:r>
      <w:r>
        <w:rPr>
          <w:rFonts w:hint="eastAsia"/>
          <w:u w:val="none"/>
        </w:rPr>
        <w:t xml:space="preserve"> </w:t>
      </w:r>
      <w:r>
        <w:rPr>
          <w:rStyle w:val="FootnoteReference"/>
          <w:b w:val="0"/>
          <w:bCs/>
          <w:u w:val="none"/>
        </w:rPr>
        <w:footnoteReference w:customMarkFollows="1" w:id="3"/>
        <w:t>*</w:t>
      </w:r>
    </w:p>
    <w:p w:rsidR="00000000" w:rsidRDefault="00000000">
      <w:pPr>
        <w:rPr>
          <w:rFonts w:hint="eastAsia"/>
        </w:rPr>
      </w:pPr>
      <w:r>
        <w:rPr>
          <w:rFonts w:hint="eastAsia"/>
        </w:rPr>
        <w:tab/>
        <w:t xml:space="preserve">69.  </w:t>
      </w:r>
      <w:r>
        <w:rPr>
          <w:rFonts w:hint="eastAsia"/>
        </w:rPr>
        <w:t>正如上文所提到，有关部门所采取的措施帮助降低了母婴死亡率，同时也抑制了非法入境的外国人所传播的疾病。凡是患有传染病的群体</w:t>
      </w:r>
      <w:r>
        <w:rPr>
          <w:rFonts w:hint="eastAsia"/>
        </w:rPr>
        <w:t>(</w:t>
      </w:r>
      <w:r>
        <w:rPr>
          <w:rFonts w:hint="eastAsia"/>
        </w:rPr>
        <w:t>包括非法移民</w:t>
      </w:r>
      <w:r>
        <w:rPr>
          <w:rFonts w:hint="eastAsia"/>
        </w:rPr>
        <w:t>)</w:t>
      </w:r>
      <w:r>
        <w:rPr>
          <w:rFonts w:hint="eastAsia"/>
        </w:rPr>
        <w:t>都能获得免费治疗和药品。国家文献和信息处在</w:t>
      </w:r>
      <w:r>
        <w:rPr>
          <w:rFonts w:hint="eastAsia"/>
        </w:rPr>
        <w:t>1999</w:t>
      </w:r>
      <w:r>
        <w:rPr>
          <w:rFonts w:hint="eastAsia"/>
        </w:rPr>
        <w:t>年所公布的人类发展报告解释了卫生部门所面临的一些困难。这些困难包括：</w:t>
      </w:r>
    </w:p>
    <w:p w:rsidR="00000000" w:rsidRDefault="00000000">
      <w:pPr>
        <w:pStyle w:val="a0"/>
        <w:tabs>
          <w:tab w:val="num" w:pos="1550"/>
        </w:tabs>
        <w:ind w:left="1550"/>
        <w:rPr>
          <w:rFonts w:hint="eastAsia"/>
        </w:rPr>
      </w:pPr>
      <w:r>
        <w:rPr>
          <w:rFonts w:hint="eastAsia"/>
        </w:rPr>
        <w:t>卫生规划机制不力；</w:t>
      </w:r>
    </w:p>
    <w:p w:rsidR="00000000" w:rsidRDefault="00000000">
      <w:pPr>
        <w:pStyle w:val="a0"/>
        <w:tabs>
          <w:tab w:val="num" w:pos="1550"/>
        </w:tabs>
        <w:ind w:left="1550"/>
        <w:rPr>
          <w:rFonts w:hint="eastAsia"/>
        </w:rPr>
      </w:pPr>
      <w:r>
        <w:rPr>
          <w:rFonts w:hint="eastAsia"/>
        </w:rPr>
        <w:t>维持卫生机构的问题；</w:t>
      </w:r>
    </w:p>
    <w:p w:rsidR="00000000" w:rsidRDefault="00000000">
      <w:pPr>
        <w:pStyle w:val="a0"/>
        <w:tabs>
          <w:tab w:val="num" w:pos="1550"/>
        </w:tabs>
        <w:ind w:left="1550"/>
        <w:rPr>
          <w:rFonts w:hint="eastAsia"/>
        </w:rPr>
      </w:pPr>
      <w:r>
        <w:rPr>
          <w:rFonts w:hint="eastAsia"/>
        </w:rPr>
        <w:t>有关保健服务开支的问题；</w:t>
      </w:r>
    </w:p>
    <w:p w:rsidR="00000000" w:rsidRDefault="00000000">
      <w:pPr>
        <w:pStyle w:val="a0"/>
        <w:tabs>
          <w:tab w:val="num" w:pos="1550"/>
        </w:tabs>
        <w:ind w:left="1550"/>
        <w:rPr>
          <w:rFonts w:hint="eastAsia"/>
        </w:rPr>
      </w:pPr>
      <w:r>
        <w:rPr>
          <w:rFonts w:hint="eastAsia"/>
        </w:rPr>
        <w:t>获得医疗和卫生服务的问题；</w:t>
      </w:r>
    </w:p>
    <w:p w:rsidR="00000000" w:rsidRDefault="00000000">
      <w:pPr>
        <w:pStyle w:val="a0"/>
        <w:tabs>
          <w:tab w:val="num" w:pos="1550"/>
        </w:tabs>
        <w:ind w:left="1550"/>
        <w:rPr>
          <w:rFonts w:hint="eastAsia"/>
        </w:rPr>
      </w:pPr>
      <w:r>
        <w:rPr>
          <w:rFonts w:hint="eastAsia"/>
        </w:rPr>
        <w:t>医务人员的问题；</w:t>
      </w:r>
    </w:p>
    <w:p w:rsidR="00000000" w:rsidRDefault="00000000">
      <w:pPr>
        <w:pStyle w:val="a0"/>
        <w:tabs>
          <w:tab w:val="num" w:pos="1550"/>
        </w:tabs>
        <w:ind w:left="1550"/>
        <w:rPr>
          <w:rFonts w:hint="eastAsia"/>
        </w:rPr>
      </w:pPr>
      <w:r>
        <w:rPr>
          <w:rFonts w:hint="eastAsia"/>
        </w:rPr>
        <w:t>医疗服务的质量问题；</w:t>
      </w:r>
    </w:p>
    <w:p w:rsidR="00000000" w:rsidRDefault="00000000">
      <w:pPr>
        <w:pStyle w:val="a0"/>
        <w:tabs>
          <w:tab w:val="num" w:pos="1550"/>
        </w:tabs>
        <w:spacing w:after="320"/>
        <w:ind w:left="1550"/>
        <w:rPr>
          <w:rFonts w:hint="eastAsia"/>
        </w:rPr>
      </w:pPr>
      <w:r>
        <w:rPr>
          <w:rFonts w:hint="eastAsia"/>
        </w:rPr>
        <w:t>有关出国治疗的问题。</w:t>
      </w:r>
    </w:p>
    <w:p w:rsidR="00000000" w:rsidRDefault="00000000">
      <w:pPr>
        <w:pStyle w:val="Heading4"/>
        <w:rPr>
          <w:rFonts w:hint="eastAsia"/>
        </w:rPr>
      </w:pPr>
      <w:r>
        <w:rPr>
          <w:rFonts w:hint="eastAsia"/>
        </w:rPr>
        <w:t>第</w:t>
      </w:r>
      <w:r>
        <w:rPr>
          <w:rFonts w:hint="eastAsia"/>
        </w:rPr>
        <w:t>6</w:t>
      </w:r>
      <w:r>
        <w:rPr>
          <w:rFonts w:hint="eastAsia"/>
        </w:rPr>
        <w:t>段</w:t>
      </w:r>
    </w:p>
    <w:p w:rsidR="00000000" w:rsidRDefault="00000000">
      <w:pPr>
        <w:spacing w:after="320"/>
        <w:rPr>
          <w:rFonts w:hint="eastAsia"/>
        </w:rPr>
      </w:pPr>
      <w:r>
        <w:rPr>
          <w:rFonts w:hint="eastAsia"/>
        </w:rPr>
        <w:tab/>
        <w:t xml:space="preserve">70.  </w:t>
      </w:r>
      <w:r>
        <w:rPr>
          <w:rFonts w:hint="eastAsia"/>
        </w:rPr>
        <w:t>本段中所讨论的问题在有关社会保障和医疗服务的一节中已经涉及。然而，还应指出，已经为无人供养的老人建立了社会福利院，确保他们在任何居住地点都能通过保健计划和卫生机构获得法律规定的医疗服务。</w:t>
      </w:r>
    </w:p>
    <w:p w:rsidR="00000000" w:rsidRDefault="00000000">
      <w:pPr>
        <w:pStyle w:val="Heading4"/>
        <w:rPr>
          <w:rFonts w:hint="eastAsia"/>
          <w:bCs/>
          <w:u w:val="none"/>
        </w:rPr>
      </w:pPr>
      <w:r>
        <w:rPr>
          <w:rFonts w:hint="eastAsia"/>
        </w:rPr>
        <w:t>(</w:t>
      </w:r>
      <w:r>
        <w:t>g)</w:t>
      </w:r>
      <w:r>
        <w:rPr>
          <w:rFonts w:hint="eastAsia"/>
        </w:rPr>
        <w:t xml:space="preserve"> </w:t>
      </w:r>
      <w:r>
        <w:rPr>
          <w:rFonts w:hint="eastAsia"/>
        </w:rPr>
        <w:t>分段</w:t>
      </w:r>
      <w:r>
        <w:rPr>
          <w:rFonts w:hint="eastAsia"/>
          <w:u w:val="none"/>
        </w:rPr>
        <w:t xml:space="preserve"> </w:t>
      </w:r>
      <w:r>
        <w:rPr>
          <w:rStyle w:val="FootnoteReference"/>
          <w:b w:val="0"/>
          <w:bCs/>
          <w:u w:val="none"/>
        </w:rPr>
        <w:footnoteReference w:customMarkFollows="1" w:id="4"/>
        <w:t>*</w:t>
      </w:r>
    </w:p>
    <w:p w:rsidR="00000000" w:rsidRDefault="00000000">
      <w:pPr>
        <w:rPr>
          <w:rFonts w:hint="eastAsia"/>
        </w:rPr>
      </w:pPr>
      <w:r>
        <w:rPr>
          <w:rFonts w:hint="eastAsia"/>
        </w:rPr>
        <w:tab/>
        <w:t xml:space="preserve">71.  </w:t>
      </w:r>
      <w:r>
        <w:rPr>
          <w:rFonts w:hint="eastAsia"/>
        </w:rPr>
        <w:t>除了在利比亚初次报告中所载的信息以外，还应补充的是，利比亚民众国实施了保护农田免受城市化和沙漠化之害的政策，同时执行了一项大的项目：将水从该国南部的沙漠地区运送到几百公里以外的北方农田。</w:t>
      </w:r>
    </w:p>
    <w:p w:rsidR="00000000" w:rsidRDefault="00000000">
      <w:pPr>
        <w:spacing w:after="320"/>
        <w:rPr>
          <w:rFonts w:hint="eastAsia"/>
        </w:rPr>
      </w:pPr>
      <w:r>
        <w:rPr>
          <w:rFonts w:hint="eastAsia"/>
        </w:rPr>
        <w:tab/>
        <w:t xml:space="preserve">72.  </w:t>
      </w:r>
      <w:r>
        <w:rPr>
          <w:rFonts w:hint="eastAsia"/>
        </w:rPr>
        <w:t>关于有关土地改革的法律，应当提到</w:t>
      </w:r>
      <w:r>
        <w:rPr>
          <w:rFonts w:hint="eastAsia"/>
        </w:rPr>
        <w:t>1992</w:t>
      </w:r>
      <w:r>
        <w:rPr>
          <w:rFonts w:hint="eastAsia"/>
        </w:rPr>
        <w:t>年第</w:t>
      </w:r>
      <w:r>
        <w:rPr>
          <w:rFonts w:hint="eastAsia"/>
        </w:rPr>
        <w:t>15</w:t>
      </w:r>
      <w:r>
        <w:rPr>
          <w:rFonts w:hint="eastAsia"/>
        </w:rPr>
        <w:t>号《保护农田法》以及</w:t>
      </w:r>
      <w:r>
        <w:rPr>
          <w:rFonts w:hint="eastAsia"/>
        </w:rPr>
        <w:t>1996</w:t>
      </w:r>
      <w:r>
        <w:rPr>
          <w:rFonts w:hint="eastAsia"/>
        </w:rPr>
        <w:t>年第</w:t>
      </w:r>
      <w:r>
        <w:rPr>
          <w:rFonts w:hint="eastAsia"/>
        </w:rPr>
        <w:t>7</w:t>
      </w:r>
      <w:r>
        <w:rPr>
          <w:rFonts w:hint="eastAsia"/>
        </w:rPr>
        <w:t>号《保护动物和树法》。</w:t>
      </w:r>
    </w:p>
    <w:p w:rsidR="00000000" w:rsidRDefault="00000000">
      <w:pPr>
        <w:pStyle w:val="Heading4"/>
        <w:rPr>
          <w:rFonts w:hint="eastAsia"/>
        </w:rPr>
      </w:pPr>
      <w:r>
        <w:rPr>
          <w:rFonts w:hint="eastAsia"/>
        </w:rPr>
        <w:t>第</w:t>
      </w:r>
      <w:r>
        <w:rPr>
          <w:rFonts w:hint="eastAsia"/>
        </w:rPr>
        <w:t>2</w:t>
      </w:r>
      <w:r>
        <w:rPr>
          <w:rFonts w:hint="eastAsia"/>
        </w:rPr>
        <w:t>段第</w:t>
      </w:r>
      <w:r>
        <w:rPr>
          <w:rFonts w:hint="eastAsia"/>
        </w:rPr>
        <w:t>(</w:t>
      </w:r>
      <w:r>
        <w:t>h)</w:t>
      </w:r>
      <w:r>
        <w:rPr>
          <w:rFonts w:hint="eastAsia"/>
        </w:rPr>
        <w:t>节</w:t>
      </w:r>
    </w:p>
    <w:p w:rsidR="00000000" w:rsidRDefault="00000000">
      <w:pPr>
        <w:spacing w:after="320"/>
        <w:rPr>
          <w:rFonts w:hint="eastAsia"/>
        </w:rPr>
      </w:pPr>
      <w:r>
        <w:rPr>
          <w:rFonts w:hint="eastAsia"/>
        </w:rPr>
        <w:tab/>
        <w:t xml:space="preserve">73.  </w:t>
      </w:r>
      <w:r>
        <w:rPr>
          <w:rFonts w:hint="eastAsia"/>
        </w:rPr>
        <w:t>阿拉伯利比亚民众国为确保公平分配粮食而采取的措施已在上文第</w:t>
      </w:r>
      <w:r>
        <w:rPr>
          <w:rFonts w:hint="eastAsia"/>
        </w:rPr>
        <w:t>2</w:t>
      </w:r>
      <w:r>
        <w:rPr>
          <w:rFonts w:hint="eastAsia"/>
        </w:rPr>
        <w:t>段第</w:t>
      </w:r>
      <w:r>
        <w:rPr>
          <w:rFonts w:hint="eastAsia"/>
        </w:rPr>
        <w:t>(</w:t>
      </w:r>
      <w:r>
        <w:t>d</w:t>
      </w:r>
      <w:r>
        <w:rPr>
          <w:rFonts w:hint="eastAsia"/>
        </w:rPr>
        <w:t>)</w:t>
      </w:r>
      <w:r>
        <w:rPr>
          <w:rFonts w:hint="eastAsia"/>
        </w:rPr>
        <w:t>节中作了解释。</w:t>
      </w:r>
    </w:p>
    <w:p w:rsidR="00000000" w:rsidRDefault="00000000">
      <w:pPr>
        <w:pStyle w:val="Heading4"/>
        <w:rPr>
          <w:rFonts w:hint="eastAsia"/>
        </w:rPr>
      </w:pPr>
      <w:r>
        <w:rPr>
          <w:rFonts w:hint="eastAsia"/>
        </w:rPr>
        <w:t>第</w:t>
      </w:r>
      <w:r>
        <w:rPr>
          <w:rFonts w:hint="eastAsia"/>
        </w:rPr>
        <w:t>3</w:t>
      </w:r>
      <w:r>
        <w:rPr>
          <w:rFonts w:hint="eastAsia"/>
        </w:rPr>
        <w:t>段第</w:t>
      </w:r>
      <w:r>
        <w:rPr>
          <w:rFonts w:hint="eastAsia"/>
        </w:rPr>
        <w:t>(</w:t>
      </w:r>
      <w:r>
        <w:t>a)</w:t>
      </w:r>
      <w:r>
        <w:rPr>
          <w:rFonts w:hint="eastAsia"/>
        </w:rPr>
        <w:t>节：获得适足住房的权利</w:t>
      </w:r>
    </w:p>
    <w:p w:rsidR="00000000" w:rsidRDefault="00000000">
      <w:pPr>
        <w:rPr>
          <w:rFonts w:hint="eastAsia"/>
        </w:rPr>
      </w:pPr>
      <w:r>
        <w:rPr>
          <w:rFonts w:hint="eastAsia"/>
        </w:rPr>
        <w:tab/>
        <w:t xml:space="preserve">74.  </w:t>
      </w:r>
      <w:r>
        <w:rPr>
          <w:rFonts w:hint="eastAsia"/>
        </w:rPr>
        <w:t>在利比亚提交的有关《经济、社会、文化权利国际公约》执行情况的初次报告中已经讨论了这项权利。除了该报告中所载的信息之外，也请注意以下的数据和事实：</w:t>
      </w:r>
    </w:p>
    <w:p w:rsidR="00000000" w:rsidRDefault="00000000">
      <w:pPr>
        <w:pStyle w:val="a0"/>
        <w:tabs>
          <w:tab w:val="num" w:pos="1550"/>
        </w:tabs>
        <w:ind w:left="1550"/>
        <w:rPr>
          <w:rFonts w:hint="eastAsia"/>
        </w:rPr>
      </w:pPr>
      <w:r>
        <w:rPr>
          <w:rFonts w:hint="eastAsia"/>
        </w:rPr>
        <w:t>发展计划旨在为所有人提供足够的质量令人满意的住房，现在这些目的已经达到。棚户区已经消失，现代化的公寓数目已经从</w:t>
      </w:r>
      <w:r>
        <w:rPr>
          <w:rFonts w:hint="eastAsia"/>
        </w:rPr>
        <w:t>1973</w:t>
      </w:r>
      <w:r>
        <w:rPr>
          <w:rFonts w:hint="eastAsia"/>
        </w:rPr>
        <w:t>年的</w:t>
      </w:r>
      <w:r>
        <w:rPr>
          <w:rFonts w:hint="eastAsia"/>
        </w:rPr>
        <w:t>283,000</w:t>
      </w:r>
      <w:r>
        <w:rPr>
          <w:rFonts w:hint="eastAsia"/>
        </w:rPr>
        <w:t>套增加到</w:t>
      </w:r>
      <w:r>
        <w:rPr>
          <w:rFonts w:hint="eastAsia"/>
        </w:rPr>
        <w:t>1985</w:t>
      </w:r>
      <w:r>
        <w:rPr>
          <w:rFonts w:hint="eastAsia"/>
        </w:rPr>
        <w:t>年的</w:t>
      </w:r>
      <w:r>
        <w:rPr>
          <w:rFonts w:hint="eastAsia"/>
        </w:rPr>
        <w:t>556,000</w:t>
      </w:r>
      <w:r>
        <w:rPr>
          <w:rFonts w:hint="eastAsia"/>
        </w:rPr>
        <w:t>套，</w:t>
      </w:r>
      <w:r>
        <w:rPr>
          <w:rFonts w:hint="eastAsia"/>
        </w:rPr>
        <w:t>1995</w:t>
      </w:r>
      <w:r>
        <w:rPr>
          <w:rFonts w:hint="eastAsia"/>
        </w:rPr>
        <w:t>的数字是</w:t>
      </w:r>
      <w:r>
        <w:rPr>
          <w:rFonts w:hint="eastAsia"/>
        </w:rPr>
        <w:t>635,000</w:t>
      </w:r>
      <w:r>
        <w:rPr>
          <w:rFonts w:hint="eastAsia"/>
        </w:rPr>
        <w:t>套。</w:t>
      </w:r>
    </w:p>
    <w:p w:rsidR="00000000" w:rsidRDefault="00000000">
      <w:pPr>
        <w:pStyle w:val="a0"/>
        <w:tabs>
          <w:tab w:val="num" w:pos="1550"/>
        </w:tabs>
        <w:ind w:left="1550"/>
        <w:rPr>
          <w:rFonts w:hint="eastAsia"/>
        </w:rPr>
      </w:pPr>
      <w:r>
        <w:rPr>
          <w:rFonts w:hint="eastAsia"/>
        </w:rPr>
        <w:t>几户人家共住一套公寓的情况已经减少；在</w:t>
      </w:r>
      <w:r>
        <w:rPr>
          <w:rFonts w:hint="eastAsia"/>
        </w:rPr>
        <w:t>1995</w:t>
      </w:r>
      <w:r>
        <w:rPr>
          <w:rFonts w:hint="eastAsia"/>
        </w:rPr>
        <w:t>年已经基本做到一户人家住一套公寓。</w:t>
      </w:r>
    </w:p>
    <w:p w:rsidR="00000000" w:rsidRDefault="00000000">
      <w:pPr>
        <w:pStyle w:val="a0"/>
        <w:tabs>
          <w:tab w:val="num" w:pos="1550"/>
        </w:tabs>
        <w:ind w:left="1550"/>
        <w:rPr>
          <w:rFonts w:hint="eastAsia"/>
        </w:rPr>
      </w:pPr>
      <w:r>
        <w:rPr>
          <w:rFonts w:hint="eastAsia"/>
        </w:rPr>
        <w:t>多数人民</w:t>
      </w:r>
      <w:r>
        <w:rPr>
          <w:rFonts w:hint="eastAsia"/>
        </w:rPr>
        <w:t>(85.4%)</w:t>
      </w:r>
      <w:r>
        <w:rPr>
          <w:rFonts w:hint="eastAsia"/>
        </w:rPr>
        <w:t>是城市居民。</w:t>
      </w:r>
    </w:p>
    <w:p w:rsidR="00000000" w:rsidRDefault="00000000">
      <w:pPr>
        <w:pStyle w:val="a0"/>
        <w:tabs>
          <w:tab w:val="num" w:pos="1550"/>
        </w:tabs>
        <w:spacing w:after="160"/>
        <w:ind w:left="1550"/>
        <w:rPr>
          <w:rFonts w:hint="eastAsia"/>
        </w:rPr>
      </w:pPr>
      <w:r>
        <w:rPr>
          <w:rFonts w:hint="eastAsia"/>
        </w:rPr>
        <w:t>2000</w:t>
      </w:r>
      <w:r>
        <w:rPr>
          <w:rFonts w:hint="eastAsia"/>
        </w:rPr>
        <w:t>年阿拉伯利比亚民众国共有</w:t>
      </w:r>
      <w:r>
        <w:rPr>
          <w:rFonts w:hint="eastAsia"/>
        </w:rPr>
        <w:t>930,870</w:t>
      </w:r>
      <w:r>
        <w:rPr>
          <w:rFonts w:hint="eastAsia"/>
        </w:rPr>
        <w:t>套公寓。下表提供的是这方面的分类数字：</w:t>
      </w:r>
    </w:p>
    <w:tbl>
      <w:tblPr>
        <w:tblW w:w="0" w:type="auto"/>
        <w:tblInd w:w="1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607"/>
        <w:gridCol w:w="2607"/>
        <w:gridCol w:w="2608"/>
      </w:tblGrid>
      <w:tr w:rsidR="00000000">
        <w:tblPrEx>
          <w:tblCellMar>
            <w:top w:w="0" w:type="dxa"/>
            <w:bottom w:w="0" w:type="dxa"/>
          </w:tblCellMar>
        </w:tblPrEx>
        <w:tc>
          <w:tcPr>
            <w:tcW w:w="2607" w:type="dxa"/>
            <w:tcBorders>
              <w:bottom w:val="single" w:sz="4" w:space="0" w:color="auto"/>
            </w:tcBorders>
          </w:tcPr>
          <w:p w:rsidR="00000000" w:rsidRDefault="00000000">
            <w:pPr>
              <w:spacing w:before="60" w:line="240" w:lineRule="auto"/>
              <w:jc w:val="center"/>
              <w:rPr>
                <w:rFonts w:hint="eastAsia"/>
              </w:rPr>
            </w:pPr>
            <w:r>
              <w:rPr>
                <w:rFonts w:hint="eastAsia"/>
              </w:rPr>
              <w:t>住房类型</w:t>
            </w:r>
          </w:p>
        </w:tc>
        <w:tc>
          <w:tcPr>
            <w:tcW w:w="2607" w:type="dxa"/>
            <w:tcBorders>
              <w:bottom w:val="single" w:sz="4" w:space="0" w:color="auto"/>
            </w:tcBorders>
          </w:tcPr>
          <w:p w:rsidR="00000000" w:rsidRDefault="00000000">
            <w:pPr>
              <w:spacing w:before="60" w:line="240" w:lineRule="auto"/>
              <w:jc w:val="center"/>
              <w:rPr>
                <w:rFonts w:hint="eastAsia"/>
              </w:rPr>
            </w:pPr>
            <w:r>
              <w:rPr>
                <w:rFonts w:hint="eastAsia"/>
              </w:rPr>
              <w:t>公寓数目</w:t>
            </w:r>
          </w:p>
        </w:tc>
        <w:tc>
          <w:tcPr>
            <w:tcW w:w="2608" w:type="dxa"/>
            <w:tcBorders>
              <w:bottom w:val="single" w:sz="4" w:space="0" w:color="auto"/>
            </w:tcBorders>
          </w:tcPr>
          <w:p w:rsidR="00000000" w:rsidRDefault="00000000">
            <w:pPr>
              <w:spacing w:before="60" w:line="240" w:lineRule="auto"/>
              <w:jc w:val="center"/>
              <w:rPr>
                <w:rFonts w:hint="eastAsia"/>
              </w:rPr>
            </w:pPr>
            <w:r>
              <w:rPr>
                <w:rFonts w:hint="eastAsia"/>
              </w:rPr>
              <w:t>百分比</w:t>
            </w:r>
          </w:p>
        </w:tc>
      </w:tr>
      <w:tr w:rsidR="00000000">
        <w:tblPrEx>
          <w:tblCellMar>
            <w:top w:w="0" w:type="dxa"/>
            <w:bottom w:w="0" w:type="dxa"/>
          </w:tblCellMar>
        </w:tblPrEx>
        <w:tc>
          <w:tcPr>
            <w:tcW w:w="2607" w:type="dxa"/>
            <w:tcBorders>
              <w:top w:val="single" w:sz="4" w:space="0" w:color="auto"/>
              <w:left w:val="single" w:sz="4" w:space="0" w:color="auto"/>
              <w:bottom w:val="nil"/>
              <w:right w:val="single" w:sz="4" w:space="0" w:color="auto"/>
            </w:tcBorders>
          </w:tcPr>
          <w:p w:rsidR="00000000" w:rsidRDefault="00000000">
            <w:pPr>
              <w:pStyle w:val="a2"/>
              <w:spacing w:before="60" w:line="240" w:lineRule="auto"/>
              <w:ind w:left="440"/>
              <w:rPr>
                <w:rFonts w:hint="eastAsia"/>
              </w:rPr>
            </w:pPr>
            <w:r>
              <w:rPr>
                <w:rFonts w:hint="eastAsia"/>
              </w:rPr>
              <w:t>传统住房</w:t>
            </w:r>
          </w:p>
        </w:tc>
        <w:tc>
          <w:tcPr>
            <w:tcW w:w="2607" w:type="dxa"/>
            <w:tcBorders>
              <w:top w:val="single" w:sz="4" w:space="0" w:color="auto"/>
              <w:left w:val="single" w:sz="4" w:space="0" w:color="auto"/>
              <w:bottom w:val="nil"/>
              <w:right w:val="single" w:sz="4" w:space="0" w:color="auto"/>
            </w:tcBorders>
          </w:tcPr>
          <w:p w:rsidR="00000000" w:rsidRDefault="00000000">
            <w:pPr>
              <w:pStyle w:val="a2"/>
              <w:spacing w:before="60" w:line="240" w:lineRule="auto"/>
              <w:ind w:left="440" w:right="1021"/>
              <w:jc w:val="right"/>
              <w:rPr>
                <w:rFonts w:hint="eastAsia"/>
              </w:rPr>
            </w:pPr>
            <w:r>
              <w:rPr>
                <w:rFonts w:hint="eastAsia"/>
              </w:rPr>
              <w:t>433 254</w:t>
            </w:r>
          </w:p>
        </w:tc>
        <w:tc>
          <w:tcPr>
            <w:tcW w:w="2608" w:type="dxa"/>
            <w:tcBorders>
              <w:top w:val="single" w:sz="4" w:space="0" w:color="auto"/>
              <w:left w:val="single" w:sz="4" w:space="0" w:color="auto"/>
              <w:bottom w:val="nil"/>
              <w:right w:val="single" w:sz="4" w:space="0" w:color="auto"/>
            </w:tcBorders>
          </w:tcPr>
          <w:p w:rsidR="00000000" w:rsidRDefault="00000000">
            <w:pPr>
              <w:pStyle w:val="a2"/>
              <w:spacing w:before="60" w:line="240" w:lineRule="auto"/>
              <w:ind w:left="440" w:right="1247"/>
              <w:jc w:val="right"/>
              <w:rPr>
                <w:rFonts w:hint="eastAsia"/>
              </w:rPr>
            </w:pPr>
            <w:r>
              <w:rPr>
                <w:rFonts w:hint="eastAsia"/>
              </w:rPr>
              <w:t>46.5</w:t>
            </w:r>
          </w:p>
        </w:tc>
      </w:tr>
      <w:tr w:rsidR="00000000">
        <w:tblPrEx>
          <w:tblCellMar>
            <w:top w:w="0" w:type="dxa"/>
            <w:bottom w:w="0" w:type="dxa"/>
          </w:tblCellMar>
        </w:tblPrEx>
        <w:tc>
          <w:tcPr>
            <w:tcW w:w="2607" w:type="dxa"/>
            <w:tcBorders>
              <w:top w:val="nil"/>
              <w:left w:val="single" w:sz="4" w:space="0" w:color="auto"/>
              <w:bottom w:val="nil"/>
              <w:right w:val="single" w:sz="4" w:space="0" w:color="auto"/>
            </w:tcBorders>
          </w:tcPr>
          <w:p w:rsidR="00000000" w:rsidRDefault="00000000">
            <w:pPr>
              <w:pStyle w:val="a2"/>
              <w:spacing w:before="60" w:line="240" w:lineRule="auto"/>
              <w:ind w:left="440"/>
              <w:rPr>
                <w:rFonts w:hint="eastAsia"/>
              </w:rPr>
            </w:pPr>
            <w:r>
              <w:rPr>
                <w:rFonts w:hint="eastAsia"/>
              </w:rPr>
              <w:t>独立住宅</w:t>
            </w:r>
          </w:p>
        </w:tc>
        <w:tc>
          <w:tcPr>
            <w:tcW w:w="2607" w:type="dxa"/>
            <w:tcBorders>
              <w:top w:val="nil"/>
              <w:left w:val="single" w:sz="4" w:space="0" w:color="auto"/>
              <w:bottom w:val="nil"/>
              <w:right w:val="single" w:sz="4" w:space="0" w:color="auto"/>
            </w:tcBorders>
          </w:tcPr>
          <w:p w:rsidR="00000000" w:rsidRDefault="00000000">
            <w:pPr>
              <w:pStyle w:val="a2"/>
              <w:spacing w:before="60" w:line="240" w:lineRule="auto"/>
              <w:ind w:left="440" w:right="1021"/>
              <w:jc w:val="right"/>
              <w:rPr>
                <w:rFonts w:hint="eastAsia"/>
              </w:rPr>
            </w:pPr>
            <w:r>
              <w:rPr>
                <w:rFonts w:hint="eastAsia"/>
              </w:rPr>
              <w:t>337 818</w:t>
            </w:r>
          </w:p>
        </w:tc>
        <w:tc>
          <w:tcPr>
            <w:tcW w:w="2608" w:type="dxa"/>
            <w:tcBorders>
              <w:top w:val="nil"/>
              <w:left w:val="single" w:sz="4" w:space="0" w:color="auto"/>
              <w:bottom w:val="nil"/>
              <w:right w:val="single" w:sz="4" w:space="0" w:color="auto"/>
            </w:tcBorders>
          </w:tcPr>
          <w:p w:rsidR="00000000" w:rsidRDefault="00000000">
            <w:pPr>
              <w:pStyle w:val="a2"/>
              <w:spacing w:before="60" w:line="240" w:lineRule="auto"/>
              <w:ind w:left="440" w:right="1247"/>
              <w:jc w:val="right"/>
              <w:rPr>
                <w:rFonts w:hint="eastAsia"/>
              </w:rPr>
            </w:pPr>
            <w:r>
              <w:rPr>
                <w:rFonts w:hint="eastAsia"/>
              </w:rPr>
              <w:t>36.3</w:t>
            </w:r>
          </w:p>
        </w:tc>
      </w:tr>
      <w:tr w:rsidR="00000000">
        <w:tblPrEx>
          <w:tblCellMar>
            <w:top w:w="0" w:type="dxa"/>
            <w:bottom w:w="0" w:type="dxa"/>
          </w:tblCellMar>
        </w:tblPrEx>
        <w:tc>
          <w:tcPr>
            <w:tcW w:w="2607" w:type="dxa"/>
            <w:tcBorders>
              <w:top w:val="nil"/>
              <w:left w:val="single" w:sz="4" w:space="0" w:color="auto"/>
              <w:bottom w:val="nil"/>
              <w:right w:val="single" w:sz="4" w:space="0" w:color="auto"/>
            </w:tcBorders>
          </w:tcPr>
          <w:p w:rsidR="00000000" w:rsidRDefault="00000000">
            <w:pPr>
              <w:pStyle w:val="a2"/>
              <w:spacing w:before="60" w:line="240" w:lineRule="auto"/>
              <w:ind w:left="440"/>
              <w:rPr>
                <w:rFonts w:hint="eastAsia"/>
              </w:rPr>
            </w:pPr>
            <w:r>
              <w:rPr>
                <w:rFonts w:hint="eastAsia"/>
              </w:rPr>
              <w:t>公寓</w:t>
            </w:r>
          </w:p>
        </w:tc>
        <w:tc>
          <w:tcPr>
            <w:tcW w:w="2607" w:type="dxa"/>
            <w:tcBorders>
              <w:top w:val="nil"/>
              <w:left w:val="single" w:sz="4" w:space="0" w:color="auto"/>
              <w:bottom w:val="nil"/>
              <w:right w:val="single" w:sz="4" w:space="0" w:color="auto"/>
            </w:tcBorders>
          </w:tcPr>
          <w:p w:rsidR="00000000" w:rsidRDefault="00000000">
            <w:pPr>
              <w:pStyle w:val="a2"/>
              <w:spacing w:before="60" w:line="240" w:lineRule="auto"/>
              <w:ind w:left="440" w:right="1021"/>
              <w:jc w:val="right"/>
              <w:rPr>
                <w:rFonts w:hint="eastAsia"/>
              </w:rPr>
            </w:pPr>
            <w:r>
              <w:rPr>
                <w:rFonts w:hint="eastAsia"/>
              </w:rPr>
              <w:t>126 209</w:t>
            </w:r>
          </w:p>
        </w:tc>
        <w:tc>
          <w:tcPr>
            <w:tcW w:w="2608" w:type="dxa"/>
            <w:tcBorders>
              <w:top w:val="nil"/>
              <w:left w:val="single" w:sz="4" w:space="0" w:color="auto"/>
              <w:bottom w:val="nil"/>
              <w:right w:val="single" w:sz="4" w:space="0" w:color="auto"/>
            </w:tcBorders>
          </w:tcPr>
          <w:p w:rsidR="00000000" w:rsidRDefault="00000000">
            <w:pPr>
              <w:pStyle w:val="a2"/>
              <w:spacing w:before="60" w:line="240" w:lineRule="auto"/>
              <w:ind w:left="440" w:right="1247"/>
              <w:jc w:val="right"/>
              <w:rPr>
                <w:rFonts w:hint="eastAsia"/>
              </w:rPr>
            </w:pPr>
            <w:r>
              <w:rPr>
                <w:rFonts w:hint="eastAsia"/>
              </w:rPr>
              <w:t>13.6</w:t>
            </w:r>
          </w:p>
        </w:tc>
      </w:tr>
      <w:tr w:rsidR="00000000">
        <w:tblPrEx>
          <w:tblCellMar>
            <w:top w:w="0" w:type="dxa"/>
            <w:bottom w:w="0" w:type="dxa"/>
          </w:tblCellMar>
        </w:tblPrEx>
        <w:tc>
          <w:tcPr>
            <w:tcW w:w="2607" w:type="dxa"/>
            <w:tcBorders>
              <w:top w:val="nil"/>
              <w:left w:val="single" w:sz="4" w:space="0" w:color="auto"/>
              <w:bottom w:val="single" w:sz="4" w:space="0" w:color="auto"/>
              <w:right w:val="single" w:sz="4" w:space="0" w:color="auto"/>
            </w:tcBorders>
          </w:tcPr>
          <w:p w:rsidR="00000000" w:rsidRDefault="00000000">
            <w:pPr>
              <w:pStyle w:val="a2"/>
              <w:spacing w:before="60" w:line="240" w:lineRule="auto"/>
              <w:ind w:left="440"/>
              <w:rPr>
                <w:rFonts w:hint="eastAsia"/>
              </w:rPr>
            </w:pPr>
            <w:r>
              <w:rPr>
                <w:rFonts w:hint="eastAsia"/>
              </w:rPr>
              <w:t>其他</w:t>
            </w:r>
          </w:p>
        </w:tc>
        <w:tc>
          <w:tcPr>
            <w:tcW w:w="2607" w:type="dxa"/>
            <w:tcBorders>
              <w:top w:val="nil"/>
              <w:left w:val="single" w:sz="4" w:space="0" w:color="auto"/>
              <w:bottom w:val="single" w:sz="4" w:space="0" w:color="auto"/>
              <w:right w:val="single" w:sz="4" w:space="0" w:color="auto"/>
            </w:tcBorders>
          </w:tcPr>
          <w:p w:rsidR="00000000" w:rsidRDefault="00000000">
            <w:pPr>
              <w:pStyle w:val="a2"/>
              <w:spacing w:before="60" w:line="240" w:lineRule="auto"/>
              <w:ind w:left="440" w:right="1021"/>
              <w:jc w:val="right"/>
              <w:rPr>
                <w:rFonts w:hint="eastAsia"/>
              </w:rPr>
            </w:pPr>
            <w:r>
              <w:rPr>
                <w:rFonts w:hint="eastAsia"/>
              </w:rPr>
              <w:t>33 589</w:t>
            </w:r>
          </w:p>
        </w:tc>
        <w:tc>
          <w:tcPr>
            <w:tcW w:w="2608" w:type="dxa"/>
            <w:tcBorders>
              <w:top w:val="nil"/>
              <w:left w:val="single" w:sz="4" w:space="0" w:color="auto"/>
              <w:bottom w:val="single" w:sz="4" w:space="0" w:color="auto"/>
              <w:right w:val="single" w:sz="4" w:space="0" w:color="auto"/>
            </w:tcBorders>
          </w:tcPr>
          <w:p w:rsidR="00000000" w:rsidRDefault="00000000">
            <w:pPr>
              <w:pStyle w:val="a2"/>
              <w:spacing w:before="60" w:line="240" w:lineRule="auto"/>
              <w:ind w:left="440" w:right="1247"/>
              <w:jc w:val="right"/>
              <w:rPr>
                <w:rFonts w:hint="eastAsia"/>
              </w:rPr>
            </w:pPr>
            <w:r>
              <w:rPr>
                <w:rFonts w:hint="eastAsia"/>
              </w:rPr>
              <w:t>3.6</w:t>
            </w:r>
          </w:p>
        </w:tc>
      </w:tr>
      <w:tr w:rsidR="00000000">
        <w:tblPrEx>
          <w:tblCellMar>
            <w:top w:w="0" w:type="dxa"/>
            <w:bottom w:w="0" w:type="dxa"/>
          </w:tblCellMar>
        </w:tblPrEx>
        <w:tc>
          <w:tcPr>
            <w:tcW w:w="2607" w:type="dxa"/>
            <w:tcBorders>
              <w:top w:val="single" w:sz="4" w:space="0" w:color="auto"/>
            </w:tcBorders>
          </w:tcPr>
          <w:p w:rsidR="00000000" w:rsidRDefault="00000000">
            <w:pPr>
              <w:pStyle w:val="a2"/>
              <w:spacing w:before="60" w:line="240" w:lineRule="auto"/>
              <w:ind w:left="440"/>
              <w:rPr>
                <w:rFonts w:hint="eastAsia"/>
              </w:rPr>
            </w:pPr>
            <w:r>
              <w:rPr>
                <w:rFonts w:hint="eastAsia"/>
              </w:rPr>
              <w:t>总计</w:t>
            </w:r>
          </w:p>
        </w:tc>
        <w:tc>
          <w:tcPr>
            <w:tcW w:w="2607" w:type="dxa"/>
            <w:tcBorders>
              <w:top w:val="single" w:sz="4" w:space="0" w:color="auto"/>
            </w:tcBorders>
          </w:tcPr>
          <w:p w:rsidR="00000000" w:rsidRDefault="00000000">
            <w:pPr>
              <w:pStyle w:val="a2"/>
              <w:spacing w:before="60" w:line="240" w:lineRule="auto"/>
              <w:ind w:left="440" w:right="1021"/>
              <w:jc w:val="right"/>
              <w:rPr>
                <w:rFonts w:hint="eastAsia"/>
              </w:rPr>
            </w:pPr>
            <w:r>
              <w:rPr>
                <w:rFonts w:hint="eastAsia"/>
              </w:rPr>
              <w:t>930 870</w:t>
            </w:r>
          </w:p>
        </w:tc>
        <w:tc>
          <w:tcPr>
            <w:tcW w:w="2608" w:type="dxa"/>
            <w:tcBorders>
              <w:top w:val="single" w:sz="4" w:space="0" w:color="auto"/>
            </w:tcBorders>
          </w:tcPr>
          <w:p w:rsidR="00000000" w:rsidRDefault="00000000">
            <w:pPr>
              <w:pStyle w:val="a2"/>
              <w:spacing w:before="60" w:line="240" w:lineRule="auto"/>
              <w:ind w:left="440" w:right="1418"/>
              <w:jc w:val="right"/>
              <w:rPr>
                <w:rFonts w:hint="eastAsia"/>
              </w:rPr>
            </w:pPr>
            <w:r>
              <w:rPr>
                <w:rFonts w:hint="eastAsia"/>
              </w:rPr>
              <w:t>100</w:t>
            </w:r>
          </w:p>
        </w:tc>
      </w:tr>
    </w:tbl>
    <w:p w:rsidR="00000000" w:rsidRDefault="00000000">
      <w:pPr>
        <w:rPr>
          <w:rFonts w:hint="eastAsia"/>
        </w:rPr>
      </w:pPr>
    </w:p>
    <w:p w:rsidR="00000000" w:rsidRDefault="00000000">
      <w:pPr>
        <w:spacing w:after="320"/>
        <w:ind w:left="1440"/>
        <w:rPr>
          <w:rFonts w:eastAsia="KaiTi_GB2312" w:hint="eastAsia"/>
          <w:spacing w:val="0"/>
        </w:rPr>
      </w:pPr>
      <w:r>
        <w:rPr>
          <w:rFonts w:eastAsia="KaiTi_GB2312" w:hint="eastAsia"/>
          <w:spacing w:val="0"/>
          <w:u w:val="single"/>
        </w:rPr>
        <w:t>资料来源</w:t>
      </w:r>
      <w:r>
        <w:rPr>
          <w:rFonts w:eastAsia="KaiTi_GB2312" w:hint="eastAsia"/>
          <w:spacing w:val="0"/>
        </w:rPr>
        <w:t>：国家文献和信息处，《</w:t>
      </w:r>
      <w:r>
        <w:rPr>
          <w:rFonts w:eastAsia="KaiTi_GB2312" w:hint="eastAsia"/>
          <w:spacing w:val="0"/>
        </w:rPr>
        <w:t>2002</w:t>
      </w:r>
      <w:r>
        <w:rPr>
          <w:rFonts w:eastAsia="KaiTi_GB2312" w:hint="eastAsia"/>
          <w:spacing w:val="0"/>
        </w:rPr>
        <w:t>年统计年鉴》，第</w:t>
      </w:r>
      <w:r>
        <w:rPr>
          <w:rFonts w:eastAsia="KaiTi_GB2312" w:hint="eastAsia"/>
          <w:spacing w:val="0"/>
        </w:rPr>
        <w:t>80</w:t>
      </w:r>
      <w:r>
        <w:rPr>
          <w:rFonts w:eastAsia="KaiTi_GB2312" w:hint="eastAsia"/>
          <w:spacing w:val="0"/>
        </w:rPr>
        <w:t>页。</w:t>
      </w:r>
    </w:p>
    <w:p w:rsidR="00000000" w:rsidRDefault="00000000">
      <w:pPr>
        <w:pStyle w:val="a0"/>
        <w:spacing w:after="320"/>
        <w:ind w:left="1550"/>
        <w:rPr>
          <w:rFonts w:hint="eastAsia"/>
        </w:rPr>
      </w:pPr>
      <w:r>
        <w:rPr>
          <w:rFonts w:hint="eastAsia"/>
        </w:rPr>
        <w:t>在</w:t>
      </w:r>
      <w:r>
        <w:rPr>
          <w:rFonts w:hint="eastAsia"/>
        </w:rPr>
        <w:t>2002</w:t>
      </w:r>
      <w:r>
        <w:rPr>
          <w:rFonts w:hint="eastAsia"/>
        </w:rPr>
        <w:t>年至</w:t>
      </w:r>
      <w:r>
        <w:rPr>
          <w:rFonts w:hint="eastAsia"/>
        </w:rPr>
        <w:t>2006</w:t>
      </w:r>
      <w:r>
        <w:rPr>
          <w:rFonts w:hint="eastAsia"/>
        </w:rPr>
        <w:t>年期间发展计划的框架内，阿拉伯利比亚民众国在各地区的住房和基础设施部门的估计投资总额为</w:t>
      </w:r>
      <w:r>
        <w:rPr>
          <w:rFonts w:hint="eastAsia"/>
        </w:rPr>
        <w:t>5,627,230,000</w:t>
      </w:r>
      <w:r>
        <w:rPr>
          <w:rFonts w:hint="eastAsia"/>
        </w:rPr>
        <w:t>第纳尔，涉及人口总数为</w:t>
      </w:r>
      <w:r>
        <w:rPr>
          <w:rFonts w:hint="eastAsia"/>
        </w:rPr>
        <w:t>5,299,943</w:t>
      </w:r>
      <w:r>
        <w:rPr>
          <w:rFonts w:hint="eastAsia"/>
        </w:rPr>
        <w:t>人。</w:t>
      </w:r>
    </w:p>
    <w:p w:rsidR="00000000" w:rsidRDefault="00000000">
      <w:pPr>
        <w:pStyle w:val="Heading4"/>
        <w:rPr>
          <w:rFonts w:hint="eastAsia"/>
        </w:rPr>
      </w:pPr>
      <w:r>
        <w:rPr>
          <w:rFonts w:hint="eastAsia"/>
        </w:rPr>
        <w:t>第</w:t>
      </w:r>
      <w:r>
        <w:rPr>
          <w:rFonts w:hint="eastAsia"/>
        </w:rPr>
        <w:t>3</w:t>
      </w:r>
      <w:r>
        <w:rPr>
          <w:rFonts w:hint="eastAsia"/>
        </w:rPr>
        <w:t>段第</w:t>
      </w:r>
      <w:r>
        <w:rPr>
          <w:rFonts w:hint="eastAsia"/>
        </w:rPr>
        <w:t>(</w:t>
      </w:r>
      <w:r>
        <w:t>b)</w:t>
      </w:r>
      <w:r>
        <w:rPr>
          <w:rFonts w:hint="eastAsia"/>
        </w:rPr>
        <w:t>节第</w:t>
      </w:r>
      <w:r>
        <w:rPr>
          <w:rFonts w:hint="eastAsia"/>
        </w:rPr>
        <w:t>(</w:t>
      </w:r>
      <w:r>
        <w:rPr>
          <w:rFonts w:hint="eastAsia"/>
        </w:rPr>
        <w:t>一</w:t>
      </w:r>
      <w:r>
        <w:rPr>
          <w:rFonts w:hint="eastAsia"/>
        </w:rPr>
        <w:t>)</w:t>
      </w:r>
      <w:r>
        <w:rPr>
          <w:rFonts w:hint="eastAsia"/>
        </w:rPr>
        <w:t>分段</w:t>
      </w:r>
    </w:p>
    <w:p w:rsidR="00000000" w:rsidRDefault="00000000">
      <w:pPr>
        <w:spacing w:after="320"/>
        <w:rPr>
          <w:rFonts w:hint="eastAsia"/>
        </w:rPr>
      </w:pPr>
      <w:r>
        <w:rPr>
          <w:rFonts w:hint="eastAsia"/>
        </w:rPr>
        <w:tab/>
        <w:t xml:space="preserve">75.  </w:t>
      </w:r>
      <w:r>
        <w:rPr>
          <w:rFonts w:hint="eastAsia"/>
        </w:rPr>
        <w:t>这种情况并不存在：在利比亚没有无家可归的个人或者家庭。</w:t>
      </w:r>
    </w:p>
    <w:p w:rsidR="00000000" w:rsidRDefault="00000000">
      <w:pPr>
        <w:pStyle w:val="Heading4"/>
        <w:rPr>
          <w:rFonts w:hint="eastAsia"/>
        </w:rPr>
      </w:pPr>
      <w:r>
        <w:rPr>
          <w:rFonts w:hint="eastAsia"/>
        </w:rPr>
        <w:t>第</w:t>
      </w:r>
      <w:r>
        <w:rPr>
          <w:rFonts w:hint="eastAsia"/>
        </w:rPr>
        <w:t>(</w:t>
      </w:r>
      <w:r>
        <w:rPr>
          <w:rFonts w:hint="eastAsia"/>
        </w:rPr>
        <w:t>二</w:t>
      </w:r>
      <w:r>
        <w:rPr>
          <w:rFonts w:hint="eastAsia"/>
        </w:rPr>
        <w:t>)</w:t>
      </w:r>
      <w:r>
        <w:rPr>
          <w:rFonts w:hint="eastAsia"/>
        </w:rPr>
        <w:t>分段</w:t>
      </w:r>
    </w:p>
    <w:p w:rsidR="00000000" w:rsidRDefault="00000000">
      <w:pPr>
        <w:spacing w:after="320"/>
        <w:rPr>
          <w:rFonts w:hint="eastAsia"/>
        </w:rPr>
      </w:pPr>
      <w:r>
        <w:rPr>
          <w:rFonts w:hint="eastAsia"/>
        </w:rPr>
        <w:tab/>
        <w:t xml:space="preserve">76.  </w:t>
      </w:r>
      <w:r>
        <w:rPr>
          <w:rFonts w:hint="eastAsia"/>
        </w:rPr>
        <w:t>这种情况并不适用于阿拉伯利比亚民众国的人民，因为所有人都有适足的住房并且能够使用诸如饮用水、卫生、电和煤气等基本生活福利，在开发计划署的《人类发展报告》以及利比亚民众国</w:t>
      </w:r>
      <w:r>
        <w:rPr>
          <w:rFonts w:hint="eastAsia"/>
        </w:rPr>
        <w:t>1999</w:t>
      </w:r>
      <w:r>
        <w:rPr>
          <w:rFonts w:hint="eastAsia"/>
        </w:rPr>
        <w:t>年人类发展报告中所载的指数也都证实了这一点。大约</w:t>
      </w:r>
      <w:r>
        <w:rPr>
          <w:rFonts w:hint="eastAsia"/>
        </w:rPr>
        <w:t>99.7%</w:t>
      </w:r>
      <w:r>
        <w:rPr>
          <w:rFonts w:hint="eastAsia"/>
        </w:rPr>
        <w:t>的利比亚人都用上了电，</w:t>
      </w:r>
      <w:r>
        <w:rPr>
          <w:rFonts w:hint="eastAsia"/>
        </w:rPr>
        <w:t>94%</w:t>
      </w:r>
      <w:r>
        <w:rPr>
          <w:rFonts w:hint="eastAsia"/>
        </w:rPr>
        <w:t>的家庭使用卫生设施。</w:t>
      </w:r>
    </w:p>
    <w:p w:rsidR="00000000" w:rsidRDefault="00000000">
      <w:pPr>
        <w:pStyle w:val="Heading4"/>
        <w:rPr>
          <w:rFonts w:hint="eastAsia"/>
        </w:rPr>
      </w:pPr>
      <w:r>
        <w:rPr>
          <w:rFonts w:hint="eastAsia"/>
        </w:rPr>
        <w:t>第</w:t>
      </w:r>
      <w:r>
        <w:rPr>
          <w:rFonts w:hint="eastAsia"/>
        </w:rPr>
        <w:t>(</w:t>
      </w:r>
      <w:r>
        <w:rPr>
          <w:rFonts w:hint="eastAsia"/>
        </w:rPr>
        <w:t>三</w:t>
      </w:r>
      <w:r>
        <w:rPr>
          <w:rFonts w:hint="eastAsia"/>
        </w:rPr>
        <w:t>)</w:t>
      </w:r>
      <w:r>
        <w:rPr>
          <w:rFonts w:hint="eastAsia"/>
        </w:rPr>
        <w:t>分段</w:t>
      </w:r>
    </w:p>
    <w:p w:rsidR="00000000" w:rsidRDefault="00000000">
      <w:pPr>
        <w:rPr>
          <w:rFonts w:hint="eastAsia"/>
        </w:rPr>
      </w:pPr>
      <w:r>
        <w:rPr>
          <w:rFonts w:hint="eastAsia"/>
        </w:rPr>
        <w:tab/>
        <w:t xml:space="preserve">77.  </w:t>
      </w:r>
      <w:r>
        <w:rPr>
          <w:rFonts w:hint="eastAsia"/>
        </w:rPr>
        <w:t>利比亚的许多房屋是非法建造的，没有任何形式的规划。</w:t>
      </w:r>
    </w:p>
    <w:p w:rsidR="00000000" w:rsidRDefault="00000000">
      <w:pPr>
        <w:pStyle w:val="Heading4"/>
        <w:spacing w:before="300"/>
        <w:rPr>
          <w:rFonts w:hint="eastAsia"/>
        </w:rPr>
      </w:pPr>
      <w:r>
        <w:rPr>
          <w:rFonts w:hint="eastAsia"/>
        </w:rPr>
        <w:t>第</w:t>
      </w:r>
      <w:r>
        <w:rPr>
          <w:rFonts w:hint="eastAsia"/>
        </w:rPr>
        <w:t>(</w:t>
      </w:r>
      <w:r>
        <w:rPr>
          <w:rFonts w:hint="eastAsia"/>
        </w:rPr>
        <w:t>四</w:t>
      </w:r>
      <w:r>
        <w:rPr>
          <w:rFonts w:hint="eastAsia"/>
        </w:rPr>
        <w:t>)</w:t>
      </w:r>
      <w:r>
        <w:rPr>
          <w:rFonts w:hint="eastAsia"/>
        </w:rPr>
        <w:t>分段</w:t>
      </w:r>
    </w:p>
    <w:p w:rsidR="00000000" w:rsidRDefault="00000000">
      <w:pPr>
        <w:rPr>
          <w:rFonts w:hint="eastAsia"/>
        </w:rPr>
      </w:pPr>
      <w:r>
        <w:rPr>
          <w:rFonts w:hint="eastAsia"/>
        </w:rPr>
        <w:tab/>
        <w:t xml:space="preserve">78.  </w:t>
      </w:r>
      <w:r>
        <w:rPr>
          <w:rFonts w:hint="eastAsia"/>
        </w:rPr>
        <w:t>这种情况并不适用。</w:t>
      </w:r>
    </w:p>
    <w:p w:rsidR="00000000" w:rsidRDefault="00000000">
      <w:pPr>
        <w:rPr>
          <w:rFonts w:hint="eastAsia"/>
        </w:rPr>
      </w:pPr>
      <w:r>
        <w:rPr>
          <w:rFonts w:hint="eastAsia"/>
        </w:rPr>
        <w:tab/>
        <w:t>79.  2000</w:t>
      </w:r>
      <w:r>
        <w:rPr>
          <w:rFonts w:hint="eastAsia"/>
        </w:rPr>
        <w:t>年的国家住房战略已经实施，</w:t>
      </w:r>
      <w:r>
        <w:rPr>
          <w:rFonts w:hint="eastAsia"/>
        </w:rPr>
        <w:t>1996</w:t>
      </w:r>
      <w:r>
        <w:rPr>
          <w:rFonts w:hint="eastAsia"/>
        </w:rPr>
        <w:t>年是</w:t>
      </w:r>
      <w:r>
        <w:rPr>
          <w:rFonts w:hint="eastAsia"/>
        </w:rPr>
        <w:t>2020</w:t>
      </w:r>
      <w:r>
        <w:rPr>
          <w:rFonts w:hint="eastAsia"/>
        </w:rPr>
        <w:t>年期间的长期计划已经通过。已经颁布几项法令以便利人民使用卫生的、体面的和可以承受得起的住房。这些法令包括全国人民委员会</w:t>
      </w:r>
      <w:r>
        <w:rPr>
          <w:rFonts w:hint="eastAsia"/>
        </w:rPr>
        <w:t>2001</w:t>
      </w:r>
      <w:r>
        <w:rPr>
          <w:rFonts w:hint="eastAsia"/>
        </w:rPr>
        <w:t>年第</w:t>
      </w:r>
      <w:r>
        <w:rPr>
          <w:rFonts w:hint="eastAsia"/>
        </w:rPr>
        <w:t>275</w:t>
      </w:r>
      <w:r>
        <w:rPr>
          <w:rFonts w:hint="eastAsia"/>
        </w:rPr>
        <w:t>号法令，其中制定了一项有关发放总额为</w:t>
      </w:r>
      <w:r>
        <w:rPr>
          <w:rFonts w:hint="eastAsia"/>
        </w:rPr>
        <w:t>4</w:t>
      </w:r>
      <w:r>
        <w:rPr>
          <w:rFonts w:hint="eastAsia"/>
        </w:rPr>
        <w:t>亿</w:t>
      </w:r>
      <w:r>
        <w:rPr>
          <w:rFonts w:hint="eastAsia"/>
        </w:rPr>
        <w:t>4</w:t>
      </w:r>
      <w:r>
        <w:rPr>
          <w:rFonts w:hint="eastAsia"/>
        </w:rPr>
        <w:t>千万第纳尔贷款的计划，资金来源和贷款类型待定。根据这项法令第</w:t>
      </w:r>
      <w:r>
        <w:rPr>
          <w:rFonts w:hint="eastAsia"/>
        </w:rPr>
        <w:t>3</w:t>
      </w:r>
      <w:r>
        <w:rPr>
          <w:rFonts w:hint="eastAsia"/>
        </w:rPr>
        <w:t>条的规定，利比亚的商业银行必须贷款</w:t>
      </w:r>
      <w:r>
        <w:rPr>
          <w:rFonts w:hint="eastAsia"/>
        </w:rPr>
        <w:t>1</w:t>
      </w:r>
      <w:r>
        <w:rPr>
          <w:rFonts w:hint="eastAsia"/>
        </w:rPr>
        <w:t>亿</w:t>
      </w:r>
      <w:r>
        <w:rPr>
          <w:rFonts w:hint="eastAsia"/>
        </w:rPr>
        <w:t>5,000</w:t>
      </w:r>
      <w:r>
        <w:rPr>
          <w:rFonts w:hint="eastAsia"/>
        </w:rPr>
        <w:t>万第纳尔给私人银行，而这些私人银行则必须用这笔贷款为有关的农业地区和畜牧业地区建造</w:t>
      </w:r>
      <w:r>
        <w:rPr>
          <w:rFonts w:hint="eastAsia"/>
        </w:rPr>
        <w:t>6,000</w:t>
      </w:r>
      <w:r>
        <w:rPr>
          <w:rFonts w:hint="eastAsia"/>
        </w:rPr>
        <w:t>套公寓的计划作抵押。根据这项法令第</w:t>
      </w:r>
      <w:r>
        <w:rPr>
          <w:rFonts w:hint="eastAsia"/>
        </w:rPr>
        <w:t>4</w:t>
      </w:r>
      <w:r>
        <w:rPr>
          <w:rFonts w:hint="eastAsia"/>
        </w:rPr>
        <w:t>条的规定，商业银行必须贷款给本地区的农业银行和畜牧银行。</w:t>
      </w:r>
    </w:p>
    <w:p w:rsidR="00000000" w:rsidRDefault="00000000">
      <w:pPr>
        <w:rPr>
          <w:rFonts w:hint="eastAsia"/>
        </w:rPr>
      </w:pPr>
      <w:r>
        <w:rPr>
          <w:rFonts w:hint="eastAsia"/>
        </w:rPr>
        <w:tab/>
        <w:t xml:space="preserve">80.  </w:t>
      </w:r>
      <w:r>
        <w:rPr>
          <w:rFonts w:hint="eastAsia"/>
        </w:rPr>
        <w:t>全国人民委员会</w:t>
      </w:r>
      <w:r>
        <w:rPr>
          <w:rFonts w:hint="eastAsia"/>
        </w:rPr>
        <w:t>2001</w:t>
      </w:r>
      <w:r>
        <w:rPr>
          <w:rFonts w:hint="eastAsia"/>
        </w:rPr>
        <w:t>年第</w:t>
      </w:r>
      <w:r>
        <w:rPr>
          <w:rFonts w:hint="eastAsia"/>
        </w:rPr>
        <w:t>173</w:t>
      </w:r>
      <w:r>
        <w:rPr>
          <w:rFonts w:hint="eastAsia"/>
        </w:rPr>
        <w:t>号法令就农业贷款和畜牧业贷款作出了一些规定。根据该项法令第</w:t>
      </w:r>
      <w:r>
        <w:rPr>
          <w:rFonts w:hint="eastAsia"/>
        </w:rPr>
        <w:t>1</w:t>
      </w:r>
      <w:r>
        <w:rPr>
          <w:rFonts w:hint="eastAsia"/>
        </w:rPr>
        <w:t>条的规定，商业银行和私人银行向公民提供为期</w:t>
      </w:r>
      <w:r>
        <w:rPr>
          <w:rFonts w:hint="eastAsia"/>
        </w:rPr>
        <w:t>25</w:t>
      </w:r>
      <w:r>
        <w:rPr>
          <w:rFonts w:hint="eastAsia"/>
        </w:rPr>
        <w:t>年的抵押贷款，用于在农业地区和畜牧业地区建造住房，每笔贷款为</w:t>
      </w:r>
      <w:r>
        <w:rPr>
          <w:rFonts w:hint="eastAsia"/>
        </w:rPr>
        <w:t>3</w:t>
      </w:r>
      <w:r>
        <w:rPr>
          <w:rFonts w:hint="eastAsia"/>
        </w:rPr>
        <w:t>万第纳尔。在这方面，全国人民代表大会在有关公共事务的</w:t>
      </w:r>
      <w:r>
        <w:rPr>
          <w:rFonts w:hint="eastAsia"/>
        </w:rPr>
        <w:t>1999</w:t>
      </w:r>
      <w:r>
        <w:rPr>
          <w:rFonts w:hint="eastAsia"/>
        </w:rPr>
        <w:t>年第</w:t>
      </w:r>
      <w:r>
        <w:rPr>
          <w:rFonts w:hint="eastAsia"/>
        </w:rPr>
        <w:t>20</w:t>
      </w:r>
      <w:r>
        <w:rPr>
          <w:rFonts w:hint="eastAsia"/>
        </w:rPr>
        <w:t>号法令的第</w:t>
      </w:r>
      <w:r>
        <w:rPr>
          <w:rFonts w:hint="eastAsia"/>
        </w:rPr>
        <w:t>3</w:t>
      </w:r>
      <w:r>
        <w:rPr>
          <w:rFonts w:hint="eastAsia"/>
        </w:rPr>
        <w:t>段中指示全国人民委员会的秘书处采取必要措施，增加专业银行的资金储备金，并适当考虑到这些银行的资本周转和规模，以便增加生产、服务和住房贷款申请人的数目。</w:t>
      </w:r>
    </w:p>
    <w:p w:rsidR="00000000" w:rsidRDefault="00000000">
      <w:pPr>
        <w:spacing w:after="320"/>
        <w:rPr>
          <w:rFonts w:hint="eastAsia"/>
        </w:rPr>
      </w:pPr>
      <w:r>
        <w:rPr>
          <w:rFonts w:hint="eastAsia"/>
        </w:rPr>
        <w:tab/>
        <w:t xml:space="preserve">81.  </w:t>
      </w:r>
      <w:r>
        <w:rPr>
          <w:rFonts w:hint="eastAsia"/>
        </w:rPr>
        <w:t>为执行这项法令，设立了一些建筑公司。例如，根据全国人民委员会</w:t>
      </w:r>
      <w:r>
        <w:rPr>
          <w:rFonts w:hint="eastAsia"/>
        </w:rPr>
        <w:t>2000</w:t>
      </w:r>
      <w:r>
        <w:rPr>
          <w:rFonts w:hint="eastAsia"/>
        </w:rPr>
        <w:t>年第</w:t>
      </w:r>
      <w:r>
        <w:rPr>
          <w:rFonts w:hint="eastAsia"/>
        </w:rPr>
        <w:t>185</w:t>
      </w:r>
      <w:r>
        <w:rPr>
          <w:rFonts w:hint="eastAsia"/>
        </w:rPr>
        <w:t>号法令成立了</w:t>
      </w:r>
      <w:r>
        <w:t>Tahadi</w:t>
      </w:r>
      <w:r>
        <w:rPr>
          <w:rFonts w:hint="eastAsia"/>
        </w:rPr>
        <w:t>建筑工程局，以管理住房和基础设施的建筑和维修项目，处理各种商业交易，并且根据已经生效的法律在利比亚国内和境外投资。该局特别负责管理有关向第三方出售住房的建房项目</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000000" w:rsidRDefault="00000000">
      <w:pPr>
        <w:pStyle w:val="Heading4"/>
        <w:rPr>
          <w:rFonts w:hint="eastAsia"/>
        </w:rPr>
      </w:pPr>
      <w:r>
        <w:rPr>
          <w:rFonts w:hint="eastAsia"/>
        </w:rPr>
        <w:t>第</w:t>
      </w:r>
      <w:r>
        <w:rPr>
          <w:rFonts w:hint="eastAsia"/>
        </w:rPr>
        <w:t>(</w:t>
      </w:r>
      <w:r>
        <w:t>e)</w:t>
      </w:r>
      <w:r>
        <w:rPr>
          <w:rFonts w:hint="eastAsia"/>
        </w:rPr>
        <w:t>段</w:t>
      </w:r>
    </w:p>
    <w:p w:rsidR="00000000" w:rsidRDefault="00000000">
      <w:pPr>
        <w:spacing w:after="320"/>
        <w:rPr>
          <w:rFonts w:hint="eastAsia"/>
        </w:rPr>
      </w:pPr>
      <w:r>
        <w:rPr>
          <w:rFonts w:hint="eastAsia"/>
        </w:rPr>
        <w:tab/>
        <w:t xml:space="preserve">82.  </w:t>
      </w:r>
      <w:r>
        <w:rPr>
          <w:rFonts w:hint="eastAsia"/>
        </w:rPr>
        <w:t>这一段涉及对于适足住房权有负面影响的国家政策和法律的改变，并不适用利比亚民众国。</w:t>
      </w:r>
    </w:p>
    <w:p w:rsidR="00000000" w:rsidRDefault="00000000">
      <w:pPr>
        <w:pStyle w:val="Heading4"/>
        <w:rPr>
          <w:rFonts w:hint="eastAsia"/>
        </w:rPr>
      </w:pPr>
      <w:r>
        <w:rPr>
          <w:rFonts w:hint="eastAsia"/>
        </w:rPr>
        <w:t>第</w:t>
      </w:r>
      <w:r>
        <w:rPr>
          <w:rFonts w:hint="eastAsia"/>
        </w:rPr>
        <w:t>4</w:t>
      </w:r>
      <w:r>
        <w:rPr>
          <w:rFonts w:hint="eastAsia"/>
        </w:rPr>
        <w:t>段</w:t>
      </w:r>
    </w:p>
    <w:p w:rsidR="00000000" w:rsidRDefault="00000000">
      <w:pPr>
        <w:rPr>
          <w:rFonts w:hint="eastAsia"/>
        </w:rPr>
      </w:pPr>
      <w:r>
        <w:rPr>
          <w:rFonts w:hint="eastAsia"/>
        </w:rPr>
        <w:tab/>
        <w:t xml:space="preserve">83.  </w:t>
      </w:r>
      <w:r>
        <w:rPr>
          <w:rFonts w:hint="eastAsia"/>
        </w:rPr>
        <w:t>国家在执行第十一条方面所遇到的困难包括：</w:t>
      </w:r>
    </w:p>
    <w:p w:rsidR="00000000" w:rsidRDefault="00000000">
      <w:pPr>
        <w:pStyle w:val="a0"/>
        <w:tabs>
          <w:tab w:val="num" w:pos="1550"/>
        </w:tabs>
        <w:ind w:left="1550"/>
        <w:rPr>
          <w:rFonts w:hint="eastAsia"/>
        </w:rPr>
      </w:pPr>
      <w:r>
        <w:rPr>
          <w:rFonts w:hint="eastAsia"/>
        </w:rPr>
        <w:t>油价下跌或者波动造成国家收支的减少；</w:t>
      </w:r>
    </w:p>
    <w:p w:rsidR="00000000" w:rsidRDefault="00000000">
      <w:pPr>
        <w:pStyle w:val="a0"/>
        <w:tabs>
          <w:tab w:val="num" w:pos="1550"/>
        </w:tabs>
        <w:ind w:left="1550"/>
        <w:rPr>
          <w:rFonts w:hint="eastAsia"/>
        </w:rPr>
      </w:pPr>
      <w:r>
        <w:rPr>
          <w:rFonts w:hint="eastAsia"/>
        </w:rPr>
        <w:t>公众缺乏对于营养和健康的认识；</w:t>
      </w:r>
    </w:p>
    <w:p w:rsidR="00000000" w:rsidRDefault="00000000">
      <w:pPr>
        <w:pStyle w:val="a0"/>
        <w:tabs>
          <w:tab w:val="num" w:pos="1550"/>
        </w:tabs>
        <w:ind w:left="1550"/>
        <w:rPr>
          <w:rFonts w:hint="eastAsia"/>
        </w:rPr>
      </w:pPr>
      <w:r>
        <w:rPr>
          <w:rFonts w:hint="eastAsia"/>
        </w:rPr>
        <w:t>缺水；</w:t>
      </w:r>
    </w:p>
    <w:p w:rsidR="00000000" w:rsidRDefault="00000000">
      <w:pPr>
        <w:pStyle w:val="a0"/>
        <w:tabs>
          <w:tab w:val="num" w:pos="1550"/>
        </w:tabs>
        <w:ind w:left="1550"/>
        <w:rPr>
          <w:rFonts w:hint="eastAsia"/>
        </w:rPr>
      </w:pPr>
      <w:r>
        <w:rPr>
          <w:rFonts w:hint="eastAsia"/>
        </w:rPr>
        <w:t>一些个人非法建房；</w:t>
      </w:r>
    </w:p>
    <w:p w:rsidR="00000000" w:rsidRDefault="00000000">
      <w:pPr>
        <w:pStyle w:val="a0"/>
        <w:tabs>
          <w:tab w:val="num" w:pos="1550"/>
        </w:tabs>
        <w:spacing w:after="320"/>
        <w:ind w:left="1550"/>
        <w:rPr>
          <w:rFonts w:hint="eastAsia"/>
        </w:rPr>
      </w:pPr>
      <w:r>
        <w:rPr>
          <w:rFonts w:hint="eastAsia"/>
        </w:rPr>
        <w:t>一些公寓被用作工作场所。</w:t>
      </w:r>
    </w:p>
    <w:p w:rsidR="00000000" w:rsidRDefault="00000000">
      <w:pPr>
        <w:pStyle w:val="Heading4"/>
        <w:rPr>
          <w:rFonts w:hint="eastAsia"/>
        </w:rPr>
      </w:pPr>
      <w:r>
        <w:rPr>
          <w:rFonts w:hint="eastAsia"/>
        </w:rPr>
        <w:t>第</w:t>
      </w:r>
      <w:r>
        <w:rPr>
          <w:rFonts w:hint="eastAsia"/>
        </w:rPr>
        <w:t>5</w:t>
      </w:r>
      <w:r>
        <w:rPr>
          <w:rFonts w:hint="eastAsia"/>
        </w:rPr>
        <w:t>段</w:t>
      </w:r>
    </w:p>
    <w:p w:rsidR="00000000" w:rsidRDefault="00000000">
      <w:pPr>
        <w:spacing w:after="320"/>
        <w:rPr>
          <w:rFonts w:hint="eastAsia"/>
        </w:rPr>
      </w:pPr>
      <w:r>
        <w:rPr>
          <w:rFonts w:hint="eastAsia"/>
        </w:rPr>
        <w:tab/>
        <w:t xml:space="preserve">84.  </w:t>
      </w:r>
      <w:r>
        <w:rPr>
          <w:rFonts w:hint="eastAsia"/>
        </w:rPr>
        <w:t>阿拉伯利比亚民众国使用联合国所提供的援助，特别是卫生组织、粮农组织、儿童基金会以及开发计划署所提供的援助，以便实现第十一条所规定的权利。利比亚特别得益于为消灭植物病虫害以及保护牲畜和环境而提供的技术专门知识和实际知识。</w:t>
      </w:r>
    </w:p>
    <w:p w:rsidR="00000000" w:rsidRDefault="00000000">
      <w:pPr>
        <w:pStyle w:val="Heading3"/>
        <w:rPr>
          <w:rFonts w:hint="eastAsia"/>
        </w:rPr>
      </w:pPr>
      <w:r>
        <w:rPr>
          <w:rFonts w:hint="eastAsia"/>
        </w:rPr>
        <w:t>第十二条</w:t>
      </w:r>
      <w:r>
        <w:rPr>
          <w:rFonts w:hint="eastAsia"/>
          <w:spacing w:val="0"/>
        </w:rPr>
        <w:t xml:space="preserve">  </w:t>
      </w:r>
      <w:r>
        <w:rPr>
          <w:rFonts w:hint="eastAsia"/>
        </w:rPr>
        <w:t>享有尽可能高的身体健康和精神健康水平的权利</w:t>
      </w:r>
    </w:p>
    <w:p w:rsidR="00000000" w:rsidRDefault="00000000">
      <w:pPr>
        <w:rPr>
          <w:rFonts w:hint="eastAsia"/>
        </w:rPr>
      </w:pPr>
      <w:r>
        <w:rPr>
          <w:rFonts w:hint="eastAsia"/>
        </w:rPr>
        <w:tab/>
        <w:t xml:space="preserve">85.  </w:t>
      </w:r>
      <w:r>
        <w:rPr>
          <w:rFonts w:hint="eastAsia"/>
        </w:rPr>
        <w:t>阿拉伯利比亚民众国在提交委员会的初次报告中提供了有关健康状况的信息，已经回答了报告准则的有关章节所提出的大多数问题。然而，我们还想作以下补充：</w:t>
      </w:r>
    </w:p>
    <w:p w:rsidR="00000000" w:rsidRDefault="00000000">
      <w:pPr>
        <w:rPr>
          <w:rFonts w:hint="eastAsia"/>
        </w:rPr>
      </w:pPr>
      <w:r>
        <w:rPr>
          <w:rFonts w:hint="eastAsia"/>
        </w:rPr>
        <w:tab/>
        <w:t xml:space="preserve">86.  </w:t>
      </w:r>
      <w:r>
        <w:rPr>
          <w:rFonts w:hint="eastAsia"/>
        </w:rPr>
        <w:t>在</w:t>
      </w:r>
      <w:r>
        <w:rPr>
          <w:rFonts w:hint="eastAsia"/>
        </w:rPr>
        <w:t>1970</w:t>
      </w:r>
      <w:r>
        <w:rPr>
          <w:rFonts w:hint="eastAsia"/>
        </w:rPr>
        <w:t>年代初所通过的全国健康战略的依据是有关让所有人享有健康的原则，其中规定在全国所有地区以及所有专业领域中提供全面的保健服务。到</w:t>
      </w:r>
      <w:r>
        <w:rPr>
          <w:rFonts w:hint="eastAsia"/>
        </w:rPr>
        <w:t>1999</w:t>
      </w:r>
      <w:r>
        <w:rPr>
          <w:rFonts w:hint="eastAsia"/>
        </w:rPr>
        <w:t>年为止所通过的各种战略都坚持了这一承诺。根据</w:t>
      </w:r>
      <w:r>
        <w:rPr>
          <w:rFonts w:hint="eastAsia"/>
        </w:rPr>
        <w:t>1973</w:t>
      </w:r>
      <w:r>
        <w:rPr>
          <w:rFonts w:hint="eastAsia"/>
        </w:rPr>
        <w:t>年第</w:t>
      </w:r>
      <w:r>
        <w:rPr>
          <w:rFonts w:hint="eastAsia"/>
        </w:rPr>
        <w:t>106</w:t>
      </w:r>
      <w:r>
        <w:rPr>
          <w:rFonts w:hint="eastAsia"/>
        </w:rPr>
        <w:t>号《卫生法》，国家必须确保所有公民享有医疗服务的权利。</w:t>
      </w:r>
    </w:p>
    <w:p w:rsidR="00000000" w:rsidRDefault="00000000">
      <w:pPr>
        <w:rPr>
          <w:rFonts w:hint="eastAsia"/>
        </w:rPr>
      </w:pPr>
      <w:r>
        <w:rPr>
          <w:rFonts w:hint="eastAsia"/>
        </w:rPr>
        <w:tab/>
        <w:t xml:space="preserve">87.  </w:t>
      </w:r>
      <w:r>
        <w:rPr>
          <w:rFonts w:hint="eastAsia"/>
        </w:rPr>
        <w:t>根据</w:t>
      </w:r>
      <w:r>
        <w:rPr>
          <w:rFonts w:hint="eastAsia"/>
        </w:rPr>
        <w:t>1995</w:t>
      </w:r>
      <w:r>
        <w:rPr>
          <w:rFonts w:hint="eastAsia"/>
        </w:rPr>
        <w:t>年有关批准让所有人享有健康的国家战略的第</w:t>
      </w:r>
      <w:r>
        <w:rPr>
          <w:rFonts w:hint="eastAsia"/>
        </w:rPr>
        <w:t>24</w:t>
      </w:r>
      <w:r>
        <w:rPr>
          <w:rFonts w:hint="eastAsia"/>
        </w:rPr>
        <w:t>号法令第</w:t>
      </w:r>
      <w:r>
        <w:rPr>
          <w:rFonts w:hint="eastAsia"/>
        </w:rPr>
        <w:t>1</w:t>
      </w:r>
      <w:r>
        <w:rPr>
          <w:rFonts w:hint="eastAsia"/>
        </w:rPr>
        <w:t>条的规定，基本医疗服务的关键是向所有个人和家庭提供可行的和社会能够接受的适当营养。这项法令的第</w:t>
      </w:r>
      <w:r>
        <w:rPr>
          <w:rFonts w:hint="eastAsia"/>
        </w:rPr>
        <w:t>3</w:t>
      </w:r>
      <w:r>
        <w:rPr>
          <w:rFonts w:hint="eastAsia"/>
        </w:rPr>
        <w:t>条规定了在社会和保健的信息和意识、身体和精神健康、适当营养、安全的饮用水、卫生、环境安全、母亲和儿童保健服务、计划生育、免疫接种防止传染病、消除传染病和非传染病、急诊治疗、第一线药物、职业健康和安全以及社会保健等方面基本保健服务的内容。</w:t>
      </w:r>
      <w:r>
        <w:rPr>
          <w:rFonts w:hint="eastAsia"/>
        </w:rPr>
        <w:t>1992</w:t>
      </w:r>
      <w:r>
        <w:rPr>
          <w:rFonts w:hint="eastAsia"/>
        </w:rPr>
        <w:t>年第</w:t>
      </w:r>
      <w:r>
        <w:rPr>
          <w:rFonts w:hint="eastAsia"/>
        </w:rPr>
        <w:t>686</w:t>
      </w:r>
      <w:r>
        <w:rPr>
          <w:rFonts w:hint="eastAsia"/>
        </w:rPr>
        <w:t>号法令修改了有关免疫接种的规定；该法令第</w:t>
      </w:r>
      <w:r>
        <w:rPr>
          <w:rFonts w:hint="eastAsia"/>
        </w:rPr>
        <w:t>2</w:t>
      </w:r>
      <w:r>
        <w:rPr>
          <w:rFonts w:hint="eastAsia"/>
        </w:rPr>
        <w:t>条规定，必须根据卫生条例给儿童接种疫苗，违者将遭到起诉。</w:t>
      </w:r>
    </w:p>
    <w:p w:rsidR="00000000" w:rsidRDefault="00000000">
      <w:pPr>
        <w:rPr>
          <w:rFonts w:hint="eastAsia"/>
        </w:rPr>
      </w:pPr>
      <w:r>
        <w:rPr>
          <w:rFonts w:hint="eastAsia"/>
        </w:rPr>
        <w:tab/>
        <w:t xml:space="preserve">88.  </w:t>
      </w:r>
      <w:r>
        <w:rPr>
          <w:rFonts w:hint="eastAsia"/>
        </w:rPr>
        <w:t>关于利比亚的全国健康战略，有关指数已经大大改进，男子平均寿命达到</w:t>
      </w:r>
      <w:r>
        <w:rPr>
          <w:rFonts w:hint="eastAsia"/>
        </w:rPr>
        <w:t>64</w:t>
      </w:r>
      <w:r>
        <w:rPr>
          <w:rFonts w:hint="eastAsia"/>
        </w:rPr>
        <w:t>岁，女子</w:t>
      </w:r>
      <w:r>
        <w:rPr>
          <w:rFonts w:hint="eastAsia"/>
        </w:rPr>
        <w:t>66</w:t>
      </w:r>
      <w:r>
        <w:rPr>
          <w:rFonts w:hint="eastAsia"/>
        </w:rPr>
        <w:t>岁。在</w:t>
      </w:r>
      <w:r>
        <w:rPr>
          <w:rFonts w:hint="eastAsia"/>
        </w:rPr>
        <w:t>1970</w:t>
      </w:r>
      <w:r>
        <w:rPr>
          <w:rFonts w:hint="eastAsia"/>
        </w:rPr>
        <w:t>年代，男女平均预期寿命还不到</w:t>
      </w:r>
      <w:r>
        <w:rPr>
          <w:rFonts w:hint="eastAsia"/>
        </w:rPr>
        <w:t>46</w:t>
      </w:r>
      <w:r>
        <w:rPr>
          <w:rFonts w:hint="eastAsia"/>
        </w:rPr>
        <w:t>岁，而根据</w:t>
      </w:r>
      <w:r>
        <w:rPr>
          <w:rFonts w:hint="eastAsia"/>
        </w:rPr>
        <w:t>1998</w:t>
      </w:r>
      <w:r>
        <w:rPr>
          <w:rFonts w:hint="eastAsia"/>
        </w:rPr>
        <w:t>年的估计，现在已经接近</w:t>
      </w:r>
      <w:r>
        <w:rPr>
          <w:rFonts w:hint="eastAsia"/>
        </w:rPr>
        <w:t>70</w:t>
      </w:r>
      <w:r>
        <w:rPr>
          <w:rFonts w:hint="eastAsia"/>
        </w:rPr>
        <w:t>岁。婴儿死亡率从</w:t>
      </w:r>
      <w:r>
        <w:rPr>
          <w:rFonts w:hint="eastAsia"/>
        </w:rPr>
        <w:t>1973</w:t>
      </w:r>
      <w:r>
        <w:rPr>
          <w:rFonts w:hint="eastAsia"/>
        </w:rPr>
        <w:t>年的每</w:t>
      </w:r>
      <w:r>
        <w:rPr>
          <w:rFonts w:hint="eastAsia"/>
        </w:rPr>
        <w:t>1,000</w:t>
      </w:r>
      <w:r>
        <w:rPr>
          <w:rFonts w:hint="eastAsia"/>
        </w:rPr>
        <w:t>活产</w:t>
      </w:r>
      <w:r>
        <w:rPr>
          <w:rFonts w:hint="eastAsia"/>
        </w:rPr>
        <w:t>118</w:t>
      </w:r>
      <w:r>
        <w:rPr>
          <w:rFonts w:hint="eastAsia"/>
        </w:rPr>
        <w:t>人降低到</w:t>
      </w:r>
      <w:r>
        <w:rPr>
          <w:rFonts w:hint="eastAsia"/>
        </w:rPr>
        <w:t>1995</w:t>
      </w:r>
      <w:r>
        <w:rPr>
          <w:rFonts w:hint="eastAsia"/>
        </w:rPr>
        <w:t>年的</w:t>
      </w:r>
      <w:r>
        <w:rPr>
          <w:rFonts w:hint="eastAsia"/>
        </w:rPr>
        <w:t>24.4</w:t>
      </w:r>
      <w:r>
        <w:rPr>
          <w:rFonts w:hint="eastAsia"/>
        </w:rPr>
        <w:t>人。研究清楚表明，城市中心同农村地区在婴儿死亡率方面的差距正在缩小。根据</w:t>
      </w:r>
      <w:r>
        <w:rPr>
          <w:rFonts w:hint="eastAsia"/>
        </w:rPr>
        <w:t>1995</w:t>
      </w:r>
      <w:r>
        <w:rPr>
          <w:rFonts w:hint="eastAsia"/>
        </w:rPr>
        <w:t>年儿童健康调查，城市中心婴儿死亡率已经下降</w:t>
      </w:r>
      <w:r>
        <w:rPr>
          <w:rFonts w:hint="eastAsia"/>
        </w:rPr>
        <w:t>67%</w:t>
      </w:r>
      <w:r>
        <w:rPr>
          <w:rFonts w:hint="eastAsia"/>
        </w:rPr>
        <w:t>，农村地区下降</w:t>
      </w:r>
      <w:r>
        <w:rPr>
          <w:rFonts w:hint="eastAsia"/>
        </w:rPr>
        <w:t>62%</w:t>
      </w:r>
      <w:r>
        <w:rPr>
          <w:rFonts w:hint="eastAsia"/>
        </w:rPr>
        <w:t>。此外，全国生育率从</w:t>
      </w:r>
      <w:r>
        <w:rPr>
          <w:rFonts w:hint="eastAsia"/>
        </w:rPr>
        <w:t>1984</w:t>
      </w:r>
      <w:r>
        <w:rPr>
          <w:rFonts w:hint="eastAsia"/>
        </w:rPr>
        <w:t>年每名妇女生育</w:t>
      </w:r>
      <w:r>
        <w:rPr>
          <w:rFonts w:hint="eastAsia"/>
        </w:rPr>
        <w:t>9.1</w:t>
      </w:r>
      <w:r>
        <w:rPr>
          <w:rFonts w:hint="eastAsia"/>
        </w:rPr>
        <w:t>名子女下降到</w:t>
      </w:r>
      <w:r>
        <w:rPr>
          <w:rFonts w:hint="eastAsia"/>
        </w:rPr>
        <w:t>1995</w:t>
      </w:r>
      <w:r>
        <w:rPr>
          <w:rFonts w:hint="eastAsia"/>
        </w:rPr>
        <w:t>年</w:t>
      </w:r>
      <w:r>
        <w:rPr>
          <w:rFonts w:hint="eastAsia"/>
        </w:rPr>
        <w:t>5.1</w:t>
      </w:r>
      <w:r>
        <w:rPr>
          <w:rFonts w:hint="eastAsia"/>
        </w:rPr>
        <w:t>名子女。所有这些都突出了全国健康战略的有效性，这项战略之目的就是要尽可能扩大保健服务，在各个地区更加公平地分配保健服务。全国战略还适当注意为社会的一些特别群体</w:t>
      </w:r>
      <w:r>
        <w:rPr>
          <w:rFonts w:hint="eastAsia"/>
        </w:rPr>
        <w:t>(</w:t>
      </w:r>
      <w:r>
        <w:rPr>
          <w:rFonts w:hint="eastAsia"/>
        </w:rPr>
        <w:t>例如：老人、残疾人、妇女和儿童</w:t>
      </w:r>
      <w:r>
        <w:rPr>
          <w:rFonts w:hint="eastAsia"/>
        </w:rPr>
        <w:t>)</w:t>
      </w:r>
      <w:r>
        <w:rPr>
          <w:rFonts w:hint="eastAsia"/>
        </w:rPr>
        <w:t>提供保健服务。全国战略保证所有年龄的公民都能获得更好的医疗服务，其基础是以提高医疗水平和发展卫生基础设施为目标的医疗服务政策。卫生基础设施已经获得前所未有的改进和扩大，已经专门为此从</w:t>
      </w:r>
      <w:r>
        <w:rPr>
          <w:rFonts w:hint="eastAsia"/>
        </w:rPr>
        <w:t>2002</w:t>
      </w:r>
      <w:r>
        <w:rPr>
          <w:rFonts w:hint="eastAsia"/>
        </w:rPr>
        <w:t>年卫生部门的业务预算中拨款</w:t>
      </w:r>
      <w:r>
        <w:rPr>
          <w:rFonts w:hint="eastAsia"/>
        </w:rPr>
        <w:t>6,000</w:t>
      </w:r>
      <w:r>
        <w:rPr>
          <w:rFonts w:hint="eastAsia"/>
        </w:rPr>
        <w:t>万第纳尔。卫生部门在过去</w:t>
      </w:r>
      <w:r>
        <w:rPr>
          <w:rFonts w:hint="eastAsia"/>
        </w:rPr>
        <w:t>30</w:t>
      </w:r>
      <w:r>
        <w:rPr>
          <w:rFonts w:hint="eastAsia"/>
        </w:rPr>
        <w:t>年中的发展促进了利比亚卫生基础设施的建设。</w:t>
      </w:r>
    </w:p>
    <w:p w:rsidR="00000000" w:rsidRDefault="00000000">
      <w:pPr>
        <w:rPr>
          <w:rFonts w:hint="eastAsia"/>
        </w:rPr>
      </w:pPr>
      <w:r>
        <w:rPr>
          <w:rFonts w:hint="eastAsia"/>
        </w:rPr>
        <w:tab/>
        <w:t xml:space="preserve">89.  </w:t>
      </w:r>
      <w:r>
        <w:rPr>
          <w:rFonts w:hint="eastAsia"/>
        </w:rPr>
        <w:t>同医务人员的培训一样，在</w:t>
      </w:r>
      <w:r>
        <w:rPr>
          <w:rFonts w:hint="eastAsia"/>
        </w:rPr>
        <w:t>1970</w:t>
      </w:r>
      <w:r>
        <w:rPr>
          <w:rFonts w:hint="eastAsia"/>
        </w:rPr>
        <w:t>年代开始执行了第一个和第二个发展计划，在卫生基础设施的发展方面引起了极大的变化。当时大约建立了</w:t>
      </w:r>
      <w:r>
        <w:rPr>
          <w:rFonts w:hint="eastAsia"/>
        </w:rPr>
        <w:t>89</w:t>
      </w:r>
      <w:r>
        <w:rPr>
          <w:rFonts w:hint="eastAsia"/>
        </w:rPr>
        <w:t>个基本保健中心，到</w:t>
      </w:r>
      <w:r>
        <w:rPr>
          <w:rFonts w:hint="eastAsia"/>
        </w:rPr>
        <w:t>1988</w:t>
      </w:r>
      <w:r>
        <w:rPr>
          <w:rFonts w:hint="eastAsia"/>
        </w:rPr>
        <w:t>年，这些中心的数目迅速上升到</w:t>
      </w:r>
      <w:r>
        <w:rPr>
          <w:rFonts w:hint="eastAsia"/>
        </w:rPr>
        <w:t>931</w:t>
      </w:r>
      <w:r>
        <w:rPr>
          <w:rFonts w:hint="eastAsia"/>
        </w:rPr>
        <w:t>个。保健中心的发展情况大致相同：在</w:t>
      </w:r>
      <w:r>
        <w:rPr>
          <w:rFonts w:hint="eastAsia"/>
        </w:rPr>
        <w:t>1980</w:t>
      </w:r>
      <w:r>
        <w:rPr>
          <w:rFonts w:hint="eastAsia"/>
        </w:rPr>
        <w:t>年建立了</w:t>
      </w:r>
      <w:r>
        <w:rPr>
          <w:rFonts w:hint="eastAsia"/>
        </w:rPr>
        <w:t>148</w:t>
      </w:r>
      <w:r>
        <w:rPr>
          <w:rFonts w:hint="eastAsia"/>
        </w:rPr>
        <w:t>个中心，到</w:t>
      </w:r>
      <w:r>
        <w:rPr>
          <w:rFonts w:hint="eastAsia"/>
        </w:rPr>
        <w:t>1998</w:t>
      </w:r>
      <w:r>
        <w:rPr>
          <w:rFonts w:hint="eastAsia"/>
        </w:rPr>
        <w:t>年，已经增加到</w:t>
      </w:r>
      <w:r>
        <w:rPr>
          <w:rFonts w:hint="eastAsia"/>
        </w:rPr>
        <w:t>163</w:t>
      </w:r>
      <w:r>
        <w:rPr>
          <w:rFonts w:hint="eastAsia"/>
        </w:rPr>
        <w:t>个。在发展阶段的第一个十年中，全国建立了</w:t>
      </w:r>
      <w:r>
        <w:rPr>
          <w:rFonts w:hint="eastAsia"/>
        </w:rPr>
        <w:t>40</w:t>
      </w:r>
      <w:r>
        <w:rPr>
          <w:rFonts w:hint="eastAsia"/>
        </w:rPr>
        <w:t>个门诊医院。现在门诊医院的数目有所下降，因为有些已经改为专科医院。</w:t>
      </w:r>
    </w:p>
    <w:p w:rsidR="00000000" w:rsidRDefault="00000000">
      <w:pPr>
        <w:rPr>
          <w:rFonts w:hint="eastAsia"/>
        </w:rPr>
      </w:pPr>
      <w:r>
        <w:rPr>
          <w:rFonts w:hint="eastAsia"/>
        </w:rPr>
        <w:tab/>
        <w:t xml:space="preserve">90.  </w:t>
      </w:r>
      <w:r>
        <w:rPr>
          <w:rFonts w:hint="eastAsia"/>
        </w:rPr>
        <w:t>以现有病床数目衡量的收治病人能力的提高清楚地说明，在过去几十年中医务部门迅速扩大。在</w:t>
      </w:r>
      <w:r>
        <w:rPr>
          <w:rFonts w:hint="eastAsia"/>
        </w:rPr>
        <w:t>3</w:t>
      </w:r>
      <w:r>
        <w:rPr>
          <w:rFonts w:hint="eastAsia"/>
        </w:rPr>
        <w:t>个发展计划的所涉时期</w:t>
      </w:r>
      <w:r>
        <w:rPr>
          <w:rFonts w:hint="eastAsia"/>
        </w:rPr>
        <w:t>(1973</w:t>
      </w:r>
      <w:r>
        <w:rPr>
          <w:rFonts w:hint="eastAsia"/>
        </w:rPr>
        <w:t>年至</w:t>
      </w:r>
      <w:r>
        <w:rPr>
          <w:rFonts w:hint="eastAsia"/>
        </w:rPr>
        <w:t>1985</w:t>
      </w:r>
      <w:r>
        <w:rPr>
          <w:rFonts w:hint="eastAsia"/>
        </w:rPr>
        <w:t>年</w:t>
      </w:r>
      <w:r>
        <w:rPr>
          <w:rFonts w:hint="eastAsia"/>
        </w:rPr>
        <w:t>)</w:t>
      </w:r>
      <w:r>
        <w:rPr>
          <w:rFonts w:hint="eastAsia"/>
        </w:rPr>
        <w:t>，每</w:t>
      </w:r>
      <w:r>
        <w:rPr>
          <w:rFonts w:hint="eastAsia"/>
        </w:rPr>
        <w:t>1,000</w:t>
      </w:r>
      <w:r>
        <w:rPr>
          <w:rFonts w:hint="eastAsia"/>
        </w:rPr>
        <w:t>居民所拥有的病床数目从这个时期之初的</w:t>
      </w:r>
      <w:r>
        <w:rPr>
          <w:rFonts w:hint="eastAsia"/>
        </w:rPr>
        <w:t>3.6</w:t>
      </w:r>
      <w:r>
        <w:rPr>
          <w:rFonts w:hint="eastAsia"/>
        </w:rPr>
        <w:t>张增加到</w:t>
      </w:r>
      <w:r>
        <w:rPr>
          <w:rFonts w:hint="eastAsia"/>
        </w:rPr>
        <w:t>1985</w:t>
      </w:r>
      <w:r>
        <w:rPr>
          <w:rFonts w:hint="eastAsia"/>
        </w:rPr>
        <w:t>年年底的</w:t>
      </w:r>
      <w:r>
        <w:rPr>
          <w:rFonts w:hint="eastAsia"/>
        </w:rPr>
        <w:t>5.3</w:t>
      </w:r>
      <w:r>
        <w:rPr>
          <w:rFonts w:hint="eastAsia"/>
        </w:rPr>
        <w:t>张</w:t>
      </w:r>
      <w:r>
        <w:rPr>
          <w:rFonts w:hint="eastAsia"/>
        </w:rPr>
        <w:t xml:space="preserve"> (</w:t>
      </w:r>
      <w:r>
        <w:rPr>
          <w:rFonts w:hint="eastAsia"/>
        </w:rPr>
        <w:t>随着人口的增加，这个比例可能会逐步下降</w:t>
      </w:r>
      <w:r>
        <w:rPr>
          <w:rFonts w:hint="eastAsia"/>
        </w:rPr>
        <w:t>)</w:t>
      </w:r>
      <w:r>
        <w:rPr>
          <w:rFonts w:hint="eastAsia"/>
        </w:rPr>
        <w:t>。医院的数目已经增加到</w:t>
      </w:r>
      <w:r>
        <w:rPr>
          <w:rFonts w:hint="eastAsia"/>
        </w:rPr>
        <w:t>83</w:t>
      </w:r>
      <w:r>
        <w:rPr>
          <w:rFonts w:hint="eastAsia"/>
        </w:rPr>
        <w:t>个，其中</w:t>
      </w:r>
      <w:r>
        <w:rPr>
          <w:rFonts w:hint="eastAsia"/>
        </w:rPr>
        <w:t>23</w:t>
      </w:r>
      <w:r>
        <w:rPr>
          <w:rFonts w:hint="eastAsia"/>
        </w:rPr>
        <w:t>个是专科医院。阿拉伯利比亚民众国有两间制药厂：</w:t>
      </w:r>
      <w:r>
        <w:t>Maya</w:t>
      </w:r>
      <w:r>
        <w:rPr>
          <w:rFonts w:hint="eastAsia"/>
        </w:rPr>
        <w:t>厂和</w:t>
      </w:r>
      <w:r>
        <w:t>Rabita</w:t>
      </w:r>
      <w:r>
        <w:rPr>
          <w:rFonts w:hint="eastAsia"/>
        </w:rPr>
        <w:t>厂，以满足本地市场的需要。</w:t>
      </w:r>
    </w:p>
    <w:p w:rsidR="00000000" w:rsidRDefault="00000000">
      <w:pPr>
        <w:rPr>
          <w:rFonts w:hint="eastAsia"/>
        </w:rPr>
      </w:pPr>
      <w:r>
        <w:rPr>
          <w:rFonts w:hint="eastAsia"/>
        </w:rPr>
        <w:tab/>
        <w:t xml:space="preserve">91.  </w:t>
      </w:r>
      <w:r>
        <w:rPr>
          <w:rFonts w:hint="eastAsia"/>
        </w:rPr>
        <w:t>为了便于人们获得更好的医疗服务，私营部门也已列入国家计划，因此私营部门也能在执行国家战略方面发挥积极作用。根据有关教育合作社和健康合作社的</w:t>
      </w:r>
      <w:r>
        <w:rPr>
          <w:rFonts w:hint="eastAsia"/>
        </w:rPr>
        <w:t>2000</w:t>
      </w:r>
      <w:r>
        <w:rPr>
          <w:rFonts w:hint="eastAsia"/>
        </w:rPr>
        <w:t>年第</w:t>
      </w:r>
      <w:r>
        <w:rPr>
          <w:rFonts w:hint="eastAsia"/>
        </w:rPr>
        <w:t>6</w:t>
      </w:r>
      <w:r>
        <w:rPr>
          <w:rFonts w:hint="eastAsia"/>
        </w:rPr>
        <w:t>号法令，合格人士获得授权，可在根据本法令规定成立的合作社内提供医疗服务。</w:t>
      </w:r>
    </w:p>
    <w:p w:rsidR="00000000" w:rsidRDefault="00000000">
      <w:pPr>
        <w:rPr>
          <w:rFonts w:hint="eastAsia"/>
        </w:rPr>
      </w:pPr>
      <w:r>
        <w:rPr>
          <w:rFonts w:hint="eastAsia"/>
        </w:rPr>
        <w:tab/>
        <w:t xml:space="preserve">92.  </w:t>
      </w:r>
      <w:r>
        <w:rPr>
          <w:rFonts w:hint="eastAsia"/>
        </w:rPr>
        <w:t>考虑到环境同享受健康的人权之间的紧密联系，政府颁布了</w:t>
      </w:r>
      <w:r>
        <w:rPr>
          <w:rFonts w:hint="eastAsia"/>
        </w:rPr>
        <w:t>1982</w:t>
      </w:r>
      <w:r>
        <w:rPr>
          <w:rFonts w:hint="eastAsia"/>
        </w:rPr>
        <w:t>年第</w:t>
      </w:r>
      <w:r>
        <w:rPr>
          <w:rFonts w:hint="eastAsia"/>
        </w:rPr>
        <w:t>7</w:t>
      </w:r>
      <w:r>
        <w:rPr>
          <w:rFonts w:hint="eastAsia"/>
        </w:rPr>
        <w:t>号《环境保护法》和</w:t>
      </w:r>
      <w:r>
        <w:rPr>
          <w:rFonts w:hint="eastAsia"/>
        </w:rPr>
        <w:t>1984</w:t>
      </w:r>
      <w:r>
        <w:rPr>
          <w:rFonts w:hint="eastAsia"/>
        </w:rPr>
        <w:t>年第</w:t>
      </w:r>
      <w:r>
        <w:rPr>
          <w:rFonts w:hint="eastAsia"/>
        </w:rPr>
        <w:t>16</w:t>
      </w:r>
      <w:r>
        <w:rPr>
          <w:rFonts w:hint="eastAsia"/>
        </w:rPr>
        <w:t>号《公共卫生法》。这两项法令都保障男女公民享有健康环境的权利，保护他们免遭由于破坏环境而造成的疾病。在这个领域中的法律的目的是要创造一种健康的环境，使得环境不受污染，维护空气、水和自然生境的质量，同时解决所有可能危及人类健康的有关问题。</w:t>
      </w:r>
    </w:p>
    <w:p w:rsidR="00000000" w:rsidRDefault="00000000">
      <w:pPr>
        <w:rPr>
          <w:rFonts w:hint="eastAsia"/>
        </w:rPr>
      </w:pPr>
      <w:r>
        <w:rPr>
          <w:rFonts w:hint="eastAsia"/>
        </w:rPr>
        <w:tab/>
        <w:t xml:space="preserve">93.  </w:t>
      </w:r>
      <w:r>
        <w:rPr>
          <w:rFonts w:hint="eastAsia"/>
        </w:rPr>
        <w:t>除了上述信息以外，我们还想提到特别保健服务，其重点是保护工业安全和职业健康，治疗工业意外或者职业病的受害者，提供康复服务，照料老年人以及为残疾人和住在福利院中的人提供医疗服务。立法部门并没有忽视社会福利对于改进公民生活和提高其生活水准的重要作用。根据</w:t>
      </w:r>
      <w:r>
        <w:rPr>
          <w:rFonts w:hint="eastAsia"/>
        </w:rPr>
        <w:t>1998</w:t>
      </w:r>
      <w:r>
        <w:rPr>
          <w:rFonts w:hint="eastAsia"/>
        </w:rPr>
        <w:t>年第</w:t>
      </w:r>
      <w:r>
        <w:rPr>
          <w:rFonts w:hint="eastAsia"/>
        </w:rPr>
        <w:t>20</w:t>
      </w:r>
      <w:r>
        <w:rPr>
          <w:rFonts w:hint="eastAsia"/>
        </w:rPr>
        <w:t>号法令设立的社会保障基金已经对利比亚人民的健康产生了积极影响。根据在</w:t>
      </w:r>
      <w:r>
        <w:rPr>
          <w:rFonts w:hint="eastAsia"/>
        </w:rPr>
        <w:t>1995</w:t>
      </w:r>
      <w:r>
        <w:rPr>
          <w:rFonts w:hint="eastAsia"/>
        </w:rPr>
        <w:t>年人口普查中所取得的有关人口趋势的数据，死亡率已经从</w:t>
      </w:r>
      <w:r>
        <w:rPr>
          <w:rFonts w:hint="eastAsia"/>
        </w:rPr>
        <w:t>1973</w:t>
      </w:r>
      <w:r>
        <w:rPr>
          <w:rFonts w:hint="eastAsia"/>
        </w:rPr>
        <w:t>年的第</w:t>
      </w:r>
      <w:r>
        <w:rPr>
          <w:rFonts w:hint="eastAsia"/>
        </w:rPr>
        <w:t>1,000</w:t>
      </w:r>
      <w:r>
        <w:rPr>
          <w:rFonts w:hint="eastAsia"/>
        </w:rPr>
        <w:t>居民</w:t>
      </w:r>
      <w:r>
        <w:rPr>
          <w:rFonts w:hint="eastAsia"/>
        </w:rPr>
        <w:t>9.4</w:t>
      </w:r>
      <w:r>
        <w:rPr>
          <w:rFonts w:hint="eastAsia"/>
        </w:rPr>
        <w:t>人降低到</w:t>
      </w:r>
      <w:r>
        <w:rPr>
          <w:rFonts w:hint="eastAsia"/>
        </w:rPr>
        <w:t>1995</w:t>
      </w:r>
      <w:r>
        <w:rPr>
          <w:rFonts w:hint="eastAsia"/>
        </w:rPr>
        <w:t>年的</w:t>
      </w:r>
      <w:r>
        <w:rPr>
          <w:rFonts w:hint="eastAsia"/>
        </w:rPr>
        <w:t>3.1</w:t>
      </w:r>
      <w:r>
        <w:rPr>
          <w:rFonts w:hint="eastAsia"/>
        </w:rPr>
        <w:t>人。在以下一些表格中列出了</w:t>
      </w:r>
      <w:r>
        <w:rPr>
          <w:rFonts w:hint="eastAsia"/>
        </w:rPr>
        <w:t>2000</w:t>
      </w:r>
      <w:r>
        <w:rPr>
          <w:rFonts w:hint="eastAsia"/>
        </w:rPr>
        <w:t>年和</w:t>
      </w:r>
      <w:r>
        <w:rPr>
          <w:rFonts w:hint="eastAsia"/>
        </w:rPr>
        <w:t>2001</w:t>
      </w:r>
      <w:r>
        <w:rPr>
          <w:rFonts w:hint="eastAsia"/>
        </w:rPr>
        <w:t>年主要的健康指数。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2127"/>
        <w:gridCol w:w="2126"/>
      </w:tblGrid>
      <w:tr w:rsidR="00000000">
        <w:tblPrEx>
          <w:tblCellMar>
            <w:top w:w="0" w:type="dxa"/>
            <w:bottom w:w="0" w:type="dxa"/>
          </w:tblCellMar>
        </w:tblPrEx>
        <w:tc>
          <w:tcPr>
            <w:tcW w:w="5103" w:type="dxa"/>
          </w:tcPr>
          <w:p w:rsidR="00000000" w:rsidRDefault="00000000">
            <w:pPr>
              <w:pStyle w:val="a2"/>
              <w:jc w:val="center"/>
            </w:pPr>
            <w:r>
              <w:br w:type="page"/>
            </w:r>
            <w:r>
              <w:br w:type="page"/>
            </w:r>
            <w:r>
              <w:br w:type="page"/>
            </w:r>
            <w:r>
              <w:br w:type="page"/>
            </w:r>
            <w:r>
              <w:br w:type="page"/>
            </w:r>
            <w:r>
              <w:rPr>
                <w:rFonts w:hint="eastAsia"/>
              </w:rPr>
              <w:t>指标</w:t>
            </w:r>
          </w:p>
        </w:tc>
        <w:tc>
          <w:tcPr>
            <w:tcW w:w="2127" w:type="dxa"/>
          </w:tcPr>
          <w:p w:rsidR="00000000" w:rsidRDefault="00000000">
            <w:pPr>
              <w:pStyle w:val="a2"/>
              <w:jc w:val="center"/>
            </w:pPr>
            <w:r>
              <w:t>2000</w:t>
            </w:r>
          </w:p>
        </w:tc>
        <w:tc>
          <w:tcPr>
            <w:tcW w:w="2126" w:type="dxa"/>
          </w:tcPr>
          <w:p w:rsidR="00000000" w:rsidRDefault="00000000">
            <w:pPr>
              <w:pStyle w:val="a2"/>
              <w:jc w:val="center"/>
            </w:pPr>
            <w:r>
              <w:t>2001</w:t>
            </w:r>
          </w:p>
        </w:tc>
      </w:tr>
      <w:tr w:rsidR="00000000">
        <w:tblPrEx>
          <w:tblCellMar>
            <w:top w:w="0" w:type="dxa"/>
            <w:bottom w:w="0" w:type="dxa"/>
          </w:tblCellMar>
        </w:tblPrEx>
        <w:tc>
          <w:tcPr>
            <w:tcW w:w="5103" w:type="dxa"/>
            <w:tcBorders>
              <w:bottom w:val="nil"/>
            </w:tcBorders>
          </w:tcPr>
          <w:p w:rsidR="00000000" w:rsidRDefault="00000000">
            <w:pPr>
              <w:pStyle w:val="a2"/>
              <w:ind w:left="113"/>
            </w:pPr>
            <w:r>
              <w:rPr>
                <w:rFonts w:hint="eastAsia"/>
              </w:rPr>
              <w:t>每张病床所服务的居民人数</w:t>
            </w:r>
          </w:p>
        </w:tc>
        <w:tc>
          <w:tcPr>
            <w:tcW w:w="2127" w:type="dxa"/>
            <w:tcBorders>
              <w:bottom w:val="nil"/>
            </w:tcBorders>
          </w:tcPr>
          <w:p w:rsidR="00000000" w:rsidRDefault="00000000">
            <w:pPr>
              <w:pStyle w:val="a2"/>
              <w:tabs>
                <w:tab w:val="decimal" w:pos="1159"/>
              </w:tabs>
            </w:pPr>
            <w:r>
              <w:t>243</w:t>
            </w:r>
          </w:p>
        </w:tc>
        <w:tc>
          <w:tcPr>
            <w:tcW w:w="2126" w:type="dxa"/>
            <w:tcBorders>
              <w:bottom w:val="nil"/>
            </w:tcBorders>
          </w:tcPr>
          <w:p w:rsidR="00000000" w:rsidRDefault="00000000">
            <w:pPr>
              <w:pStyle w:val="a2"/>
              <w:tabs>
                <w:tab w:val="decimal" w:pos="1159"/>
              </w:tabs>
            </w:pPr>
            <w:r>
              <w:t>280</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为</w:t>
            </w:r>
            <w:r>
              <w:rPr>
                <w:rFonts w:hint="eastAsia"/>
              </w:rPr>
              <w:t>1,000</w:t>
            </w:r>
            <w:r>
              <w:rPr>
                <w:rFonts w:hint="eastAsia"/>
              </w:rPr>
              <w:t>居民服务的医生数目</w:t>
            </w:r>
          </w:p>
        </w:tc>
        <w:tc>
          <w:tcPr>
            <w:tcW w:w="2127" w:type="dxa"/>
            <w:tcBorders>
              <w:top w:val="nil"/>
              <w:bottom w:val="nil"/>
            </w:tcBorders>
          </w:tcPr>
          <w:p w:rsidR="00000000" w:rsidRDefault="00000000">
            <w:pPr>
              <w:pStyle w:val="a2"/>
              <w:tabs>
                <w:tab w:val="decimal" w:pos="1159"/>
              </w:tabs>
            </w:pPr>
            <w:r>
              <w:t>1.3</w:t>
            </w:r>
          </w:p>
        </w:tc>
        <w:tc>
          <w:tcPr>
            <w:tcW w:w="2126" w:type="dxa"/>
            <w:tcBorders>
              <w:top w:val="nil"/>
              <w:bottom w:val="nil"/>
            </w:tcBorders>
          </w:tcPr>
          <w:p w:rsidR="00000000" w:rsidRDefault="00000000">
            <w:pPr>
              <w:pStyle w:val="a2"/>
              <w:tabs>
                <w:tab w:val="decimal" w:pos="1159"/>
              </w:tabs>
            </w:pPr>
            <w:r>
              <w:t>1.3</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rPr>
                <w:rFonts w:hint="eastAsia"/>
              </w:rPr>
            </w:pPr>
            <w:r>
              <w:rPr>
                <w:rFonts w:hint="eastAsia"/>
              </w:rPr>
              <w:t>为</w:t>
            </w:r>
            <w:r>
              <w:rPr>
                <w:rFonts w:hint="eastAsia"/>
              </w:rPr>
              <w:t>10,000</w:t>
            </w:r>
            <w:r>
              <w:rPr>
                <w:rFonts w:hint="eastAsia"/>
              </w:rPr>
              <w:t>居民服务的牙医数目</w:t>
            </w:r>
          </w:p>
        </w:tc>
        <w:tc>
          <w:tcPr>
            <w:tcW w:w="2127" w:type="dxa"/>
            <w:tcBorders>
              <w:top w:val="nil"/>
              <w:bottom w:val="nil"/>
            </w:tcBorders>
          </w:tcPr>
          <w:p w:rsidR="00000000" w:rsidRDefault="00000000">
            <w:pPr>
              <w:pStyle w:val="a2"/>
              <w:tabs>
                <w:tab w:val="decimal" w:pos="1159"/>
              </w:tabs>
            </w:pPr>
            <w:r>
              <w:t>1.3</w:t>
            </w:r>
          </w:p>
        </w:tc>
        <w:tc>
          <w:tcPr>
            <w:tcW w:w="2126" w:type="dxa"/>
            <w:tcBorders>
              <w:top w:val="nil"/>
              <w:bottom w:val="nil"/>
            </w:tcBorders>
          </w:tcPr>
          <w:p w:rsidR="00000000" w:rsidRDefault="00000000">
            <w:pPr>
              <w:pStyle w:val="a2"/>
              <w:tabs>
                <w:tab w:val="decimal" w:pos="1159"/>
              </w:tabs>
            </w:pPr>
            <w:r>
              <w:t>0.8</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为</w:t>
            </w:r>
            <w:r>
              <w:rPr>
                <w:rFonts w:hint="eastAsia"/>
              </w:rPr>
              <w:t>10,000</w:t>
            </w:r>
            <w:r>
              <w:rPr>
                <w:rFonts w:hint="eastAsia"/>
              </w:rPr>
              <w:t>居民服务的药剂师数目</w:t>
            </w:r>
          </w:p>
        </w:tc>
        <w:tc>
          <w:tcPr>
            <w:tcW w:w="2127" w:type="dxa"/>
            <w:tcBorders>
              <w:top w:val="nil"/>
              <w:bottom w:val="nil"/>
            </w:tcBorders>
          </w:tcPr>
          <w:p w:rsidR="00000000" w:rsidRDefault="00000000">
            <w:pPr>
              <w:pStyle w:val="a2"/>
              <w:tabs>
                <w:tab w:val="decimal" w:pos="1159"/>
              </w:tabs>
            </w:pPr>
            <w:r>
              <w:t>2.3</w:t>
            </w:r>
          </w:p>
        </w:tc>
        <w:tc>
          <w:tcPr>
            <w:tcW w:w="2126" w:type="dxa"/>
            <w:tcBorders>
              <w:top w:val="nil"/>
              <w:bottom w:val="nil"/>
            </w:tcBorders>
          </w:tcPr>
          <w:p w:rsidR="00000000" w:rsidRDefault="00000000">
            <w:pPr>
              <w:pStyle w:val="a2"/>
              <w:tabs>
                <w:tab w:val="decimal" w:pos="1159"/>
              </w:tabs>
            </w:pPr>
            <w:r>
              <w:t>1.4</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为</w:t>
            </w:r>
            <w:r>
              <w:rPr>
                <w:rFonts w:hint="eastAsia"/>
              </w:rPr>
              <w:t>1,000</w:t>
            </w:r>
            <w:r>
              <w:rPr>
                <w:rFonts w:hint="eastAsia"/>
              </w:rPr>
              <w:t>居民服务的护士数目</w:t>
            </w:r>
          </w:p>
        </w:tc>
        <w:tc>
          <w:tcPr>
            <w:tcW w:w="2127" w:type="dxa"/>
            <w:tcBorders>
              <w:top w:val="nil"/>
              <w:bottom w:val="nil"/>
            </w:tcBorders>
          </w:tcPr>
          <w:p w:rsidR="00000000" w:rsidRDefault="00000000">
            <w:pPr>
              <w:pStyle w:val="a2"/>
              <w:tabs>
                <w:tab w:val="decimal" w:pos="1159"/>
              </w:tabs>
            </w:pPr>
            <w:r>
              <w:t>4.3</w:t>
            </w:r>
          </w:p>
        </w:tc>
        <w:tc>
          <w:tcPr>
            <w:tcW w:w="2126" w:type="dxa"/>
            <w:tcBorders>
              <w:top w:val="nil"/>
              <w:bottom w:val="nil"/>
            </w:tcBorders>
          </w:tcPr>
          <w:p w:rsidR="00000000" w:rsidRDefault="00000000">
            <w:pPr>
              <w:pStyle w:val="a2"/>
              <w:tabs>
                <w:tab w:val="decimal" w:pos="1159"/>
              </w:tabs>
            </w:pPr>
            <w:r>
              <w:t>4.3</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婴儿死亡率</w:t>
            </w:r>
          </w:p>
        </w:tc>
        <w:tc>
          <w:tcPr>
            <w:tcW w:w="2127" w:type="dxa"/>
            <w:tcBorders>
              <w:top w:val="nil"/>
              <w:bottom w:val="nil"/>
            </w:tcBorders>
          </w:tcPr>
          <w:p w:rsidR="00000000" w:rsidRDefault="00000000">
            <w:pPr>
              <w:pStyle w:val="a2"/>
              <w:tabs>
                <w:tab w:val="decimal" w:pos="1159"/>
              </w:tabs>
            </w:pPr>
            <w:r>
              <w:t>24.4</w:t>
            </w:r>
          </w:p>
        </w:tc>
        <w:tc>
          <w:tcPr>
            <w:tcW w:w="2126" w:type="dxa"/>
            <w:tcBorders>
              <w:top w:val="nil"/>
              <w:bottom w:val="nil"/>
            </w:tcBorders>
          </w:tcPr>
          <w:p w:rsidR="00000000" w:rsidRDefault="00000000">
            <w:pPr>
              <w:pStyle w:val="a2"/>
              <w:tabs>
                <w:tab w:val="decimal" w:pos="1159"/>
              </w:tabs>
            </w:pPr>
            <w:r>
              <w:t>25.9</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5</w:t>
            </w:r>
            <w:r>
              <w:rPr>
                <w:rFonts w:hint="eastAsia"/>
              </w:rPr>
              <w:t>岁以下儿童死亡率</w:t>
            </w:r>
          </w:p>
        </w:tc>
        <w:tc>
          <w:tcPr>
            <w:tcW w:w="2127" w:type="dxa"/>
            <w:tcBorders>
              <w:top w:val="nil"/>
              <w:bottom w:val="nil"/>
            </w:tcBorders>
          </w:tcPr>
          <w:p w:rsidR="00000000" w:rsidRDefault="00000000">
            <w:pPr>
              <w:pStyle w:val="a2"/>
              <w:tabs>
                <w:tab w:val="decimal" w:pos="1159"/>
              </w:tabs>
            </w:pPr>
            <w:r>
              <w:t>30.1</w:t>
            </w:r>
          </w:p>
        </w:tc>
        <w:tc>
          <w:tcPr>
            <w:tcW w:w="2126" w:type="dxa"/>
            <w:tcBorders>
              <w:top w:val="nil"/>
              <w:bottom w:val="nil"/>
            </w:tcBorders>
          </w:tcPr>
          <w:p w:rsidR="00000000" w:rsidRDefault="00000000">
            <w:pPr>
              <w:pStyle w:val="a2"/>
              <w:tabs>
                <w:tab w:val="decimal" w:pos="1159"/>
              </w:tabs>
            </w:pPr>
            <w:r>
              <w:t>31.7</w:t>
            </w:r>
          </w:p>
        </w:tc>
      </w:tr>
      <w:tr w:rsidR="00000000">
        <w:tblPrEx>
          <w:tblCellMar>
            <w:top w:w="0" w:type="dxa"/>
            <w:bottom w:w="0" w:type="dxa"/>
          </w:tblCellMar>
        </w:tblPrEx>
        <w:tc>
          <w:tcPr>
            <w:tcW w:w="5103" w:type="dxa"/>
            <w:tcBorders>
              <w:top w:val="nil"/>
              <w:bottom w:val="nil"/>
            </w:tcBorders>
          </w:tcPr>
          <w:p w:rsidR="00000000" w:rsidRDefault="00000000">
            <w:pPr>
              <w:pStyle w:val="a2"/>
              <w:ind w:left="113"/>
            </w:pPr>
            <w:r>
              <w:rPr>
                <w:rFonts w:hint="eastAsia"/>
              </w:rPr>
              <w:t>每日热量摄入量</w:t>
            </w:r>
          </w:p>
        </w:tc>
        <w:tc>
          <w:tcPr>
            <w:tcW w:w="2127" w:type="dxa"/>
            <w:tcBorders>
              <w:top w:val="nil"/>
              <w:bottom w:val="nil"/>
            </w:tcBorders>
          </w:tcPr>
          <w:p w:rsidR="00000000" w:rsidRDefault="00000000">
            <w:pPr>
              <w:pStyle w:val="a2"/>
              <w:tabs>
                <w:tab w:val="decimal" w:pos="1159"/>
              </w:tabs>
            </w:pPr>
            <w:r>
              <w:t>3</w:t>
            </w:r>
            <w:r>
              <w:rPr>
                <w:rFonts w:hint="eastAsia"/>
              </w:rPr>
              <w:t>,</w:t>
            </w:r>
            <w:r>
              <w:t>787</w:t>
            </w:r>
          </w:p>
        </w:tc>
        <w:tc>
          <w:tcPr>
            <w:tcW w:w="2126" w:type="dxa"/>
            <w:tcBorders>
              <w:top w:val="nil"/>
              <w:bottom w:val="nil"/>
            </w:tcBorders>
          </w:tcPr>
          <w:p w:rsidR="00000000" w:rsidRDefault="00000000">
            <w:pPr>
              <w:pStyle w:val="a2"/>
              <w:tabs>
                <w:tab w:val="decimal" w:pos="1159"/>
              </w:tabs>
            </w:pPr>
            <w:r>
              <w:t>3</w:t>
            </w:r>
            <w:r>
              <w:rPr>
                <w:rFonts w:hint="eastAsia"/>
              </w:rPr>
              <w:t>,</w:t>
            </w:r>
            <w:r>
              <w:t>333</w:t>
            </w:r>
          </w:p>
        </w:tc>
      </w:tr>
      <w:tr w:rsidR="00000000">
        <w:tblPrEx>
          <w:tblCellMar>
            <w:top w:w="0" w:type="dxa"/>
            <w:bottom w:w="0" w:type="dxa"/>
          </w:tblCellMar>
        </w:tblPrEx>
        <w:tc>
          <w:tcPr>
            <w:tcW w:w="5103" w:type="dxa"/>
            <w:tcBorders>
              <w:top w:val="nil"/>
            </w:tcBorders>
          </w:tcPr>
          <w:p w:rsidR="00000000" w:rsidRDefault="00000000">
            <w:pPr>
              <w:pStyle w:val="a2"/>
              <w:ind w:left="113"/>
            </w:pPr>
            <w:r>
              <w:rPr>
                <w:rFonts w:hint="eastAsia"/>
              </w:rPr>
              <w:t>预期寿命</w:t>
            </w:r>
          </w:p>
        </w:tc>
        <w:tc>
          <w:tcPr>
            <w:tcW w:w="2127" w:type="dxa"/>
            <w:tcBorders>
              <w:top w:val="nil"/>
            </w:tcBorders>
          </w:tcPr>
          <w:p w:rsidR="00000000" w:rsidRDefault="00000000">
            <w:pPr>
              <w:pStyle w:val="a2"/>
              <w:tabs>
                <w:tab w:val="decimal" w:pos="1159"/>
              </w:tabs>
            </w:pPr>
            <w:r>
              <w:t>70</w:t>
            </w:r>
          </w:p>
        </w:tc>
        <w:tc>
          <w:tcPr>
            <w:tcW w:w="2126" w:type="dxa"/>
            <w:tcBorders>
              <w:top w:val="nil"/>
            </w:tcBorders>
          </w:tcPr>
          <w:p w:rsidR="00000000" w:rsidRDefault="00000000">
            <w:pPr>
              <w:pStyle w:val="a2"/>
              <w:tabs>
                <w:tab w:val="decimal" w:pos="1159"/>
              </w:tabs>
            </w:pPr>
          </w:p>
        </w:tc>
      </w:tr>
    </w:tbl>
    <w:p w:rsidR="00000000" w:rsidRDefault="00000000">
      <w:pPr>
        <w:pStyle w:val="EndnoteText"/>
        <w:spacing w:before="160"/>
        <w:rPr>
          <w:rFonts w:hint="eastAsia"/>
        </w:rPr>
      </w:pPr>
      <w:r>
        <w:rPr>
          <w:rFonts w:hint="eastAsia"/>
          <w:u w:val="single"/>
        </w:rPr>
        <w:t>资料来源</w:t>
      </w:r>
      <w:r>
        <w:rPr>
          <w:rFonts w:hint="eastAsia"/>
        </w:rPr>
        <w:t>：国家文献和资料处。</w:t>
      </w:r>
    </w:p>
    <w:p w:rsidR="00000000" w:rsidRDefault="00000000">
      <w:pPr>
        <w:rPr>
          <w:rFonts w:hint="eastAsia"/>
        </w:rPr>
      </w:pPr>
    </w:p>
    <w:p w:rsidR="00000000" w:rsidRDefault="00000000">
      <w:pPr>
        <w:pStyle w:val="Heading3"/>
        <w:pageBreakBefore/>
        <w:spacing w:after="120"/>
        <w:rPr>
          <w:rFonts w:hint="eastAsia"/>
        </w:rPr>
      </w:pPr>
      <w:r>
        <w:rPr>
          <w:rFonts w:hint="eastAsia"/>
        </w:rPr>
        <w:t>医疗机构和医务人员的数目</w:t>
      </w:r>
      <w:r>
        <w:rPr>
          <w:rFonts w:hint="eastAsia"/>
        </w:rPr>
        <w:t>(1997</w:t>
      </w:r>
      <w:r>
        <w:rPr>
          <w:rFonts w:hint="eastAsia"/>
        </w:rPr>
        <w:t>年至</w:t>
      </w:r>
      <w:r>
        <w:rPr>
          <w:rFonts w:hint="eastAsia"/>
        </w:rPr>
        <w:t>2001</w:t>
      </w:r>
      <w:r>
        <w:rPr>
          <w:rFonts w:hint="eastAsia"/>
        </w:rPr>
        <w:t>年</w:t>
      </w:r>
      <w:r>
        <w:rPr>
          <w:rFonts w:hint="eastAsia"/>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5"/>
        <w:gridCol w:w="1094"/>
        <w:gridCol w:w="1199"/>
        <w:gridCol w:w="1199"/>
        <w:gridCol w:w="1199"/>
        <w:gridCol w:w="1200"/>
      </w:tblGrid>
      <w:tr w:rsidR="00000000">
        <w:tblPrEx>
          <w:tblCellMar>
            <w:top w:w="0" w:type="dxa"/>
            <w:bottom w:w="0" w:type="dxa"/>
          </w:tblCellMar>
        </w:tblPrEx>
        <w:tc>
          <w:tcPr>
            <w:tcW w:w="3465" w:type="dxa"/>
          </w:tcPr>
          <w:p w:rsidR="00000000" w:rsidRDefault="00000000">
            <w:pPr>
              <w:spacing w:line="240" w:lineRule="auto"/>
              <w:jc w:val="center"/>
              <w:rPr>
                <w:sz w:val="18"/>
                <w:szCs w:val="18"/>
              </w:rPr>
            </w:pPr>
          </w:p>
        </w:tc>
        <w:tc>
          <w:tcPr>
            <w:tcW w:w="1094" w:type="dxa"/>
          </w:tcPr>
          <w:p w:rsidR="00000000" w:rsidRDefault="00000000">
            <w:pPr>
              <w:spacing w:line="240" w:lineRule="auto"/>
              <w:jc w:val="center"/>
              <w:rPr>
                <w:sz w:val="21"/>
              </w:rPr>
            </w:pPr>
            <w:r>
              <w:rPr>
                <w:sz w:val="21"/>
              </w:rPr>
              <w:t>1997</w:t>
            </w:r>
          </w:p>
        </w:tc>
        <w:tc>
          <w:tcPr>
            <w:tcW w:w="1199" w:type="dxa"/>
          </w:tcPr>
          <w:p w:rsidR="00000000" w:rsidRDefault="00000000">
            <w:pPr>
              <w:spacing w:line="240" w:lineRule="auto"/>
              <w:jc w:val="center"/>
              <w:rPr>
                <w:sz w:val="21"/>
              </w:rPr>
            </w:pPr>
            <w:r>
              <w:rPr>
                <w:sz w:val="21"/>
              </w:rPr>
              <w:t>1998</w:t>
            </w:r>
          </w:p>
        </w:tc>
        <w:tc>
          <w:tcPr>
            <w:tcW w:w="1199" w:type="dxa"/>
          </w:tcPr>
          <w:p w:rsidR="00000000" w:rsidRDefault="00000000">
            <w:pPr>
              <w:spacing w:line="240" w:lineRule="auto"/>
              <w:jc w:val="center"/>
              <w:rPr>
                <w:sz w:val="21"/>
              </w:rPr>
            </w:pPr>
            <w:r>
              <w:rPr>
                <w:sz w:val="21"/>
              </w:rPr>
              <w:t>1999</w:t>
            </w:r>
          </w:p>
        </w:tc>
        <w:tc>
          <w:tcPr>
            <w:tcW w:w="1199" w:type="dxa"/>
          </w:tcPr>
          <w:p w:rsidR="00000000" w:rsidRDefault="00000000">
            <w:pPr>
              <w:spacing w:line="240" w:lineRule="auto"/>
              <w:jc w:val="center"/>
              <w:rPr>
                <w:sz w:val="21"/>
              </w:rPr>
            </w:pPr>
            <w:r>
              <w:rPr>
                <w:sz w:val="21"/>
              </w:rPr>
              <w:t>2000</w:t>
            </w:r>
          </w:p>
        </w:tc>
        <w:tc>
          <w:tcPr>
            <w:tcW w:w="1200" w:type="dxa"/>
          </w:tcPr>
          <w:p w:rsidR="00000000" w:rsidRDefault="00000000">
            <w:pPr>
              <w:spacing w:line="240" w:lineRule="auto"/>
              <w:jc w:val="center"/>
              <w:rPr>
                <w:sz w:val="21"/>
              </w:rPr>
            </w:pPr>
            <w:r>
              <w:rPr>
                <w:sz w:val="21"/>
              </w:rPr>
              <w:t>2001</w:t>
            </w:r>
          </w:p>
        </w:tc>
      </w:tr>
      <w:tr w:rsidR="00000000">
        <w:tblPrEx>
          <w:tblCellMar>
            <w:top w:w="0" w:type="dxa"/>
            <w:bottom w:w="0" w:type="dxa"/>
          </w:tblCellMar>
        </w:tblPrEx>
        <w:tc>
          <w:tcPr>
            <w:tcW w:w="9356" w:type="dxa"/>
            <w:gridSpan w:val="6"/>
          </w:tcPr>
          <w:p w:rsidR="00000000" w:rsidRDefault="00000000">
            <w:pPr>
              <w:pStyle w:val="a2"/>
              <w:spacing w:line="240" w:lineRule="auto"/>
              <w:jc w:val="center"/>
              <w:rPr>
                <w:rFonts w:hint="eastAsia"/>
              </w:rPr>
            </w:pPr>
            <w:r>
              <w:rPr>
                <w:rFonts w:hint="eastAsia"/>
              </w:rPr>
              <w:t>医疗机构</w:t>
            </w:r>
          </w:p>
        </w:tc>
      </w:tr>
      <w:tr w:rsidR="00000000">
        <w:tblPrEx>
          <w:tblCellMar>
            <w:top w:w="0" w:type="dxa"/>
            <w:bottom w:w="0" w:type="dxa"/>
          </w:tblCellMar>
        </w:tblPrEx>
        <w:tc>
          <w:tcPr>
            <w:tcW w:w="3465" w:type="dxa"/>
            <w:tcBorders>
              <w:bottom w:val="nil"/>
            </w:tcBorders>
          </w:tcPr>
          <w:p w:rsidR="00000000" w:rsidRDefault="00000000">
            <w:pPr>
              <w:pStyle w:val="a2"/>
              <w:spacing w:line="240" w:lineRule="auto"/>
              <w:rPr>
                <w:szCs w:val="18"/>
              </w:rPr>
            </w:pPr>
            <w:r>
              <w:rPr>
                <w:rFonts w:hint="eastAsia"/>
              </w:rPr>
              <w:t>医院数目</w:t>
            </w:r>
          </w:p>
        </w:tc>
        <w:tc>
          <w:tcPr>
            <w:tcW w:w="1094" w:type="dxa"/>
            <w:tcBorders>
              <w:bottom w:val="nil"/>
            </w:tcBorders>
          </w:tcPr>
          <w:p w:rsidR="00000000" w:rsidRDefault="00000000">
            <w:pPr>
              <w:spacing w:line="240" w:lineRule="auto"/>
              <w:ind w:right="113"/>
              <w:jc w:val="right"/>
              <w:rPr>
                <w:sz w:val="21"/>
              </w:rPr>
            </w:pPr>
            <w:r>
              <w:rPr>
                <w:sz w:val="21"/>
              </w:rPr>
              <w:t>79</w:t>
            </w:r>
          </w:p>
        </w:tc>
        <w:tc>
          <w:tcPr>
            <w:tcW w:w="1199" w:type="dxa"/>
            <w:tcBorders>
              <w:bottom w:val="nil"/>
            </w:tcBorders>
          </w:tcPr>
          <w:p w:rsidR="00000000" w:rsidRDefault="00000000">
            <w:pPr>
              <w:spacing w:line="240" w:lineRule="auto"/>
              <w:ind w:right="113"/>
              <w:jc w:val="right"/>
              <w:rPr>
                <w:sz w:val="21"/>
              </w:rPr>
            </w:pPr>
            <w:r>
              <w:rPr>
                <w:sz w:val="21"/>
              </w:rPr>
              <w:t>83</w:t>
            </w:r>
          </w:p>
        </w:tc>
        <w:tc>
          <w:tcPr>
            <w:tcW w:w="1199" w:type="dxa"/>
            <w:tcBorders>
              <w:bottom w:val="nil"/>
            </w:tcBorders>
          </w:tcPr>
          <w:p w:rsidR="00000000" w:rsidRDefault="00000000">
            <w:pPr>
              <w:spacing w:line="240" w:lineRule="auto"/>
              <w:ind w:right="113"/>
              <w:jc w:val="right"/>
              <w:rPr>
                <w:sz w:val="21"/>
              </w:rPr>
            </w:pPr>
            <w:r>
              <w:rPr>
                <w:sz w:val="21"/>
              </w:rPr>
              <w:t>83</w:t>
            </w:r>
          </w:p>
        </w:tc>
        <w:tc>
          <w:tcPr>
            <w:tcW w:w="1199" w:type="dxa"/>
            <w:tcBorders>
              <w:bottom w:val="nil"/>
            </w:tcBorders>
          </w:tcPr>
          <w:p w:rsidR="00000000" w:rsidRDefault="00000000">
            <w:pPr>
              <w:spacing w:line="240" w:lineRule="auto"/>
              <w:ind w:right="113"/>
              <w:jc w:val="right"/>
              <w:rPr>
                <w:sz w:val="21"/>
              </w:rPr>
            </w:pPr>
            <w:r>
              <w:rPr>
                <w:sz w:val="21"/>
              </w:rPr>
              <w:t>82</w:t>
            </w:r>
          </w:p>
        </w:tc>
        <w:tc>
          <w:tcPr>
            <w:tcW w:w="1200" w:type="dxa"/>
            <w:tcBorders>
              <w:bottom w:val="nil"/>
            </w:tcBorders>
          </w:tcPr>
          <w:p w:rsidR="00000000" w:rsidRDefault="00000000">
            <w:pPr>
              <w:spacing w:line="240" w:lineRule="auto"/>
              <w:ind w:right="113"/>
              <w:jc w:val="right"/>
              <w:rPr>
                <w:sz w:val="21"/>
              </w:rPr>
            </w:pPr>
            <w:r>
              <w:rPr>
                <w:sz w:val="21"/>
              </w:rPr>
              <w:t>82</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公共医院病床数目</w:t>
            </w:r>
          </w:p>
        </w:tc>
        <w:tc>
          <w:tcPr>
            <w:tcW w:w="1094" w:type="dxa"/>
            <w:tcBorders>
              <w:top w:val="nil"/>
              <w:bottom w:val="nil"/>
            </w:tcBorders>
          </w:tcPr>
          <w:p w:rsidR="00000000" w:rsidRDefault="00000000">
            <w:pPr>
              <w:spacing w:line="240" w:lineRule="auto"/>
              <w:ind w:right="113"/>
              <w:jc w:val="right"/>
              <w:rPr>
                <w:sz w:val="21"/>
              </w:rPr>
            </w:pPr>
            <w:r>
              <w:rPr>
                <w:sz w:val="21"/>
              </w:rPr>
              <w:t>1 930</w:t>
            </w:r>
          </w:p>
        </w:tc>
        <w:tc>
          <w:tcPr>
            <w:tcW w:w="1199" w:type="dxa"/>
            <w:tcBorders>
              <w:top w:val="nil"/>
              <w:bottom w:val="nil"/>
            </w:tcBorders>
          </w:tcPr>
          <w:p w:rsidR="00000000" w:rsidRDefault="00000000">
            <w:pPr>
              <w:spacing w:line="240" w:lineRule="auto"/>
              <w:ind w:right="113"/>
              <w:jc w:val="right"/>
              <w:rPr>
                <w:sz w:val="21"/>
              </w:rPr>
            </w:pPr>
            <w:r>
              <w:rPr>
                <w:sz w:val="21"/>
              </w:rPr>
              <w:t>18 645</w:t>
            </w:r>
          </w:p>
        </w:tc>
        <w:tc>
          <w:tcPr>
            <w:tcW w:w="1199" w:type="dxa"/>
            <w:tcBorders>
              <w:top w:val="nil"/>
              <w:bottom w:val="nil"/>
            </w:tcBorders>
          </w:tcPr>
          <w:p w:rsidR="00000000" w:rsidRDefault="00000000">
            <w:pPr>
              <w:spacing w:line="240" w:lineRule="auto"/>
              <w:ind w:right="113"/>
              <w:jc w:val="right"/>
              <w:rPr>
                <w:sz w:val="21"/>
              </w:rPr>
            </w:pPr>
            <w:r>
              <w:rPr>
                <w:sz w:val="21"/>
              </w:rPr>
              <w:t>18 645</w:t>
            </w:r>
          </w:p>
        </w:tc>
        <w:tc>
          <w:tcPr>
            <w:tcW w:w="1199" w:type="dxa"/>
            <w:tcBorders>
              <w:top w:val="nil"/>
              <w:bottom w:val="nil"/>
            </w:tcBorders>
          </w:tcPr>
          <w:p w:rsidR="00000000" w:rsidRDefault="00000000">
            <w:pPr>
              <w:spacing w:line="240" w:lineRule="auto"/>
              <w:ind w:right="113"/>
              <w:jc w:val="right"/>
              <w:rPr>
                <w:sz w:val="21"/>
              </w:rPr>
            </w:pPr>
            <w:r>
              <w:rPr>
                <w:sz w:val="21"/>
              </w:rPr>
              <w:t>18 821</w:t>
            </w:r>
          </w:p>
        </w:tc>
        <w:tc>
          <w:tcPr>
            <w:tcW w:w="1200" w:type="dxa"/>
            <w:tcBorders>
              <w:top w:val="nil"/>
              <w:bottom w:val="nil"/>
            </w:tcBorders>
          </w:tcPr>
          <w:p w:rsidR="00000000" w:rsidRDefault="00000000">
            <w:pPr>
              <w:spacing w:line="240" w:lineRule="auto"/>
              <w:ind w:right="113"/>
              <w:jc w:val="right"/>
              <w:rPr>
                <w:sz w:val="21"/>
              </w:rPr>
            </w:pPr>
            <w:r>
              <w:rPr>
                <w:sz w:val="21"/>
              </w:rPr>
              <w:t>18 959</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残疾人福利院数目</w:t>
            </w:r>
          </w:p>
        </w:tc>
        <w:tc>
          <w:tcPr>
            <w:tcW w:w="1094" w:type="dxa"/>
            <w:tcBorders>
              <w:top w:val="nil"/>
              <w:bottom w:val="nil"/>
            </w:tcBorders>
          </w:tcPr>
          <w:p w:rsidR="00000000" w:rsidRDefault="00000000">
            <w:pPr>
              <w:spacing w:line="240" w:lineRule="auto"/>
              <w:ind w:right="113"/>
              <w:jc w:val="right"/>
              <w:rPr>
                <w:sz w:val="21"/>
              </w:rPr>
            </w:pPr>
            <w:r>
              <w:rPr>
                <w:sz w:val="21"/>
              </w:rPr>
              <w:t>53</w:t>
            </w:r>
          </w:p>
        </w:tc>
        <w:tc>
          <w:tcPr>
            <w:tcW w:w="1199" w:type="dxa"/>
            <w:tcBorders>
              <w:top w:val="nil"/>
              <w:bottom w:val="nil"/>
            </w:tcBorders>
          </w:tcPr>
          <w:p w:rsidR="00000000" w:rsidRDefault="00000000">
            <w:pPr>
              <w:spacing w:line="240" w:lineRule="auto"/>
              <w:ind w:right="113"/>
              <w:jc w:val="right"/>
              <w:rPr>
                <w:sz w:val="21"/>
              </w:rPr>
            </w:pPr>
            <w:r>
              <w:rPr>
                <w:sz w:val="21"/>
              </w:rPr>
              <w:t>53</w:t>
            </w:r>
          </w:p>
        </w:tc>
        <w:tc>
          <w:tcPr>
            <w:tcW w:w="1199" w:type="dxa"/>
            <w:tcBorders>
              <w:top w:val="nil"/>
              <w:bottom w:val="nil"/>
            </w:tcBorders>
          </w:tcPr>
          <w:p w:rsidR="00000000" w:rsidRDefault="00000000">
            <w:pPr>
              <w:spacing w:line="240" w:lineRule="auto"/>
              <w:ind w:right="113"/>
              <w:jc w:val="right"/>
              <w:rPr>
                <w:sz w:val="21"/>
              </w:rPr>
            </w:pPr>
            <w:r>
              <w:rPr>
                <w:sz w:val="21"/>
              </w:rPr>
              <w:t>63</w:t>
            </w:r>
          </w:p>
        </w:tc>
        <w:tc>
          <w:tcPr>
            <w:tcW w:w="1199" w:type="dxa"/>
            <w:tcBorders>
              <w:top w:val="nil"/>
              <w:bottom w:val="nil"/>
            </w:tcBorders>
          </w:tcPr>
          <w:p w:rsidR="00000000" w:rsidRDefault="00000000">
            <w:pPr>
              <w:spacing w:line="240" w:lineRule="auto"/>
              <w:ind w:right="113"/>
              <w:jc w:val="right"/>
              <w:rPr>
                <w:sz w:val="21"/>
              </w:rPr>
            </w:pPr>
            <w:r>
              <w:rPr>
                <w:sz w:val="21"/>
              </w:rPr>
              <w:t>53</w:t>
            </w:r>
          </w:p>
        </w:tc>
        <w:tc>
          <w:tcPr>
            <w:tcW w:w="1200" w:type="dxa"/>
            <w:tcBorders>
              <w:top w:val="nil"/>
              <w:bottom w:val="nil"/>
            </w:tcBorders>
          </w:tcPr>
          <w:p w:rsidR="00000000" w:rsidRDefault="00000000">
            <w:pPr>
              <w:spacing w:line="240" w:lineRule="auto"/>
              <w:ind w:right="113"/>
              <w:jc w:val="right"/>
              <w:rPr>
                <w:sz w:val="21"/>
              </w:rPr>
            </w:pPr>
            <w:r>
              <w:rPr>
                <w:sz w:val="21"/>
              </w:rPr>
              <w:t>53</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住宅区内病床数目</w:t>
            </w:r>
          </w:p>
        </w:tc>
        <w:tc>
          <w:tcPr>
            <w:tcW w:w="1094" w:type="dxa"/>
            <w:tcBorders>
              <w:top w:val="nil"/>
              <w:bottom w:val="nil"/>
            </w:tcBorders>
          </w:tcPr>
          <w:p w:rsidR="00000000" w:rsidRDefault="00000000">
            <w:pPr>
              <w:spacing w:line="240" w:lineRule="auto"/>
              <w:ind w:right="113"/>
              <w:jc w:val="right"/>
              <w:rPr>
                <w:sz w:val="21"/>
              </w:rPr>
            </w:pPr>
            <w:r>
              <w:rPr>
                <w:sz w:val="21"/>
              </w:rPr>
              <w:t>1 060</w:t>
            </w:r>
          </w:p>
        </w:tc>
        <w:tc>
          <w:tcPr>
            <w:tcW w:w="1199" w:type="dxa"/>
            <w:tcBorders>
              <w:top w:val="nil"/>
              <w:bottom w:val="nil"/>
            </w:tcBorders>
          </w:tcPr>
          <w:p w:rsidR="00000000" w:rsidRDefault="00000000">
            <w:pPr>
              <w:spacing w:line="240" w:lineRule="auto"/>
              <w:ind w:right="113"/>
              <w:jc w:val="right"/>
              <w:rPr>
                <w:sz w:val="21"/>
              </w:rPr>
            </w:pPr>
            <w:r>
              <w:rPr>
                <w:sz w:val="21"/>
              </w:rPr>
              <w:t>1 060</w:t>
            </w:r>
          </w:p>
        </w:tc>
        <w:tc>
          <w:tcPr>
            <w:tcW w:w="1199" w:type="dxa"/>
            <w:tcBorders>
              <w:top w:val="nil"/>
              <w:bottom w:val="nil"/>
            </w:tcBorders>
          </w:tcPr>
          <w:p w:rsidR="00000000" w:rsidRDefault="00000000">
            <w:pPr>
              <w:spacing w:line="240" w:lineRule="auto"/>
              <w:ind w:right="113"/>
              <w:jc w:val="right"/>
              <w:rPr>
                <w:sz w:val="21"/>
              </w:rPr>
            </w:pPr>
            <w:r>
              <w:rPr>
                <w:sz w:val="21"/>
              </w:rPr>
              <w:t>1 351</w:t>
            </w:r>
          </w:p>
        </w:tc>
        <w:tc>
          <w:tcPr>
            <w:tcW w:w="1199" w:type="dxa"/>
            <w:tcBorders>
              <w:top w:val="nil"/>
              <w:bottom w:val="nil"/>
            </w:tcBorders>
          </w:tcPr>
          <w:p w:rsidR="00000000" w:rsidRDefault="00000000">
            <w:pPr>
              <w:spacing w:line="240" w:lineRule="auto"/>
              <w:ind w:right="113"/>
              <w:jc w:val="right"/>
              <w:rPr>
                <w:sz w:val="21"/>
              </w:rPr>
            </w:pPr>
            <w:r>
              <w:rPr>
                <w:sz w:val="21"/>
              </w:rPr>
              <w:t>1 060</w:t>
            </w:r>
          </w:p>
        </w:tc>
        <w:tc>
          <w:tcPr>
            <w:tcW w:w="1200" w:type="dxa"/>
            <w:tcBorders>
              <w:top w:val="nil"/>
              <w:bottom w:val="nil"/>
            </w:tcBorders>
          </w:tcPr>
          <w:p w:rsidR="00000000" w:rsidRDefault="00000000">
            <w:pPr>
              <w:spacing w:line="240" w:lineRule="auto"/>
              <w:ind w:right="113"/>
              <w:jc w:val="right"/>
              <w:rPr>
                <w:sz w:val="21"/>
              </w:rPr>
            </w:pPr>
            <w:r>
              <w:rPr>
                <w:sz w:val="21"/>
              </w:rPr>
              <w:t>1 060</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rFonts w:hint="eastAsia"/>
                <w:spacing w:val="0"/>
                <w:szCs w:val="18"/>
              </w:rPr>
            </w:pPr>
            <w:r>
              <w:rPr>
                <w:rFonts w:hint="eastAsia"/>
                <w:spacing w:val="0"/>
              </w:rPr>
              <w:t>自然人和合作社所拥有的诊所数目</w:t>
            </w:r>
          </w:p>
        </w:tc>
        <w:tc>
          <w:tcPr>
            <w:tcW w:w="1094" w:type="dxa"/>
            <w:tcBorders>
              <w:top w:val="nil"/>
              <w:bottom w:val="nil"/>
            </w:tcBorders>
          </w:tcPr>
          <w:p w:rsidR="00000000" w:rsidRDefault="00000000">
            <w:pPr>
              <w:spacing w:line="240" w:lineRule="auto"/>
              <w:ind w:right="113"/>
              <w:jc w:val="right"/>
              <w:rPr>
                <w:sz w:val="21"/>
              </w:rPr>
            </w:pPr>
          </w:p>
        </w:tc>
        <w:tc>
          <w:tcPr>
            <w:tcW w:w="1199" w:type="dxa"/>
            <w:tcBorders>
              <w:top w:val="nil"/>
              <w:bottom w:val="nil"/>
            </w:tcBorders>
          </w:tcPr>
          <w:p w:rsidR="00000000" w:rsidRDefault="00000000">
            <w:pPr>
              <w:spacing w:line="240" w:lineRule="auto"/>
              <w:ind w:right="113"/>
              <w:jc w:val="right"/>
              <w:rPr>
                <w:sz w:val="21"/>
              </w:rPr>
            </w:pPr>
            <w:r>
              <w:rPr>
                <w:sz w:val="21"/>
              </w:rPr>
              <w:t>16</w:t>
            </w:r>
          </w:p>
        </w:tc>
        <w:tc>
          <w:tcPr>
            <w:tcW w:w="1199" w:type="dxa"/>
            <w:tcBorders>
              <w:top w:val="nil"/>
              <w:bottom w:val="nil"/>
            </w:tcBorders>
          </w:tcPr>
          <w:p w:rsidR="00000000" w:rsidRDefault="00000000">
            <w:pPr>
              <w:spacing w:line="240" w:lineRule="auto"/>
              <w:ind w:right="113"/>
              <w:jc w:val="right"/>
              <w:rPr>
                <w:sz w:val="21"/>
              </w:rPr>
            </w:pPr>
            <w:r>
              <w:rPr>
                <w:sz w:val="21"/>
              </w:rPr>
              <w:t>26</w:t>
            </w:r>
          </w:p>
        </w:tc>
        <w:tc>
          <w:tcPr>
            <w:tcW w:w="1199" w:type="dxa"/>
            <w:tcBorders>
              <w:top w:val="nil"/>
              <w:bottom w:val="nil"/>
            </w:tcBorders>
          </w:tcPr>
          <w:p w:rsidR="00000000" w:rsidRDefault="00000000">
            <w:pPr>
              <w:spacing w:line="240" w:lineRule="auto"/>
              <w:ind w:right="113"/>
              <w:jc w:val="right"/>
              <w:rPr>
                <w:sz w:val="21"/>
              </w:rPr>
            </w:pPr>
            <w:r>
              <w:rPr>
                <w:sz w:val="21"/>
              </w:rPr>
              <w:t>26</w:t>
            </w:r>
          </w:p>
        </w:tc>
        <w:tc>
          <w:tcPr>
            <w:tcW w:w="1200" w:type="dxa"/>
            <w:tcBorders>
              <w:top w:val="nil"/>
              <w:bottom w:val="nil"/>
            </w:tcBorders>
          </w:tcPr>
          <w:p w:rsidR="00000000" w:rsidRDefault="00000000">
            <w:pPr>
              <w:spacing w:line="240" w:lineRule="auto"/>
              <w:ind w:right="113"/>
              <w:jc w:val="right"/>
              <w:rPr>
                <w:sz w:val="21"/>
              </w:rPr>
            </w:pPr>
            <w:r>
              <w:rPr>
                <w:sz w:val="21"/>
              </w:rPr>
              <w:t>26</w:t>
            </w:r>
          </w:p>
        </w:tc>
      </w:tr>
      <w:tr w:rsidR="00000000">
        <w:tblPrEx>
          <w:tblCellMar>
            <w:top w:w="0" w:type="dxa"/>
            <w:bottom w:w="0" w:type="dxa"/>
          </w:tblCellMar>
        </w:tblPrEx>
        <w:tc>
          <w:tcPr>
            <w:tcW w:w="3465" w:type="dxa"/>
            <w:tcBorders>
              <w:top w:val="nil"/>
            </w:tcBorders>
          </w:tcPr>
          <w:p w:rsidR="00000000" w:rsidRDefault="00000000">
            <w:pPr>
              <w:pStyle w:val="a2"/>
              <w:spacing w:line="240" w:lineRule="auto"/>
              <w:rPr>
                <w:szCs w:val="18"/>
              </w:rPr>
            </w:pPr>
            <w:r>
              <w:rPr>
                <w:rFonts w:hint="eastAsia"/>
              </w:rPr>
              <w:t>诊所病床数目</w:t>
            </w:r>
          </w:p>
        </w:tc>
        <w:tc>
          <w:tcPr>
            <w:tcW w:w="1094" w:type="dxa"/>
            <w:tcBorders>
              <w:top w:val="nil"/>
            </w:tcBorders>
          </w:tcPr>
          <w:p w:rsidR="00000000" w:rsidRDefault="00000000">
            <w:pPr>
              <w:spacing w:line="240" w:lineRule="auto"/>
              <w:ind w:right="113"/>
              <w:jc w:val="right"/>
              <w:rPr>
                <w:sz w:val="21"/>
              </w:rPr>
            </w:pPr>
            <w:r>
              <w:rPr>
                <w:sz w:val="21"/>
              </w:rPr>
              <w:t>502</w:t>
            </w:r>
          </w:p>
        </w:tc>
        <w:tc>
          <w:tcPr>
            <w:tcW w:w="1199" w:type="dxa"/>
            <w:tcBorders>
              <w:top w:val="nil"/>
            </w:tcBorders>
          </w:tcPr>
          <w:p w:rsidR="00000000" w:rsidRDefault="00000000">
            <w:pPr>
              <w:spacing w:line="240" w:lineRule="auto"/>
              <w:ind w:right="113"/>
              <w:jc w:val="right"/>
              <w:rPr>
                <w:sz w:val="21"/>
              </w:rPr>
            </w:pPr>
            <w:r>
              <w:rPr>
                <w:sz w:val="21"/>
              </w:rPr>
              <w:t>620</w:t>
            </w:r>
          </w:p>
        </w:tc>
        <w:tc>
          <w:tcPr>
            <w:tcW w:w="1199" w:type="dxa"/>
            <w:tcBorders>
              <w:top w:val="nil"/>
            </w:tcBorders>
          </w:tcPr>
          <w:p w:rsidR="00000000" w:rsidRDefault="00000000">
            <w:pPr>
              <w:spacing w:line="240" w:lineRule="auto"/>
              <w:ind w:right="113"/>
              <w:jc w:val="right"/>
              <w:rPr>
                <w:sz w:val="21"/>
              </w:rPr>
            </w:pPr>
            <w:r>
              <w:rPr>
                <w:sz w:val="21"/>
              </w:rPr>
              <w:t>747</w:t>
            </w:r>
          </w:p>
        </w:tc>
        <w:tc>
          <w:tcPr>
            <w:tcW w:w="1199" w:type="dxa"/>
            <w:tcBorders>
              <w:top w:val="nil"/>
            </w:tcBorders>
          </w:tcPr>
          <w:p w:rsidR="00000000" w:rsidRDefault="00000000">
            <w:pPr>
              <w:spacing w:line="240" w:lineRule="auto"/>
              <w:ind w:right="113"/>
              <w:jc w:val="right"/>
              <w:rPr>
                <w:sz w:val="21"/>
              </w:rPr>
            </w:pPr>
            <w:r>
              <w:rPr>
                <w:sz w:val="21"/>
              </w:rPr>
              <w:t>620</w:t>
            </w:r>
          </w:p>
        </w:tc>
        <w:tc>
          <w:tcPr>
            <w:tcW w:w="1200" w:type="dxa"/>
            <w:tcBorders>
              <w:top w:val="nil"/>
            </w:tcBorders>
          </w:tcPr>
          <w:p w:rsidR="00000000" w:rsidRDefault="00000000">
            <w:pPr>
              <w:spacing w:line="240" w:lineRule="auto"/>
              <w:ind w:right="113"/>
              <w:jc w:val="right"/>
              <w:rPr>
                <w:sz w:val="21"/>
              </w:rPr>
            </w:pPr>
            <w:r>
              <w:rPr>
                <w:sz w:val="21"/>
              </w:rPr>
              <w:t>620</w:t>
            </w:r>
          </w:p>
        </w:tc>
      </w:tr>
      <w:tr w:rsidR="00000000">
        <w:tblPrEx>
          <w:tblCellMar>
            <w:top w:w="0" w:type="dxa"/>
            <w:bottom w:w="0" w:type="dxa"/>
          </w:tblCellMar>
        </w:tblPrEx>
        <w:tc>
          <w:tcPr>
            <w:tcW w:w="9356" w:type="dxa"/>
            <w:gridSpan w:val="6"/>
          </w:tcPr>
          <w:p w:rsidR="00000000" w:rsidRDefault="00000000">
            <w:pPr>
              <w:pStyle w:val="a2"/>
              <w:spacing w:line="240" w:lineRule="auto"/>
              <w:jc w:val="center"/>
              <w:rPr>
                <w:szCs w:val="18"/>
              </w:rPr>
            </w:pPr>
            <w:r>
              <w:rPr>
                <w:rFonts w:hint="eastAsia"/>
              </w:rPr>
              <w:t>医务人员</w:t>
            </w:r>
          </w:p>
        </w:tc>
      </w:tr>
      <w:tr w:rsidR="00000000">
        <w:tblPrEx>
          <w:tblCellMar>
            <w:top w:w="0" w:type="dxa"/>
            <w:bottom w:w="0" w:type="dxa"/>
          </w:tblCellMar>
        </w:tblPrEx>
        <w:tc>
          <w:tcPr>
            <w:tcW w:w="3465" w:type="dxa"/>
            <w:tcBorders>
              <w:bottom w:val="nil"/>
            </w:tcBorders>
          </w:tcPr>
          <w:p w:rsidR="00000000" w:rsidRDefault="00000000">
            <w:pPr>
              <w:pStyle w:val="a2"/>
              <w:spacing w:line="240" w:lineRule="auto"/>
              <w:rPr>
                <w:szCs w:val="18"/>
              </w:rPr>
            </w:pPr>
            <w:r>
              <w:rPr>
                <w:rFonts w:hint="eastAsia"/>
              </w:rPr>
              <w:t>专科医生和全科医生</w:t>
            </w:r>
          </w:p>
        </w:tc>
        <w:tc>
          <w:tcPr>
            <w:tcW w:w="1094" w:type="dxa"/>
            <w:tcBorders>
              <w:bottom w:val="nil"/>
            </w:tcBorders>
          </w:tcPr>
          <w:p w:rsidR="00000000" w:rsidRDefault="00000000">
            <w:pPr>
              <w:spacing w:line="240" w:lineRule="auto"/>
              <w:ind w:right="113"/>
              <w:jc w:val="right"/>
              <w:rPr>
                <w:sz w:val="21"/>
              </w:rPr>
            </w:pPr>
            <w:r>
              <w:rPr>
                <w:sz w:val="21"/>
              </w:rPr>
              <w:t>5 960</w:t>
            </w:r>
          </w:p>
        </w:tc>
        <w:tc>
          <w:tcPr>
            <w:tcW w:w="1199" w:type="dxa"/>
            <w:tcBorders>
              <w:bottom w:val="nil"/>
            </w:tcBorders>
          </w:tcPr>
          <w:p w:rsidR="00000000" w:rsidRDefault="00000000">
            <w:pPr>
              <w:spacing w:line="240" w:lineRule="auto"/>
              <w:ind w:right="113"/>
              <w:jc w:val="right"/>
              <w:rPr>
                <w:sz w:val="21"/>
              </w:rPr>
            </w:pPr>
            <w:r>
              <w:rPr>
                <w:sz w:val="21"/>
              </w:rPr>
              <w:t>5 676</w:t>
            </w:r>
          </w:p>
        </w:tc>
        <w:tc>
          <w:tcPr>
            <w:tcW w:w="1199" w:type="dxa"/>
            <w:tcBorders>
              <w:bottom w:val="nil"/>
            </w:tcBorders>
          </w:tcPr>
          <w:p w:rsidR="00000000" w:rsidRDefault="00000000">
            <w:pPr>
              <w:spacing w:line="240" w:lineRule="auto"/>
              <w:ind w:right="113"/>
              <w:jc w:val="right"/>
              <w:rPr>
                <w:sz w:val="21"/>
              </w:rPr>
            </w:pPr>
            <w:r>
              <w:rPr>
                <w:sz w:val="21"/>
              </w:rPr>
              <w:t>7 183</w:t>
            </w:r>
          </w:p>
        </w:tc>
        <w:tc>
          <w:tcPr>
            <w:tcW w:w="1199" w:type="dxa"/>
            <w:tcBorders>
              <w:bottom w:val="nil"/>
            </w:tcBorders>
          </w:tcPr>
          <w:p w:rsidR="00000000" w:rsidRDefault="00000000">
            <w:pPr>
              <w:spacing w:line="240" w:lineRule="auto"/>
              <w:ind w:right="113"/>
              <w:jc w:val="right"/>
              <w:rPr>
                <w:sz w:val="21"/>
              </w:rPr>
            </w:pPr>
            <w:r>
              <w:rPr>
                <w:sz w:val="21"/>
              </w:rPr>
              <w:t>6 676</w:t>
            </w:r>
          </w:p>
        </w:tc>
        <w:tc>
          <w:tcPr>
            <w:tcW w:w="1200" w:type="dxa"/>
            <w:tcBorders>
              <w:bottom w:val="nil"/>
            </w:tcBorders>
          </w:tcPr>
          <w:p w:rsidR="00000000" w:rsidRDefault="00000000">
            <w:pPr>
              <w:spacing w:line="240" w:lineRule="auto"/>
              <w:ind w:right="113"/>
              <w:jc w:val="right"/>
              <w:rPr>
                <w:sz w:val="21"/>
              </w:rPr>
            </w:pPr>
            <w:r>
              <w:rPr>
                <w:sz w:val="21"/>
              </w:rPr>
              <w:t>6 676</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牙医数目</w:t>
            </w:r>
          </w:p>
        </w:tc>
        <w:tc>
          <w:tcPr>
            <w:tcW w:w="1094" w:type="dxa"/>
            <w:tcBorders>
              <w:top w:val="nil"/>
              <w:bottom w:val="nil"/>
            </w:tcBorders>
          </w:tcPr>
          <w:p w:rsidR="00000000" w:rsidRDefault="00000000">
            <w:pPr>
              <w:spacing w:line="240" w:lineRule="auto"/>
              <w:ind w:right="113"/>
              <w:jc w:val="right"/>
              <w:rPr>
                <w:sz w:val="21"/>
              </w:rPr>
            </w:pPr>
            <w:r>
              <w:rPr>
                <w:sz w:val="21"/>
              </w:rPr>
              <w:t>368</w:t>
            </w:r>
          </w:p>
        </w:tc>
        <w:tc>
          <w:tcPr>
            <w:tcW w:w="1199" w:type="dxa"/>
            <w:tcBorders>
              <w:top w:val="nil"/>
              <w:bottom w:val="nil"/>
            </w:tcBorders>
          </w:tcPr>
          <w:p w:rsidR="00000000" w:rsidRDefault="00000000">
            <w:pPr>
              <w:spacing w:line="240" w:lineRule="auto"/>
              <w:ind w:right="113"/>
              <w:jc w:val="right"/>
              <w:rPr>
                <w:sz w:val="21"/>
              </w:rPr>
            </w:pPr>
            <w:r>
              <w:rPr>
                <w:sz w:val="21"/>
              </w:rPr>
              <w:t>420</w:t>
            </w:r>
          </w:p>
        </w:tc>
        <w:tc>
          <w:tcPr>
            <w:tcW w:w="1199" w:type="dxa"/>
            <w:tcBorders>
              <w:top w:val="nil"/>
              <w:bottom w:val="nil"/>
            </w:tcBorders>
          </w:tcPr>
          <w:p w:rsidR="00000000" w:rsidRDefault="00000000">
            <w:pPr>
              <w:spacing w:line="240" w:lineRule="auto"/>
              <w:ind w:right="113"/>
              <w:jc w:val="right"/>
              <w:rPr>
                <w:sz w:val="21"/>
              </w:rPr>
            </w:pPr>
          </w:p>
        </w:tc>
        <w:tc>
          <w:tcPr>
            <w:tcW w:w="1199" w:type="dxa"/>
            <w:tcBorders>
              <w:top w:val="nil"/>
              <w:bottom w:val="nil"/>
            </w:tcBorders>
          </w:tcPr>
          <w:p w:rsidR="00000000" w:rsidRDefault="00000000">
            <w:pPr>
              <w:spacing w:line="240" w:lineRule="auto"/>
              <w:ind w:right="113"/>
              <w:jc w:val="right"/>
              <w:rPr>
                <w:sz w:val="21"/>
              </w:rPr>
            </w:pPr>
            <w:r>
              <w:rPr>
                <w:sz w:val="21"/>
              </w:rPr>
              <w:t>420</w:t>
            </w:r>
          </w:p>
        </w:tc>
        <w:tc>
          <w:tcPr>
            <w:tcW w:w="1200" w:type="dxa"/>
            <w:tcBorders>
              <w:top w:val="nil"/>
              <w:bottom w:val="nil"/>
            </w:tcBorders>
          </w:tcPr>
          <w:p w:rsidR="00000000" w:rsidRDefault="00000000">
            <w:pPr>
              <w:spacing w:line="240" w:lineRule="auto"/>
              <w:ind w:right="113"/>
              <w:jc w:val="right"/>
              <w:rPr>
                <w:sz w:val="21"/>
              </w:rPr>
            </w:pPr>
            <w:r>
              <w:rPr>
                <w:sz w:val="21"/>
              </w:rPr>
              <w:t>420</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药剂师数目</w:t>
            </w:r>
          </w:p>
        </w:tc>
        <w:tc>
          <w:tcPr>
            <w:tcW w:w="1094" w:type="dxa"/>
            <w:tcBorders>
              <w:top w:val="nil"/>
              <w:bottom w:val="nil"/>
            </w:tcBorders>
          </w:tcPr>
          <w:p w:rsidR="00000000" w:rsidRDefault="00000000">
            <w:pPr>
              <w:spacing w:line="240" w:lineRule="auto"/>
              <w:ind w:right="113"/>
              <w:jc w:val="right"/>
              <w:rPr>
                <w:sz w:val="21"/>
              </w:rPr>
            </w:pPr>
            <w:r>
              <w:rPr>
                <w:sz w:val="21"/>
              </w:rPr>
              <w:t>492</w:t>
            </w:r>
          </w:p>
        </w:tc>
        <w:tc>
          <w:tcPr>
            <w:tcW w:w="1199" w:type="dxa"/>
            <w:tcBorders>
              <w:top w:val="nil"/>
              <w:bottom w:val="nil"/>
            </w:tcBorders>
          </w:tcPr>
          <w:p w:rsidR="00000000" w:rsidRDefault="00000000">
            <w:pPr>
              <w:spacing w:line="240" w:lineRule="auto"/>
              <w:ind w:right="113"/>
              <w:jc w:val="right"/>
              <w:rPr>
                <w:sz w:val="21"/>
              </w:rPr>
            </w:pPr>
            <w:r>
              <w:rPr>
                <w:sz w:val="21"/>
              </w:rPr>
              <w:t>518</w:t>
            </w:r>
          </w:p>
        </w:tc>
        <w:tc>
          <w:tcPr>
            <w:tcW w:w="1199" w:type="dxa"/>
            <w:tcBorders>
              <w:top w:val="nil"/>
              <w:bottom w:val="nil"/>
            </w:tcBorders>
          </w:tcPr>
          <w:p w:rsidR="00000000" w:rsidRDefault="00000000">
            <w:pPr>
              <w:spacing w:line="240" w:lineRule="auto"/>
              <w:ind w:right="113"/>
              <w:jc w:val="right"/>
              <w:rPr>
                <w:sz w:val="21"/>
              </w:rPr>
            </w:pPr>
            <w:r>
              <w:rPr>
                <w:sz w:val="21"/>
              </w:rPr>
              <w:t>509</w:t>
            </w:r>
          </w:p>
        </w:tc>
        <w:tc>
          <w:tcPr>
            <w:tcW w:w="1199" w:type="dxa"/>
            <w:tcBorders>
              <w:top w:val="nil"/>
              <w:bottom w:val="nil"/>
            </w:tcBorders>
          </w:tcPr>
          <w:p w:rsidR="00000000" w:rsidRDefault="00000000">
            <w:pPr>
              <w:spacing w:line="240" w:lineRule="auto"/>
              <w:ind w:right="113"/>
              <w:jc w:val="right"/>
              <w:rPr>
                <w:sz w:val="21"/>
              </w:rPr>
            </w:pPr>
            <w:r>
              <w:rPr>
                <w:sz w:val="21"/>
              </w:rPr>
              <w:t>722</w:t>
            </w:r>
          </w:p>
        </w:tc>
        <w:tc>
          <w:tcPr>
            <w:tcW w:w="1200" w:type="dxa"/>
            <w:tcBorders>
              <w:top w:val="nil"/>
              <w:bottom w:val="nil"/>
            </w:tcBorders>
          </w:tcPr>
          <w:p w:rsidR="00000000" w:rsidRDefault="00000000">
            <w:pPr>
              <w:spacing w:line="240" w:lineRule="auto"/>
              <w:ind w:right="113"/>
              <w:jc w:val="right"/>
              <w:rPr>
                <w:sz w:val="21"/>
              </w:rPr>
            </w:pPr>
            <w:r>
              <w:rPr>
                <w:sz w:val="21"/>
              </w:rPr>
              <w:t>722</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护士数目</w:t>
            </w:r>
          </w:p>
        </w:tc>
        <w:tc>
          <w:tcPr>
            <w:tcW w:w="1094" w:type="dxa"/>
            <w:tcBorders>
              <w:top w:val="nil"/>
              <w:bottom w:val="nil"/>
            </w:tcBorders>
          </w:tcPr>
          <w:p w:rsidR="00000000" w:rsidRDefault="00000000">
            <w:pPr>
              <w:spacing w:line="240" w:lineRule="auto"/>
              <w:ind w:right="113"/>
              <w:jc w:val="right"/>
              <w:rPr>
                <w:sz w:val="21"/>
              </w:rPr>
            </w:pPr>
            <w:r>
              <w:rPr>
                <w:sz w:val="21"/>
              </w:rPr>
              <w:t>22 289</w:t>
            </w:r>
          </w:p>
        </w:tc>
        <w:tc>
          <w:tcPr>
            <w:tcW w:w="1199" w:type="dxa"/>
            <w:tcBorders>
              <w:top w:val="nil"/>
              <w:bottom w:val="nil"/>
            </w:tcBorders>
          </w:tcPr>
          <w:p w:rsidR="00000000" w:rsidRDefault="00000000">
            <w:pPr>
              <w:spacing w:line="240" w:lineRule="auto"/>
              <w:ind w:right="113"/>
              <w:jc w:val="right"/>
              <w:rPr>
                <w:sz w:val="21"/>
              </w:rPr>
            </w:pPr>
            <w:r>
              <w:rPr>
                <w:sz w:val="21"/>
              </w:rPr>
              <w:t>22 951</w:t>
            </w:r>
          </w:p>
        </w:tc>
        <w:tc>
          <w:tcPr>
            <w:tcW w:w="1199" w:type="dxa"/>
            <w:tcBorders>
              <w:top w:val="nil"/>
              <w:bottom w:val="nil"/>
            </w:tcBorders>
          </w:tcPr>
          <w:p w:rsidR="00000000" w:rsidRDefault="00000000">
            <w:pPr>
              <w:spacing w:line="240" w:lineRule="auto"/>
              <w:ind w:right="113"/>
              <w:jc w:val="right"/>
              <w:rPr>
                <w:sz w:val="21"/>
              </w:rPr>
            </w:pPr>
            <w:r>
              <w:rPr>
                <w:sz w:val="21"/>
              </w:rPr>
              <w:t>30 551</w:t>
            </w:r>
          </w:p>
        </w:tc>
        <w:tc>
          <w:tcPr>
            <w:tcW w:w="1199" w:type="dxa"/>
            <w:tcBorders>
              <w:top w:val="nil"/>
              <w:bottom w:val="nil"/>
            </w:tcBorders>
          </w:tcPr>
          <w:p w:rsidR="00000000" w:rsidRDefault="00000000">
            <w:pPr>
              <w:spacing w:line="240" w:lineRule="auto"/>
              <w:ind w:right="113"/>
              <w:jc w:val="right"/>
              <w:rPr>
                <w:sz w:val="21"/>
              </w:rPr>
            </w:pPr>
            <w:r>
              <w:rPr>
                <w:sz w:val="21"/>
              </w:rPr>
              <w:t>22 951</w:t>
            </w:r>
          </w:p>
        </w:tc>
        <w:tc>
          <w:tcPr>
            <w:tcW w:w="1200" w:type="dxa"/>
            <w:tcBorders>
              <w:top w:val="nil"/>
              <w:bottom w:val="nil"/>
            </w:tcBorders>
          </w:tcPr>
          <w:p w:rsidR="00000000" w:rsidRDefault="00000000">
            <w:pPr>
              <w:spacing w:line="240" w:lineRule="auto"/>
              <w:ind w:right="113"/>
              <w:jc w:val="right"/>
              <w:rPr>
                <w:sz w:val="21"/>
              </w:rPr>
            </w:pPr>
            <w:r>
              <w:rPr>
                <w:sz w:val="21"/>
              </w:rPr>
              <w:t>22 951</w:t>
            </w:r>
          </w:p>
        </w:tc>
      </w:tr>
      <w:tr w:rsidR="00000000">
        <w:tblPrEx>
          <w:tblCellMar>
            <w:top w:w="0" w:type="dxa"/>
            <w:bottom w:w="0" w:type="dxa"/>
          </w:tblCellMar>
        </w:tblPrEx>
        <w:tc>
          <w:tcPr>
            <w:tcW w:w="3465" w:type="dxa"/>
            <w:tcBorders>
              <w:top w:val="nil"/>
              <w:bottom w:val="nil"/>
            </w:tcBorders>
          </w:tcPr>
          <w:p w:rsidR="00000000" w:rsidRDefault="00000000">
            <w:pPr>
              <w:pStyle w:val="a2"/>
              <w:spacing w:line="240" w:lineRule="auto"/>
              <w:rPr>
                <w:szCs w:val="18"/>
              </w:rPr>
            </w:pPr>
            <w:r>
              <w:rPr>
                <w:rFonts w:hint="eastAsia"/>
              </w:rPr>
              <w:t>保健助理数目</w:t>
            </w:r>
          </w:p>
        </w:tc>
        <w:tc>
          <w:tcPr>
            <w:tcW w:w="1094" w:type="dxa"/>
            <w:tcBorders>
              <w:top w:val="nil"/>
              <w:bottom w:val="nil"/>
            </w:tcBorders>
          </w:tcPr>
          <w:p w:rsidR="00000000" w:rsidRDefault="00000000">
            <w:pPr>
              <w:spacing w:line="240" w:lineRule="auto"/>
              <w:ind w:right="113"/>
              <w:jc w:val="right"/>
              <w:rPr>
                <w:sz w:val="21"/>
              </w:rPr>
            </w:pPr>
            <w:r>
              <w:rPr>
                <w:sz w:val="21"/>
              </w:rPr>
              <w:t>6 633</w:t>
            </w:r>
          </w:p>
        </w:tc>
        <w:tc>
          <w:tcPr>
            <w:tcW w:w="1199" w:type="dxa"/>
            <w:tcBorders>
              <w:top w:val="nil"/>
              <w:bottom w:val="nil"/>
            </w:tcBorders>
          </w:tcPr>
          <w:p w:rsidR="00000000" w:rsidRDefault="00000000">
            <w:pPr>
              <w:spacing w:line="240" w:lineRule="auto"/>
              <w:ind w:right="113"/>
              <w:jc w:val="right"/>
              <w:rPr>
                <w:sz w:val="21"/>
              </w:rPr>
            </w:pPr>
            <w:r>
              <w:rPr>
                <w:sz w:val="21"/>
              </w:rPr>
              <w:t>6 815</w:t>
            </w:r>
          </w:p>
        </w:tc>
        <w:tc>
          <w:tcPr>
            <w:tcW w:w="1199" w:type="dxa"/>
            <w:tcBorders>
              <w:top w:val="nil"/>
              <w:bottom w:val="nil"/>
            </w:tcBorders>
          </w:tcPr>
          <w:p w:rsidR="00000000" w:rsidRDefault="00000000">
            <w:pPr>
              <w:spacing w:line="240" w:lineRule="auto"/>
              <w:ind w:right="113"/>
              <w:jc w:val="right"/>
              <w:rPr>
                <w:sz w:val="21"/>
              </w:rPr>
            </w:pPr>
          </w:p>
        </w:tc>
        <w:tc>
          <w:tcPr>
            <w:tcW w:w="1199" w:type="dxa"/>
            <w:tcBorders>
              <w:top w:val="nil"/>
              <w:bottom w:val="nil"/>
            </w:tcBorders>
          </w:tcPr>
          <w:p w:rsidR="00000000" w:rsidRDefault="00000000">
            <w:pPr>
              <w:spacing w:line="240" w:lineRule="auto"/>
              <w:ind w:right="113"/>
              <w:jc w:val="right"/>
              <w:rPr>
                <w:sz w:val="21"/>
              </w:rPr>
            </w:pPr>
            <w:r>
              <w:rPr>
                <w:sz w:val="21"/>
              </w:rPr>
              <w:t>6 815</w:t>
            </w:r>
          </w:p>
        </w:tc>
        <w:tc>
          <w:tcPr>
            <w:tcW w:w="1200" w:type="dxa"/>
            <w:tcBorders>
              <w:top w:val="nil"/>
              <w:bottom w:val="nil"/>
            </w:tcBorders>
          </w:tcPr>
          <w:p w:rsidR="00000000" w:rsidRDefault="00000000">
            <w:pPr>
              <w:spacing w:line="240" w:lineRule="auto"/>
              <w:ind w:right="113"/>
              <w:jc w:val="right"/>
              <w:rPr>
                <w:sz w:val="21"/>
              </w:rPr>
            </w:pPr>
            <w:r>
              <w:rPr>
                <w:sz w:val="21"/>
              </w:rPr>
              <w:t>6 815</w:t>
            </w:r>
          </w:p>
        </w:tc>
      </w:tr>
      <w:tr w:rsidR="00000000">
        <w:tblPrEx>
          <w:tblCellMar>
            <w:top w:w="0" w:type="dxa"/>
            <w:bottom w:w="0" w:type="dxa"/>
          </w:tblCellMar>
        </w:tblPrEx>
        <w:tc>
          <w:tcPr>
            <w:tcW w:w="3465" w:type="dxa"/>
            <w:tcBorders>
              <w:top w:val="nil"/>
            </w:tcBorders>
          </w:tcPr>
          <w:p w:rsidR="00000000" w:rsidRDefault="00000000">
            <w:pPr>
              <w:pStyle w:val="a2"/>
              <w:spacing w:line="240" w:lineRule="auto"/>
              <w:rPr>
                <w:szCs w:val="18"/>
              </w:rPr>
            </w:pPr>
            <w:r>
              <w:rPr>
                <w:rFonts w:hint="eastAsia"/>
              </w:rPr>
              <w:t>行政人员</w:t>
            </w:r>
          </w:p>
        </w:tc>
        <w:tc>
          <w:tcPr>
            <w:tcW w:w="1094" w:type="dxa"/>
            <w:tcBorders>
              <w:top w:val="nil"/>
            </w:tcBorders>
          </w:tcPr>
          <w:p w:rsidR="00000000" w:rsidRDefault="00000000">
            <w:pPr>
              <w:spacing w:line="240" w:lineRule="auto"/>
              <w:ind w:right="113"/>
              <w:jc w:val="right"/>
              <w:rPr>
                <w:sz w:val="21"/>
              </w:rPr>
            </w:pPr>
            <w:r>
              <w:rPr>
                <w:sz w:val="21"/>
              </w:rPr>
              <w:t>22 319</w:t>
            </w:r>
          </w:p>
        </w:tc>
        <w:tc>
          <w:tcPr>
            <w:tcW w:w="1199" w:type="dxa"/>
            <w:tcBorders>
              <w:top w:val="nil"/>
            </w:tcBorders>
          </w:tcPr>
          <w:p w:rsidR="00000000" w:rsidRDefault="00000000">
            <w:pPr>
              <w:spacing w:line="240" w:lineRule="auto"/>
              <w:ind w:right="113"/>
              <w:jc w:val="right"/>
              <w:rPr>
                <w:sz w:val="21"/>
              </w:rPr>
            </w:pPr>
            <w:r>
              <w:rPr>
                <w:sz w:val="21"/>
              </w:rPr>
              <w:t>63 656</w:t>
            </w:r>
          </w:p>
        </w:tc>
        <w:tc>
          <w:tcPr>
            <w:tcW w:w="1199" w:type="dxa"/>
            <w:tcBorders>
              <w:top w:val="nil"/>
            </w:tcBorders>
          </w:tcPr>
          <w:p w:rsidR="00000000" w:rsidRDefault="00000000">
            <w:pPr>
              <w:spacing w:line="240" w:lineRule="auto"/>
              <w:ind w:right="113"/>
              <w:jc w:val="right"/>
              <w:rPr>
                <w:sz w:val="21"/>
              </w:rPr>
            </w:pPr>
            <w:r>
              <w:rPr>
                <w:sz w:val="21"/>
              </w:rPr>
              <w:t>64 722</w:t>
            </w:r>
          </w:p>
        </w:tc>
        <w:tc>
          <w:tcPr>
            <w:tcW w:w="1199" w:type="dxa"/>
            <w:tcBorders>
              <w:top w:val="nil"/>
            </w:tcBorders>
          </w:tcPr>
          <w:p w:rsidR="00000000" w:rsidRDefault="00000000">
            <w:pPr>
              <w:spacing w:line="240" w:lineRule="auto"/>
              <w:ind w:right="113"/>
              <w:jc w:val="right"/>
              <w:rPr>
                <w:sz w:val="21"/>
              </w:rPr>
            </w:pPr>
            <w:r>
              <w:rPr>
                <w:sz w:val="21"/>
              </w:rPr>
              <w:t>63 860</w:t>
            </w:r>
          </w:p>
        </w:tc>
        <w:tc>
          <w:tcPr>
            <w:tcW w:w="1200" w:type="dxa"/>
            <w:tcBorders>
              <w:top w:val="nil"/>
            </w:tcBorders>
          </w:tcPr>
          <w:p w:rsidR="00000000" w:rsidRDefault="00000000">
            <w:pPr>
              <w:spacing w:line="240" w:lineRule="auto"/>
              <w:ind w:right="113"/>
              <w:jc w:val="right"/>
              <w:rPr>
                <w:sz w:val="21"/>
              </w:rPr>
            </w:pPr>
            <w:r>
              <w:rPr>
                <w:sz w:val="21"/>
              </w:rPr>
              <w:t>63 830</w:t>
            </w:r>
          </w:p>
        </w:tc>
      </w:tr>
    </w:tbl>
    <w:p w:rsidR="00000000" w:rsidRDefault="00000000">
      <w:pPr>
        <w:rPr>
          <w:rFonts w:hint="eastAsia"/>
        </w:rPr>
      </w:pPr>
    </w:p>
    <w:p w:rsidR="00000000" w:rsidRDefault="00000000">
      <w:pPr>
        <w:pStyle w:val="Heading3"/>
        <w:spacing w:after="120"/>
        <w:rPr>
          <w:rFonts w:hint="eastAsia"/>
        </w:rPr>
      </w:pPr>
      <w:r>
        <w:rPr>
          <w:rFonts w:hint="eastAsia"/>
        </w:rPr>
        <w:t>医院统计数字，</w:t>
      </w:r>
      <w:r>
        <w:rPr>
          <w:rFonts w:hint="eastAsia"/>
        </w:rPr>
        <w:t>1996</w:t>
      </w:r>
      <w:r>
        <w:rPr>
          <w:rFonts w:hint="eastAsia"/>
        </w:rPr>
        <w:t>年至</w:t>
      </w:r>
      <w:r>
        <w:rPr>
          <w:rFonts w:hint="eastAsia"/>
        </w:rPr>
        <w:t>2001</w:t>
      </w:r>
      <w:r>
        <w:rPr>
          <w:rFonts w:hint="eastAsia"/>
        </w:rPr>
        <w:t>年</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1"/>
        <w:gridCol w:w="863"/>
        <w:gridCol w:w="1149"/>
        <w:gridCol w:w="1094"/>
        <w:gridCol w:w="1083"/>
        <w:gridCol w:w="1111"/>
        <w:gridCol w:w="1209"/>
        <w:gridCol w:w="1160"/>
        <w:gridCol w:w="1013"/>
      </w:tblGrid>
      <w:tr w:rsidR="00000000">
        <w:tblPrEx>
          <w:tblCellMar>
            <w:top w:w="0" w:type="dxa"/>
            <w:bottom w:w="0" w:type="dxa"/>
          </w:tblCellMar>
        </w:tblPrEx>
        <w:tc>
          <w:tcPr>
            <w:tcW w:w="413" w:type="pct"/>
          </w:tcPr>
          <w:p w:rsidR="00000000" w:rsidRDefault="00000000">
            <w:pPr>
              <w:pStyle w:val="a2"/>
              <w:spacing w:line="240" w:lineRule="auto"/>
              <w:jc w:val="center"/>
              <w:rPr>
                <w:rFonts w:hint="eastAsia"/>
                <w:spacing w:val="0"/>
              </w:rPr>
            </w:pPr>
            <w:r>
              <w:rPr>
                <w:rFonts w:hint="eastAsia"/>
                <w:spacing w:val="0"/>
              </w:rPr>
              <w:t>年份</w:t>
            </w:r>
          </w:p>
        </w:tc>
        <w:tc>
          <w:tcPr>
            <w:tcW w:w="456" w:type="pct"/>
          </w:tcPr>
          <w:p w:rsidR="00000000" w:rsidRDefault="00000000">
            <w:pPr>
              <w:pStyle w:val="a2"/>
              <w:spacing w:line="240" w:lineRule="auto"/>
              <w:jc w:val="center"/>
              <w:rPr>
                <w:rFonts w:hint="eastAsia"/>
                <w:spacing w:val="0"/>
              </w:rPr>
            </w:pPr>
            <w:r>
              <w:rPr>
                <w:rFonts w:hint="eastAsia"/>
                <w:spacing w:val="0"/>
              </w:rPr>
              <w:t>病床</w:t>
            </w:r>
            <w:r>
              <w:rPr>
                <w:spacing w:val="0"/>
              </w:rPr>
              <w:br/>
            </w:r>
            <w:r>
              <w:rPr>
                <w:rFonts w:hint="eastAsia"/>
                <w:spacing w:val="0"/>
              </w:rPr>
              <w:t>数目</w:t>
            </w:r>
          </w:p>
        </w:tc>
        <w:tc>
          <w:tcPr>
            <w:tcW w:w="607" w:type="pct"/>
          </w:tcPr>
          <w:p w:rsidR="00000000" w:rsidRDefault="00000000">
            <w:pPr>
              <w:pStyle w:val="a2"/>
              <w:spacing w:line="240" w:lineRule="auto"/>
              <w:jc w:val="center"/>
              <w:rPr>
                <w:rFonts w:hint="eastAsia"/>
                <w:spacing w:val="0"/>
              </w:rPr>
            </w:pPr>
            <w:r>
              <w:rPr>
                <w:rFonts w:hint="eastAsia"/>
                <w:spacing w:val="0"/>
              </w:rPr>
              <w:t>收治病人数目</w:t>
            </w:r>
          </w:p>
        </w:tc>
        <w:tc>
          <w:tcPr>
            <w:tcW w:w="578" w:type="pct"/>
          </w:tcPr>
          <w:p w:rsidR="00000000" w:rsidRDefault="00000000">
            <w:pPr>
              <w:pStyle w:val="a2"/>
              <w:spacing w:line="240" w:lineRule="auto"/>
              <w:jc w:val="center"/>
              <w:rPr>
                <w:rFonts w:hint="eastAsia"/>
                <w:spacing w:val="0"/>
              </w:rPr>
            </w:pPr>
            <w:r>
              <w:rPr>
                <w:rFonts w:hint="eastAsia"/>
                <w:spacing w:val="0"/>
              </w:rPr>
              <w:t>外科手术数目</w:t>
            </w:r>
          </w:p>
        </w:tc>
        <w:tc>
          <w:tcPr>
            <w:tcW w:w="572" w:type="pct"/>
          </w:tcPr>
          <w:p w:rsidR="00000000" w:rsidRDefault="00000000">
            <w:pPr>
              <w:pStyle w:val="a2"/>
              <w:spacing w:line="240" w:lineRule="auto"/>
              <w:jc w:val="center"/>
              <w:rPr>
                <w:rFonts w:hint="eastAsia"/>
                <w:spacing w:val="0"/>
              </w:rPr>
            </w:pPr>
            <w:r>
              <w:rPr>
                <w:rFonts w:hint="eastAsia"/>
                <w:spacing w:val="0"/>
              </w:rPr>
              <w:t>出生婴儿</w:t>
            </w:r>
          </w:p>
        </w:tc>
        <w:tc>
          <w:tcPr>
            <w:tcW w:w="587" w:type="pct"/>
          </w:tcPr>
          <w:p w:rsidR="00000000" w:rsidRDefault="00000000">
            <w:pPr>
              <w:pStyle w:val="a2"/>
              <w:spacing w:line="240" w:lineRule="auto"/>
              <w:jc w:val="center"/>
              <w:rPr>
                <w:rFonts w:hint="eastAsia"/>
                <w:spacing w:val="0"/>
              </w:rPr>
            </w:pPr>
            <w:r>
              <w:rPr>
                <w:rFonts w:hint="eastAsia"/>
                <w:spacing w:val="0"/>
              </w:rPr>
              <w:t>X</w:t>
            </w:r>
            <w:r>
              <w:rPr>
                <w:rFonts w:hint="eastAsia"/>
                <w:spacing w:val="0"/>
              </w:rPr>
              <w:t>线检查次数</w:t>
            </w:r>
          </w:p>
        </w:tc>
        <w:tc>
          <w:tcPr>
            <w:tcW w:w="639" w:type="pct"/>
          </w:tcPr>
          <w:p w:rsidR="00000000" w:rsidRDefault="00000000">
            <w:pPr>
              <w:pStyle w:val="a2"/>
              <w:spacing w:line="240" w:lineRule="auto"/>
              <w:jc w:val="center"/>
              <w:rPr>
                <w:rFonts w:hint="eastAsia"/>
                <w:spacing w:val="0"/>
              </w:rPr>
            </w:pPr>
            <w:r>
              <w:rPr>
                <w:rFonts w:hint="eastAsia"/>
                <w:spacing w:val="0"/>
              </w:rPr>
              <w:t>验血次数</w:t>
            </w:r>
          </w:p>
        </w:tc>
        <w:tc>
          <w:tcPr>
            <w:tcW w:w="613" w:type="pct"/>
          </w:tcPr>
          <w:p w:rsidR="00000000" w:rsidRDefault="00000000">
            <w:pPr>
              <w:pStyle w:val="a2"/>
              <w:spacing w:line="240" w:lineRule="auto"/>
              <w:jc w:val="center"/>
              <w:rPr>
                <w:rFonts w:hint="eastAsia"/>
                <w:spacing w:val="0"/>
              </w:rPr>
            </w:pPr>
            <w:r>
              <w:rPr>
                <w:rFonts w:hint="eastAsia"/>
                <w:spacing w:val="0"/>
              </w:rPr>
              <w:t>医疗检查次数</w:t>
            </w:r>
          </w:p>
        </w:tc>
        <w:tc>
          <w:tcPr>
            <w:tcW w:w="536" w:type="pct"/>
          </w:tcPr>
          <w:p w:rsidR="00000000" w:rsidRDefault="00000000">
            <w:pPr>
              <w:pStyle w:val="a2"/>
              <w:spacing w:line="240" w:lineRule="auto"/>
              <w:jc w:val="center"/>
              <w:rPr>
                <w:rFonts w:hint="eastAsia"/>
                <w:spacing w:val="0"/>
              </w:rPr>
            </w:pPr>
            <w:r>
              <w:rPr>
                <w:rFonts w:hint="eastAsia"/>
                <w:spacing w:val="0"/>
              </w:rPr>
              <w:t>死亡</w:t>
            </w:r>
            <w:r>
              <w:rPr>
                <w:spacing w:val="0"/>
              </w:rPr>
              <w:br/>
            </w:r>
            <w:r>
              <w:rPr>
                <w:rFonts w:hint="eastAsia"/>
                <w:spacing w:val="0"/>
              </w:rPr>
              <w:t>人数</w:t>
            </w:r>
          </w:p>
        </w:tc>
      </w:tr>
      <w:tr w:rsidR="00000000">
        <w:tblPrEx>
          <w:tblCellMar>
            <w:top w:w="0" w:type="dxa"/>
            <w:bottom w:w="0" w:type="dxa"/>
          </w:tblCellMar>
        </w:tblPrEx>
        <w:tc>
          <w:tcPr>
            <w:tcW w:w="413" w:type="pct"/>
            <w:tcBorders>
              <w:bottom w:val="nil"/>
            </w:tcBorders>
          </w:tcPr>
          <w:p w:rsidR="00000000" w:rsidRDefault="00000000">
            <w:pPr>
              <w:pStyle w:val="a2"/>
              <w:spacing w:line="240" w:lineRule="auto"/>
              <w:rPr>
                <w:spacing w:val="0"/>
              </w:rPr>
            </w:pPr>
            <w:r>
              <w:rPr>
                <w:spacing w:val="0"/>
              </w:rPr>
              <w:t>1996</w:t>
            </w:r>
          </w:p>
        </w:tc>
        <w:tc>
          <w:tcPr>
            <w:tcW w:w="456" w:type="pct"/>
            <w:tcBorders>
              <w:bottom w:val="nil"/>
            </w:tcBorders>
          </w:tcPr>
          <w:p w:rsidR="00000000" w:rsidRDefault="00000000">
            <w:pPr>
              <w:pStyle w:val="a2"/>
              <w:spacing w:line="240" w:lineRule="auto"/>
              <w:jc w:val="right"/>
              <w:rPr>
                <w:spacing w:val="0"/>
              </w:rPr>
            </w:pPr>
            <w:r>
              <w:rPr>
                <w:spacing w:val="0"/>
              </w:rPr>
              <w:t>20 897</w:t>
            </w:r>
          </w:p>
        </w:tc>
        <w:tc>
          <w:tcPr>
            <w:tcW w:w="607" w:type="pct"/>
            <w:tcBorders>
              <w:bottom w:val="nil"/>
            </w:tcBorders>
          </w:tcPr>
          <w:p w:rsidR="00000000" w:rsidRDefault="00000000">
            <w:pPr>
              <w:pStyle w:val="a2"/>
              <w:spacing w:line="240" w:lineRule="auto"/>
              <w:jc w:val="right"/>
              <w:rPr>
                <w:spacing w:val="0"/>
              </w:rPr>
            </w:pPr>
            <w:r>
              <w:rPr>
                <w:spacing w:val="0"/>
              </w:rPr>
              <w:t>432 287</w:t>
            </w:r>
          </w:p>
        </w:tc>
        <w:tc>
          <w:tcPr>
            <w:tcW w:w="578" w:type="pct"/>
            <w:tcBorders>
              <w:bottom w:val="nil"/>
            </w:tcBorders>
          </w:tcPr>
          <w:p w:rsidR="00000000" w:rsidRDefault="00000000">
            <w:pPr>
              <w:pStyle w:val="a2"/>
              <w:spacing w:line="240" w:lineRule="auto"/>
              <w:jc w:val="right"/>
              <w:rPr>
                <w:spacing w:val="0"/>
              </w:rPr>
            </w:pPr>
            <w:r>
              <w:rPr>
                <w:spacing w:val="0"/>
              </w:rPr>
              <w:t>92 728</w:t>
            </w:r>
          </w:p>
        </w:tc>
        <w:tc>
          <w:tcPr>
            <w:tcW w:w="572" w:type="pct"/>
            <w:tcBorders>
              <w:bottom w:val="nil"/>
            </w:tcBorders>
          </w:tcPr>
          <w:p w:rsidR="00000000" w:rsidRDefault="00000000">
            <w:pPr>
              <w:pStyle w:val="a2"/>
              <w:spacing w:line="240" w:lineRule="auto"/>
              <w:jc w:val="right"/>
              <w:rPr>
                <w:spacing w:val="0"/>
              </w:rPr>
            </w:pPr>
            <w:r>
              <w:rPr>
                <w:spacing w:val="0"/>
              </w:rPr>
              <w:t>1 023 202</w:t>
            </w:r>
          </w:p>
        </w:tc>
        <w:tc>
          <w:tcPr>
            <w:tcW w:w="587" w:type="pct"/>
            <w:tcBorders>
              <w:bottom w:val="nil"/>
            </w:tcBorders>
          </w:tcPr>
          <w:p w:rsidR="00000000" w:rsidRDefault="00000000">
            <w:pPr>
              <w:pStyle w:val="a2"/>
              <w:spacing w:line="240" w:lineRule="auto"/>
              <w:jc w:val="right"/>
              <w:rPr>
                <w:spacing w:val="0"/>
              </w:rPr>
            </w:pPr>
            <w:r>
              <w:rPr>
                <w:spacing w:val="0"/>
              </w:rPr>
              <w:t>1 278 629</w:t>
            </w:r>
          </w:p>
        </w:tc>
        <w:tc>
          <w:tcPr>
            <w:tcW w:w="639" w:type="pct"/>
            <w:tcBorders>
              <w:bottom w:val="nil"/>
            </w:tcBorders>
          </w:tcPr>
          <w:p w:rsidR="00000000" w:rsidRDefault="00000000">
            <w:pPr>
              <w:pStyle w:val="a2"/>
              <w:spacing w:line="240" w:lineRule="auto"/>
              <w:jc w:val="right"/>
              <w:rPr>
                <w:spacing w:val="0"/>
              </w:rPr>
            </w:pPr>
            <w:r>
              <w:rPr>
                <w:spacing w:val="0"/>
              </w:rPr>
              <w:t>7 202 088</w:t>
            </w:r>
          </w:p>
        </w:tc>
        <w:tc>
          <w:tcPr>
            <w:tcW w:w="613" w:type="pct"/>
            <w:tcBorders>
              <w:bottom w:val="nil"/>
            </w:tcBorders>
          </w:tcPr>
          <w:p w:rsidR="00000000" w:rsidRDefault="00000000">
            <w:pPr>
              <w:pStyle w:val="a2"/>
              <w:spacing w:line="240" w:lineRule="auto"/>
              <w:jc w:val="right"/>
              <w:rPr>
                <w:spacing w:val="0"/>
              </w:rPr>
            </w:pPr>
            <w:r>
              <w:rPr>
                <w:spacing w:val="0"/>
              </w:rPr>
              <w:t>419 664</w:t>
            </w:r>
          </w:p>
        </w:tc>
        <w:tc>
          <w:tcPr>
            <w:tcW w:w="536" w:type="pct"/>
            <w:tcBorders>
              <w:bottom w:val="nil"/>
            </w:tcBorders>
          </w:tcPr>
          <w:p w:rsidR="00000000" w:rsidRDefault="00000000">
            <w:pPr>
              <w:pStyle w:val="a2"/>
              <w:spacing w:line="240" w:lineRule="auto"/>
              <w:jc w:val="right"/>
              <w:rPr>
                <w:spacing w:val="0"/>
              </w:rPr>
            </w:pPr>
            <w:r>
              <w:rPr>
                <w:spacing w:val="0"/>
              </w:rPr>
              <w:t>7 994</w:t>
            </w:r>
          </w:p>
        </w:tc>
      </w:tr>
      <w:tr w:rsidR="00000000">
        <w:tblPrEx>
          <w:tblCellMar>
            <w:top w:w="0" w:type="dxa"/>
            <w:bottom w:w="0" w:type="dxa"/>
          </w:tblCellMar>
        </w:tblPrEx>
        <w:tc>
          <w:tcPr>
            <w:tcW w:w="413" w:type="pct"/>
            <w:tcBorders>
              <w:top w:val="nil"/>
              <w:bottom w:val="nil"/>
            </w:tcBorders>
          </w:tcPr>
          <w:p w:rsidR="00000000" w:rsidRDefault="00000000">
            <w:pPr>
              <w:pStyle w:val="a2"/>
              <w:spacing w:line="240" w:lineRule="auto"/>
              <w:rPr>
                <w:spacing w:val="0"/>
              </w:rPr>
            </w:pPr>
            <w:r>
              <w:rPr>
                <w:spacing w:val="0"/>
              </w:rPr>
              <w:t>1997</w:t>
            </w:r>
          </w:p>
        </w:tc>
        <w:tc>
          <w:tcPr>
            <w:tcW w:w="456" w:type="pct"/>
            <w:tcBorders>
              <w:top w:val="nil"/>
              <w:bottom w:val="nil"/>
            </w:tcBorders>
          </w:tcPr>
          <w:p w:rsidR="00000000" w:rsidRDefault="00000000">
            <w:pPr>
              <w:pStyle w:val="a2"/>
              <w:spacing w:line="240" w:lineRule="auto"/>
              <w:jc w:val="right"/>
              <w:rPr>
                <w:spacing w:val="0"/>
              </w:rPr>
            </w:pPr>
            <w:r>
              <w:rPr>
                <w:spacing w:val="0"/>
              </w:rPr>
              <w:t>20 926</w:t>
            </w:r>
          </w:p>
        </w:tc>
        <w:tc>
          <w:tcPr>
            <w:tcW w:w="607" w:type="pct"/>
            <w:tcBorders>
              <w:top w:val="nil"/>
              <w:bottom w:val="nil"/>
            </w:tcBorders>
          </w:tcPr>
          <w:p w:rsidR="00000000" w:rsidRDefault="00000000">
            <w:pPr>
              <w:pStyle w:val="a2"/>
              <w:spacing w:line="240" w:lineRule="auto"/>
              <w:jc w:val="right"/>
              <w:rPr>
                <w:spacing w:val="0"/>
              </w:rPr>
            </w:pPr>
            <w:r>
              <w:rPr>
                <w:spacing w:val="0"/>
              </w:rPr>
              <w:t>413 802</w:t>
            </w:r>
          </w:p>
        </w:tc>
        <w:tc>
          <w:tcPr>
            <w:tcW w:w="578" w:type="pct"/>
            <w:tcBorders>
              <w:top w:val="nil"/>
              <w:bottom w:val="nil"/>
            </w:tcBorders>
          </w:tcPr>
          <w:p w:rsidR="00000000" w:rsidRDefault="00000000">
            <w:pPr>
              <w:pStyle w:val="a2"/>
              <w:spacing w:line="240" w:lineRule="auto"/>
              <w:jc w:val="right"/>
              <w:rPr>
                <w:spacing w:val="0"/>
              </w:rPr>
            </w:pPr>
            <w:r>
              <w:rPr>
                <w:spacing w:val="0"/>
              </w:rPr>
              <w:t>108 716</w:t>
            </w:r>
          </w:p>
        </w:tc>
        <w:tc>
          <w:tcPr>
            <w:tcW w:w="572" w:type="pct"/>
            <w:tcBorders>
              <w:top w:val="nil"/>
              <w:bottom w:val="nil"/>
            </w:tcBorders>
          </w:tcPr>
          <w:p w:rsidR="00000000" w:rsidRDefault="00000000">
            <w:pPr>
              <w:pStyle w:val="a2"/>
              <w:spacing w:line="240" w:lineRule="auto"/>
              <w:jc w:val="right"/>
              <w:rPr>
                <w:spacing w:val="0"/>
              </w:rPr>
            </w:pPr>
            <w:r>
              <w:rPr>
                <w:spacing w:val="0"/>
              </w:rPr>
              <w:t>99 079</w:t>
            </w:r>
          </w:p>
        </w:tc>
        <w:tc>
          <w:tcPr>
            <w:tcW w:w="587" w:type="pct"/>
            <w:tcBorders>
              <w:top w:val="nil"/>
              <w:bottom w:val="nil"/>
            </w:tcBorders>
          </w:tcPr>
          <w:p w:rsidR="00000000" w:rsidRDefault="00000000">
            <w:pPr>
              <w:pStyle w:val="a2"/>
              <w:spacing w:line="240" w:lineRule="auto"/>
              <w:jc w:val="right"/>
              <w:rPr>
                <w:spacing w:val="0"/>
              </w:rPr>
            </w:pPr>
            <w:r>
              <w:rPr>
                <w:spacing w:val="0"/>
              </w:rPr>
              <w:t>1 201 166</w:t>
            </w:r>
          </w:p>
        </w:tc>
        <w:tc>
          <w:tcPr>
            <w:tcW w:w="639" w:type="pct"/>
            <w:tcBorders>
              <w:top w:val="nil"/>
              <w:bottom w:val="nil"/>
            </w:tcBorders>
          </w:tcPr>
          <w:p w:rsidR="00000000" w:rsidRDefault="00000000">
            <w:pPr>
              <w:pStyle w:val="a2"/>
              <w:spacing w:line="240" w:lineRule="auto"/>
              <w:jc w:val="right"/>
              <w:rPr>
                <w:spacing w:val="0"/>
              </w:rPr>
            </w:pPr>
            <w:r>
              <w:rPr>
                <w:spacing w:val="0"/>
              </w:rPr>
              <w:t>7 369 294</w:t>
            </w:r>
          </w:p>
        </w:tc>
        <w:tc>
          <w:tcPr>
            <w:tcW w:w="613" w:type="pct"/>
            <w:tcBorders>
              <w:top w:val="nil"/>
              <w:bottom w:val="nil"/>
            </w:tcBorders>
          </w:tcPr>
          <w:p w:rsidR="00000000" w:rsidRDefault="00000000">
            <w:pPr>
              <w:pStyle w:val="a2"/>
              <w:spacing w:line="240" w:lineRule="auto"/>
              <w:jc w:val="right"/>
              <w:rPr>
                <w:spacing w:val="0"/>
              </w:rPr>
            </w:pPr>
            <w:r>
              <w:rPr>
                <w:spacing w:val="0"/>
              </w:rPr>
              <w:t>468 722</w:t>
            </w:r>
          </w:p>
        </w:tc>
        <w:tc>
          <w:tcPr>
            <w:tcW w:w="536" w:type="pct"/>
            <w:tcBorders>
              <w:top w:val="nil"/>
              <w:bottom w:val="nil"/>
            </w:tcBorders>
          </w:tcPr>
          <w:p w:rsidR="00000000" w:rsidRDefault="00000000">
            <w:pPr>
              <w:pStyle w:val="a2"/>
              <w:spacing w:line="240" w:lineRule="auto"/>
              <w:jc w:val="right"/>
              <w:rPr>
                <w:spacing w:val="0"/>
              </w:rPr>
            </w:pPr>
            <w:r>
              <w:rPr>
                <w:spacing w:val="0"/>
              </w:rPr>
              <w:t>7 716</w:t>
            </w:r>
          </w:p>
        </w:tc>
      </w:tr>
      <w:tr w:rsidR="00000000">
        <w:tblPrEx>
          <w:tblCellMar>
            <w:top w:w="0" w:type="dxa"/>
            <w:bottom w:w="0" w:type="dxa"/>
          </w:tblCellMar>
        </w:tblPrEx>
        <w:tc>
          <w:tcPr>
            <w:tcW w:w="413" w:type="pct"/>
            <w:tcBorders>
              <w:top w:val="nil"/>
              <w:bottom w:val="nil"/>
            </w:tcBorders>
          </w:tcPr>
          <w:p w:rsidR="00000000" w:rsidRDefault="00000000">
            <w:pPr>
              <w:pStyle w:val="a2"/>
              <w:spacing w:line="240" w:lineRule="auto"/>
              <w:rPr>
                <w:spacing w:val="0"/>
              </w:rPr>
            </w:pPr>
            <w:r>
              <w:rPr>
                <w:spacing w:val="0"/>
              </w:rPr>
              <w:t>1998</w:t>
            </w:r>
          </w:p>
        </w:tc>
        <w:tc>
          <w:tcPr>
            <w:tcW w:w="456" w:type="pct"/>
            <w:tcBorders>
              <w:top w:val="nil"/>
              <w:bottom w:val="nil"/>
            </w:tcBorders>
          </w:tcPr>
          <w:p w:rsidR="00000000" w:rsidRDefault="00000000">
            <w:pPr>
              <w:pStyle w:val="a2"/>
              <w:spacing w:line="240" w:lineRule="auto"/>
              <w:jc w:val="right"/>
              <w:rPr>
                <w:spacing w:val="0"/>
              </w:rPr>
            </w:pPr>
            <w:r>
              <w:rPr>
                <w:spacing w:val="0"/>
              </w:rPr>
              <w:t>20 325</w:t>
            </w:r>
          </w:p>
        </w:tc>
        <w:tc>
          <w:tcPr>
            <w:tcW w:w="607" w:type="pct"/>
            <w:tcBorders>
              <w:top w:val="nil"/>
              <w:bottom w:val="nil"/>
            </w:tcBorders>
          </w:tcPr>
          <w:p w:rsidR="00000000" w:rsidRDefault="00000000">
            <w:pPr>
              <w:pStyle w:val="a2"/>
              <w:spacing w:line="240" w:lineRule="auto"/>
              <w:jc w:val="right"/>
              <w:rPr>
                <w:spacing w:val="0"/>
              </w:rPr>
            </w:pPr>
            <w:r>
              <w:rPr>
                <w:spacing w:val="0"/>
              </w:rPr>
              <w:t>405 315</w:t>
            </w:r>
          </w:p>
        </w:tc>
        <w:tc>
          <w:tcPr>
            <w:tcW w:w="578" w:type="pct"/>
            <w:tcBorders>
              <w:top w:val="nil"/>
              <w:bottom w:val="nil"/>
            </w:tcBorders>
          </w:tcPr>
          <w:p w:rsidR="00000000" w:rsidRDefault="00000000">
            <w:pPr>
              <w:pStyle w:val="a2"/>
              <w:spacing w:line="240" w:lineRule="auto"/>
              <w:jc w:val="right"/>
              <w:rPr>
                <w:spacing w:val="0"/>
              </w:rPr>
            </w:pPr>
            <w:r>
              <w:rPr>
                <w:spacing w:val="0"/>
              </w:rPr>
              <w:t>11 886</w:t>
            </w:r>
          </w:p>
        </w:tc>
        <w:tc>
          <w:tcPr>
            <w:tcW w:w="572" w:type="pct"/>
            <w:tcBorders>
              <w:top w:val="nil"/>
              <w:bottom w:val="nil"/>
            </w:tcBorders>
          </w:tcPr>
          <w:p w:rsidR="00000000" w:rsidRDefault="00000000">
            <w:pPr>
              <w:pStyle w:val="a2"/>
              <w:spacing w:line="240" w:lineRule="auto"/>
              <w:jc w:val="right"/>
              <w:rPr>
                <w:spacing w:val="0"/>
              </w:rPr>
            </w:pPr>
            <w:r>
              <w:rPr>
                <w:spacing w:val="0"/>
              </w:rPr>
              <w:t>94 878</w:t>
            </w:r>
          </w:p>
        </w:tc>
        <w:tc>
          <w:tcPr>
            <w:tcW w:w="587" w:type="pct"/>
            <w:tcBorders>
              <w:top w:val="nil"/>
              <w:bottom w:val="nil"/>
            </w:tcBorders>
          </w:tcPr>
          <w:p w:rsidR="00000000" w:rsidRDefault="00000000">
            <w:pPr>
              <w:pStyle w:val="a2"/>
              <w:spacing w:line="240" w:lineRule="auto"/>
              <w:jc w:val="right"/>
              <w:rPr>
                <w:spacing w:val="0"/>
              </w:rPr>
            </w:pPr>
            <w:r>
              <w:rPr>
                <w:spacing w:val="0"/>
              </w:rPr>
              <w:t>1 573 575</w:t>
            </w:r>
          </w:p>
        </w:tc>
        <w:tc>
          <w:tcPr>
            <w:tcW w:w="639" w:type="pct"/>
            <w:tcBorders>
              <w:top w:val="nil"/>
              <w:bottom w:val="nil"/>
            </w:tcBorders>
          </w:tcPr>
          <w:p w:rsidR="00000000" w:rsidRDefault="00000000">
            <w:pPr>
              <w:pStyle w:val="a2"/>
              <w:spacing w:line="240" w:lineRule="auto"/>
              <w:jc w:val="right"/>
              <w:rPr>
                <w:spacing w:val="0"/>
              </w:rPr>
            </w:pPr>
            <w:r>
              <w:rPr>
                <w:spacing w:val="0"/>
              </w:rPr>
              <w:t>8 002 425</w:t>
            </w:r>
          </w:p>
        </w:tc>
        <w:tc>
          <w:tcPr>
            <w:tcW w:w="613" w:type="pct"/>
            <w:tcBorders>
              <w:top w:val="nil"/>
              <w:bottom w:val="nil"/>
            </w:tcBorders>
          </w:tcPr>
          <w:p w:rsidR="00000000" w:rsidRDefault="00000000">
            <w:pPr>
              <w:pStyle w:val="a2"/>
              <w:spacing w:line="240" w:lineRule="auto"/>
              <w:jc w:val="right"/>
              <w:rPr>
                <w:spacing w:val="0"/>
              </w:rPr>
            </w:pPr>
            <w:r>
              <w:rPr>
                <w:spacing w:val="0"/>
              </w:rPr>
              <w:t>556 603</w:t>
            </w:r>
          </w:p>
        </w:tc>
        <w:tc>
          <w:tcPr>
            <w:tcW w:w="536" w:type="pct"/>
            <w:tcBorders>
              <w:top w:val="nil"/>
              <w:bottom w:val="nil"/>
            </w:tcBorders>
          </w:tcPr>
          <w:p w:rsidR="00000000" w:rsidRDefault="00000000">
            <w:pPr>
              <w:pStyle w:val="a2"/>
              <w:spacing w:line="240" w:lineRule="auto"/>
              <w:jc w:val="right"/>
              <w:rPr>
                <w:spacing w:val="0"/>
              </w:rPr>
            </w:pPr>
            <w:r>
              <w:rPr>
                <w:spacing w:val="0"/>
              </w:rPr>
              <w:t>8 212</w:t>
            </w:r>
          </w:p>
        </w:tc>
      </w:tr>
      <w:tr w:rsidR="00000000">
        <w:tblPrEx>
          <w:tblCellMar>
            <w:top w:w="0" w:type="dxa"/>
            <w:bottom w:w="0" w:type="dxa"/>
          </w:tblCellMar>
        </w:tblPrEx>
        <w:tc>
          <w:tcPr>
            <w:tcW w:w="413" w:type="pct"/>
            <w:tcBorders>
              <w:top w:val="nil"/>
              <w:bottom w:val="nil"/>
            </w:tcBorders>
          </w:tcPr>
          <w:p w:rsidR="00000000" w:rsidRDefault="00000000">
            <w:pPr>
              <w:pStyle w:val="a2"/>
              <w:spacing w:line="240" w:lineRule="auto"/>
              <w:rPr>
                <w:spacing w:val="0"/>
              </w:rPr>
            </w:pPr>
            <w:r>
              <w:rPr>
                <w:spacing w:val="0"/>
              </w:rPr>
              <w:t>1999</w:t>
            </w:r>
          </w:p>
        </w:tc>
        <w:tc>
          <w:tcPr>
            <w:tcW w:w="456" w:type="pct"/>
            <w:tcBorders>
              <w:top w:val="nil"/>
              <w:bottom w:val="nil"/>
            </w:tcBorders>
          </w:tcPr>
          <w:p w:rsidR="00000000" w:rsidRDefault="00000000">
            <w:pPr>
              <w:pStyle w:val="a2"/>
              <w:spacing w:line="240" w:lineRule="auto"/>
              <w:jc w:val="right"/>
              <w:rPr>
                <w:spacing w:val="0"/>
              </w:rPr>
            </w:pPr>
            <w:r>
              <w:rPr>
                <w:spacing w:val="0"/>
              </w:rPr>
              <w:t>20 743</w:t>
            </w:r>
          </w:p>
        </w:tc>
        <w:tc>
          <w:tcPr>
            <w:tcW w:w="607" w:type="pct"/>
            <w:tcBorders>
              <w:top w:val="nil"/>
              <w:bottom w:val="nil"/>
            </w:tcBorders>
          </w:tcPr>
          <w:p w:rsidR="00000000" w:rsidRDefault="00000000">
            <w:pPr>
              <w:pStyle w:val="a2"/>
              <w:spacing w:line="240" w:lineRule="auto"/>
              <w:jc w:val="right"/>
              <w:rPr>
                <w:spacing w:val="0"/>
              </w:rPr>
            </w:pPr>
            <w:r>
              <w:rPr>
                <w:spacing w:val="0"/>
              </w:rPr>
              <w:t>416 693</w:t>
            </w:r>
          </w:p>
        </w:tc>
        <w:tc>
          <w:tcPr>
            <w:tcW w:w="578" w:type="pct"/>
            <w:tcBorders>
              <w:top w:val="nil"/>
              <w:bottom w:val="nil"/>
            </w:tcBorders>
          </w:tcPr>
          <w:p w:rsidR="00000000" w:rsidRDefault="00000000">
            <w:pPr>
              <w:pStyle w:val="a2"/>
              <w:spacing w:line="240" w:lineRule="auto"/>
              <w:jc w:val="right"/>
              <w:rPr>
                <w:spacing w:val="0"/>
              </w:rPr>
            </w:pPr>
            <w:r>
              <w:rPr>
                <w:spacing w:val="0"/>
              </w:rPr>
              <w:t>104 045</w:t>
            </w:r>
          </w:p>
        </w:tc>
        <w:tc>
          <w:tcPr>
            <w:tcW w:w="572" w:type="pct"/>
            <w:tcBorders>
              <w:top w:val="nil"/>
              <w:bottom w:val="nil"/>
            </w:tcBorders>
          </w:tcPr>
          <w:p w:rsidR="00000000" w:rsidRDefault="00000000">
            <w:pPr>
              <w:pStyle w:val="a2"/>
              <w:spacing w:line="240" w:lineRule="auto"/>
              <w:jc w:val="right"/>
              <w:rPr>
                <w:spacing w:val="0"/>
              </w:rPr>
            </w:pPr>
            <w:r>
              <w:rPr>
                <w:spacing w:val="0"/>
              </w:rPr>
              <w:t>79 696</w:t>
            </w:r>
          </w:p>
        </w:tc>
        <w:tc>
          <w:tcPr>
            <w:tcW w:w="587" w:type="pct"/>
            <w:tcBorders>
              <w:top w:val="nil"/>
              <w:bottom w:val="nil"/>
            </w:tcBorders>
          </w:tcPr>
          <w:p w:rsidR="00000000" w:rsidRDefault="00000000">
            <w:pPr>
              <w:pStyle w:val="a2"/>
              <w:spacing w:line="240" w:lineRule="auto"/>
              <w:jc w:val="right"/>
              <w:rPr>
                <w:spacing w:val="0"/>
              </w:rPr>
            </w:pPr>
            <w:r>
              <w:rPr>
                <w:spacing w:val="0"/>
              </w:rPr>
              <w:t>944 240</w:t>
            </w:r>
          </w:p>
        </w:tc>
        <w:tc>
          <w:tcPr>
            <w:tcW w:w="639" w:type="pct"/>
            <w:tcBorders>
              <w:top w:val="nil"/>
              <w:bottom w:val="nil"/>
            </w:tcBorders>
          </w:tcPr>
          <w:p w:rsidR="00000000" w:rsidRDefault="00000000">
            <w:pPr>
              <w:pStyle w:val="a2"/>
              <w:spacing w:line="240" w:lineRule="auto"/>
              <w:jc w:val="right"/>
              <w:rPr>
                <w:spacing w:val="0"/>
              </w:rPr>
            </w:pPr>
            <w:r>
              <w:rPr>
                <w:spacing w:val="0"/>
              </w:rPr>
              <w:t>569 270</w:t>
            </w:r>
          </w:p>
        </w:tc>
        <w:tc>
          <w:tcPr>
            <w:tcW w:w="613" w:type="pct"/>
            <w:tcBorders>
              <w:top w:val="nil"/>
              <w:bottom w:val="nil"/>
            </w:tcBorders>
          </w:tcPr>
          <w:p w:rsidR="00000000" w:rsidRDefault="00000000">
            <w:pPr>
              <w:pStyle w:val="a2"/>
              <w:spacing w:line="240" w:lineRule="auto"/>
              <w:jc w:val="right"/>
              <w:rPr>
                <w:spacing w:val="0"/>
              </w:rPr>
            </w:pPr>
            <w:r>
              <w:rPr>
                <w:spacing w:val="0"/>
              </w:rPr>
              <w:t>350 985</w:t>
            </w:r>
          </w:p>
        </w:tc>
        <w:tc>
          <w:tcPr>
            <w:tcW w:w="536" w:type="pct"/>
            <w:tcBorders>
              <w:top w:val="nil"/>
              <w:bottom w:val="nil"/>
            </w:tcBorders>
          </w:tcPr>
          <w:p w:rsidR="00000000" w:rsidRDefault="00000000">
            <w:pPr>
              <w:pStyle w:val="a2"/>
              <w:spacing w:line="240" w:lineRule="auto"/>
              <w:jc w:val="right"/>
              <w:rPr>
                <w:spacing w:val="0"/>
              </w:rPr>
            </w:pPr>
            <w:r>
              <w:rPr>
                <w:spacing w:val="0"/>
              </w:rPr>
              <w:t xml:space="preserve">70 878 </w:t>
            </w:r>
          </w:p>
        </w:tc>
      </w:tr>
      <w:tr w:rsidR="00000000">
        <w:tblPrEx>
          <w:tblCellMar>
            <w:top w:w="0" w:type="dxa"/>
            <w:bottom w:w="0" w:type="dxa"/>
          </w:tblCellMar>
        </w:tblPrEx>
        <w:tc>
          <w:tcPr>
            <w:tcW w:w="413" w:type="pct"/>
            <w:tcBorders>
              <w:top w:val="nil"/>
            </w:tcBorders>
          </w:tcPr>
          <w:p w:rsidR="00000000" w:rsidRDefault="00000000">
            <w:pPr>
              <w:pStyle w:val="a2"/>
              <w:spacing w:line="240" w:lineRule="auto"/>
              <w:rPr>
                <w:spacing w:val="0"/>
              </w:rPr>
            </w:pPr>
            <w:r>
              <w:rPr>
                <w:spacing w:val="0"/>
              </w:rPr>
              <w:t>2001</w:t>
            </w:r>
          </w:p>
        </w:tc>
        <w:tc>
          <w:tcPr>
            <w:tcW w:w="456" w:type="pct"/>
            <w:tcBorders>
              <w:top w:val="nil"/>
            </w:tcBorders>
          </w:tcPr>
          <w:p w:rsidR="00000000" w:rsidRDefault="00000000">
            <w:pPr>
              <w:pStyle w:val="a2"/>
              <w:spacing w:line="240" w:lineRule="auto"/>
              <w:jc w:val="right"/>
              <w:rPr>
                <w:spacing w:val="0"/>
              </w:rPr>
            </w:pPr>
            <w:r>
              <w:rPr>
                <w:spacing w:val="0"/>
              </w:rPr>
              <w:t>18 959</w:t>
            </w:r>
          </w:p>
        </w:tc>
        <w:tc>
          <w:tcPr>
            <w:tcW w:w="607" w:type="pct"/>
            <w:tcBorders>
              <w:top w:val="nil"/>
            </w:tcBorders>
          </w:tcPr>
          <w:p w:rsidR="00000000" w:rsidRDefault="00000000">
            <w:pPr>
              <w:pStyle w:val="a2"/>
              <w:spacing w:line="240" w:lineRule="auto"/>
              <w:jc w:val="right"/>
              <w:rPr>
                <w:spacing w:val="0"/>
              </w:rPr>
            </w:pPr>
            <w:r>
              <w:rPr>
                <w:spacing w:val="0"/>
              </w:rPr>
              <w:t>406 808</w:t>
            </w:r>
          </w:p>
        </w:tc>
        <w:tc>
          <w:tcPr>
            <w:tcW w:w="578" w:type="pct"/>
            <w:tcBorders>
              <w:top w:val="nil"/>
            </w:tcBorders>
          </w:tcPr>
          <w:p w:rsidR="00000000" w:rsidRDefault="00000000">
            <w:pPr>
              <w:pStyle w:val="a2"/>
              <w:spacing w:line="240" w:lineRule="auto"/>
              <w:jc w:val="right"/>
              <w:rPr>
                <w:spacing w:val="0"/>
              </w:rPr>
            </w:pPr>
            <w:r>
              <w:rPr>
                <w:spacing w:val="0"/>
              </w:rPr>
              <w:t>-</w:t>
            </w:r>
          </w:p>
        </w:tc>
        <w:tc>
          <w:tcPr>
            <w:tcW w:w="572" w:type="pct"/>
            <w:tcBorders>
              <w:top w:val="nil"/>
            </w:tcBorders>
          </w:tcPr>
          <w:p w:rsidR="00000000" w:rsidRDefault="00000000">
            <w:pPr>
              <w:pStyle w:val="a2"/>
              <w:spacing w:line="240" w:lineRule="auto"/>
              <w:jc w:val="right"/>
              <w:rPr>
                <w:spacing w:val="0"/>
              </w:rPr>
            </w:pPr>
            <w:r>
              <w:rPr>
                <w:spacing w:val="0"/>
              </w:rPr>
              <w:t>99 813</w:t>
            </w:r>
          </w:p>
        </w:tc>
        <w:tc>
          <w:tcPr>
            <w:tcW w:w="587" w:type="pct"/>
            <w:tcBorders>
              <w:top w:val="nil"/>
            </w:tcBorders>
          </w:tcPr>
          <w:p w:rsidR="00000000" w:rsidRDefault="00000000">
            <w:pPr>
              <w:pStyle w:val="a2"/>
              <w:spacing w:line="240" w:lineRule="auto"/>
              <w:jc w:val="right"/>
              <w:rPr>
                <w:spacing w:val="0"/>
              </w:rPr>
            </w:pPr>
            <w:r>
              <w:rPr>
                <w:spacing w:val="0"/>
              </w:rPr>
              <w:t>-</w:t>
            </w:r>
          </w:p>
        </w:tc>
        <w:tc>
          <w:tcPr>
            <w:tcW w:w="639" w:type="pct"/>
            <w:tcBorders>
              <w:top w:val="nil"/>
            </w:tcBorders>
          </w:tcPr>
          <w:p w:rsidR="00000000" w:rsidRDefault="00000000">
            <w:pPr>
              <w:pStyle w:val="a2"/>
              <w:spacing w:line="240" w:lineRule="auto"/>
              <w:jc w:val="right"/>
              <w:rPr>
                <w:spacing w:val="0"/>
              </w:rPr>
            </w:pPr>
            <w:r>
              <w:rPr>
                <w:spacing w:val="0"/>
              </w:rPr>
              <w:t>-</w:t>
            </w:r>
          </w:p>
        </w:tc>
        <w:tc>
          <w:tcPr>
            <w:tcW w:w="613" w:type="pct"/>
            <w:tcBorders>
              <w:top w:val="nil"/>
            </w:tcBorders>
          </w:tcPr>
          <w:p w:rsidR="00000000" w:rsidRDefault="00000000">
            <w:pPr>
              <w:pStyle w:val="a2"/>
              <w:spacing w:line="240" w:lineRule="auto"/>
              <w:jc w:val="right"/>
              <w:rPr>
                <w:spacing w:val="0"/>
              </w:rPr>
            </w:pPr>
            <w:r>
              <w:rPr>
                <w:spacing w:val="0"/>
              </w:rPr>
              <w:t>-</w:t>
            </w:r>
          </w:p>
        </w:tc>
        <w:tc>
          <w:tcPr>
            <w:tcW w:w="536" w:type="pct"/>
            <w:tcBorders>
              <w:top w:val="nil"/>
            </w:tcBorders>
          </w:tcPr>
          <w:p w:rsidR="00000000" w:rsidRDefault="00000000">
            <w:pPr>
              <w:pStyle w:val="a2"/>
              <w:spacing w:line="240" w:lineRule="auto"/>
              <w:jc w:val="right"/>
              <w:rPr>
                <w:spacing w:val="0"/>
              </w:rPr>
            </w:pPr>
            <w:r>
              <w:rPr>
                <w:spacing w:val="0"/>
              </w:rPr>
              <w:t>8 334</w:t>
            </w:r>
          </w:p>
        </w:tc>
      </w:tr>
    </w:tbl>
    <w:p w:rsidR="00000000" w:rsidRDefault="00000000">
      <w:pPr>
        <w:pStyle w:val="EndnoteText"/>
        <w:spacing w:before="120" w:after="120"/>
        <w:ind w:firstLine="0"/>
        <w:rPr>
          <w:rFonts w:hint="eastAsia"/>
        </w:rPr>
      </w:pPr>
      <w:r>
        <w:rPr>
          <w:rFonts w:hint="eastAsia"/>
          <w:u w:val="single"/>
        </w:rPr>
        <w:t>注意</w:t>
      </w:r>
      <w:r>
        <w:rPr>
          <w:rFonts w:hint="eastAsia"/>
        </w:rPr>
        <w:t>：病床数目包括公共部门和合作社所拥有的病床数目。</w:t>
      </w:r>
    </w:p>
    <w:p w:rsidR="00000000" w:rsidRDefault="00000000">
      <w:pPr>
        <w:pStyle w:val="Heading3"/>
        <w:spacing w:after="120"/>
        <w:rPr>
          <w:rFonts w:hint="eastAsia"/>
        </w:rPr>
      </w:pPr>
      <w:r>
        <w:rPr>
          <w:rFonts w:hint="eastAsia"/>
        </w:rPr>
        <w:t>为每</w:t>
      </w:r>
      <w:r>
        <w:rPr>
          <w:rFonts w:hint="eastAsia"/>
        </w:rPr>
        <w:t>1,000</w:t>
      </w:r>
      <w:r>
        <w:rPr>
          <w:rFonts w:hint="eastAsia"/>
        </w:rPr>
        <w:t>名居民服务的专业人员和辅助医务人员的数目</w:t>
      </w:r>
      <w:r>
        <w:rPr>
          <w:rFonts w:hint="eastAsia"/>
        </w:rPr>
        <w:t>(1999</w:t>
      </w:r>
      <w:r>
        <w:rPr>
          <w:rFonts w:hint="eastAsia"/>
        </w:rPr>
        <w:t>年</w:t>
      </w:r>
      <w:r>
        <w:rPr>
          <w:rFonts w:hint="eastAsia"/>
        </w:rPr>
        <w:t>/2001</w:t>
      </w:r>
      <w:r>
        <w:rPr>
          <w:rFonts w:hint="eastAsia"/>
        </w:rPr>
        <w:t>年</w:t>
      </w:r>
      <w:r>
        <w:rPr>
          <w:rFonts w:hint="eastAsia"/>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2551"/>
        <w:gridCol w:w="2410"/>
      </w:tblGrid>
      <w:tr w:rsidR="00000000">
        <w:tblPrEx>
          <w:tblCellMar>
            <w:top w:w="0" w:type="dxa"/>
            <w:bottom w:w="0" w:type="dxa"/>
          </w:tblCellMar>
        </w:tblPrEx>
        <w:tc>
          <w:tcPr>
            <w:tcW w:w="4395" w:type="dxa"/>
          </w:tcPr>
          <w:p w:rsidR="00000000" w:rsidRDefault="00000000">
            <w:pPr>
              <w:pStyle w:val="a2"/>
              <w:spacing w:line="240" w:lineRule="auto"/>
              <w:jc w:val="center"/>
              <w:rPr>
                <w:rFonts w:hint="eastAsia"/>
              </w:rPr>
            </w:pPr>
            <w:r>
              <w:rPr>
                <w:rFonts w:hint="eastAsia"/>
              </w:rPr>
              <w:t>专业</w:t>
            </w:r>
          </w:p>
        </w:tc>
        <w:tc>
          <w:tcPr>
            <w:tcW w:w="2551" w:type="dxa"/>
          </w:tcPr>
          <w:p w:rsidR="00000000" w:rsidRDefault="00000000">
            <w:pPr>
              <w:pStyle w:val="a2"/>
              <w:spacing w:line="240" w:lineRule="auto"/>
              <w:jc w:val="center"/>
            </w:pPr>
            <w:r>
              <w:t>1999</w:t>
            </w:r>
          </w:p>
        </w:tc>
        <w:tc>
          <w:tcPr>
            <w:tcW w:w="2410" w:type="dxa"/>
          </w:tcPr>
          <w:p w:rsidR="00000000" w:rsidRDefault="00000000">
            <w:pPr>
              <w:pStyle w:val="a2"/>
              <w:spacing w:line="240" w:lineRule="auto"/>
              <w:jc w:val="center"/>
            </w:pPr>
            <w:r>
              <w:t>2001</w:t>
            </w:r>
          </w:p>
        </w:tc>
      </w:tr>
      <w:tr w:rsidR="00000000">
        <w:tblPrEx>
          <w:tblCellMar>
            <w:top w:w="0" w:type="dxa"/>
            <w:bottom w:w="0" w:type="dxa"/>
          </w:tblCellMar>
        </w:tblPrEx>
        <w:tc>
          <w:tcPr>
            <w:tcW w:w="4395" w:type="dxa"/>
            <w:tcBorders>
              <w:bottom w:val="nil"/>
            </w:tcBorders>
          </w:tcPr>
          <w:p w:rsidR="00000000" w:rsidRDefault="00000000">
            <w:pPr>
              <w:pStyle w:val="a2"/>
              <w:spacing w:line="240" w:lineRule="auto"/>
              <w:ind w:left="227"/>
              <w:jc w:val="left"/>
              <w:rPr>
                <w:rFonts w:hint="eastAsia"/>
              </w:rPr>
            </w:pPr>
            <w:r>
              <w:rPr>
                <w:rFonts w:hint="eastAsia"/>
              </w:rPr>
              <w:t>皮肤病医生</w:t>
            </w:r>
          </w:p>
        </w:tc>
        <w:tc>
          <w:tcPr>
            <w:tcW w:w="2551" w:type="dxa"/>
            <w:tcBorders>
              <w:bottom w:val="nil"/>
            </w:tcBorders>
          </w:tcPr>
          <w:p w:rsidR="00000000" w:rsidRDefault="00000000">
            <w:pPr>
              <w:pStyle w:val="a2"/>
              <w:spacing w:line="240" w:lineRule="auto"/>
              <w:ind w:right="567"/>
              <w:jc w:val="right"/>
            </w:pPr>
            <w:r>
              <w:t>830</w:t>
            </w:r>
          </w:p>
        </w:tc>
        <w:tc>
          <w:tcPr>
            <w:tcW w:w="2410" w:type="dxa"/>
            <w:tcBorders>
              <w:bottom w:val="nil"/>
            </w:tcBorders>
          </w:tcPr>
          <w:p w:rsidR="00000000" w:rsidRDefault="00000000">
            <w:pPr>
              <w:pStyle w:val="a2"/>
              <w:spacing w:line="240" w:lineRule="auto"/>
              <w:ind w:right="567"/>
              <w:jc w:val="right"/>
            </w:pPr>
            <w:r>
              <w:t>714</w:t>
            </w:r>
          </w:p>
        </w:tc>
      </w:tr>
      <w:tr w:rsidR="00000000">
        <w:tblPrEx>
          <w:tblCellMar>
            <w:top w:w="0" w:type="dxa"/>
            <w:bottom w:w="0" w:type="dxa"/>
          </w:tblCellMar>
        </w:tblPrEx>
        <w:tc>
          <w:tcPr>
            <w:tcW w:w="4395" w:type="dxa"/>
            <w:tcBorders>
              <w:top w:val="nil"/>
              <w:bottom w:val="nil"/>
            </w:tcBorders>
          </w:tcPr>
          <w:p w:rsidR="00000000" w:rsidRDefault="00000000">
            <w:pPr>
              <w:pStyle w:val="a2"/>
              <w:spacing w:line="240" w:lineRule="auto"/>
              <w:ind w:left="227"/>
              <w:jc w:val="left"/>
              <w:rPr>
                <w:rFonts w:hint="eastAsia"/>
              </w:rPr>
            </w:pPr>
            <w:r>
              <w:rPr>
                <w:rFonts w:hint="eastAsia"/>
              </w:rPr>
              <w:t>牙医</w:t>
            </w:r>
          </w:p>
        </w:tc>
        <w:tc>
          <w:tcPr>
            <w:tcW w:w="2551" w:type="dxa"/>
            <w:tcBorders>
              <w:top w:val="nil"/>
              <w:bottom w:val="nil"/>
            </w:tcBorders>
          </w:tcPr>
          <w:p w:rsidR="00000000" w:rsidRDefault="00000000">
            <w:pPr>
              <w:pStyle w:val="a2"/>
              <w:spacing w:line="240" w:lineRule="auto"/>
              <w:ind w:right="567"/>
              <w:jc w:val="right"/>
            </w:pPr>
            <w:r>
              <w:t>11 200</w:t>
            </w:r>
          </w:p>
        </w:tc>
        <w:tc>
          <w:tcPr>
            <w:tcW w:w="2410" w:type="dxa"/>
            <w:tcBorders>
              <w:top w:val="nil"/>
              <w:bottom w:val="nil"/>
            </w:tcBorders>
          </w:tcPr>
          <w:p w:rsidR="00000000" w:rsidRDefault="00000000">
            <w:pPr>
              <w:pStyle w:val="a2"/>
              <w:spacing w:line="240" w:lineRule="auto"/>
              <w:ind w:right="567"/>
              <w:jc w:val="right"/>
            </w:pPr>
            <w:r>
              <w:t>11 354</w:t>
            </w:r>
          </w:p>
        </w:tc>
      </w:tr>
      <w:tr w:rsidR="00000000">
        <w:tblPrEx>
          <w:tblCellMar>
            <w:top w:w="0" w:type="dxa"/>
            <w:bottom w:w="0" w:type="dxa"/>
          </w:tblCellMar>
        </w:tblPrEx>
        <w:tc>
          <w:tcPr>
            <w:tcW w:w="4395" w:type="dxa"/>
            <w:tcBorders>
              <w:top w:val="nil"/>
              <w:bottom w:val="nil"/>
            </w:tcBorders>
          </w:tcPr>
          <w:p w:rsidR="00000000" w:rsidRDefault="00000000">
            <w:pPr>
              <w:pStyle w:val="a2"/>
              <w:spacing w:line="240" w:lineRule="auto"/>
              <w:ind w:left="227"/>
              <w:jc w:val="left"/>
              <w:rPr>
                <w:rFonts w:hint="eastAsia"/>
              </w:rPr>
            </w:pPr>
            <w:r>
              <w:rPr>
                <w:rFonts w:hint="eastAsia"/>
              </w:rPr>
              <w:t>药剂师</w:t>
            </w:r>
          </w:p>
        </w:tc>
        <w:tc>
          <w:tcPr>
            <w:tcW w:w="2551" w:type="dxa"/>
            <w:tcBorders>
              <w:top w:val="nil"/>
              <w:bottom w:val="nil"/>
            </w:tcBorders>
          </w:tcPr>
          <w:p w:rsidR="00000000" w:rsidRDefault="00000000">
            <w:pPr>
              <w:pStyle w:val="a2"/>
              <w:spacing w:line="240" w:lineRule="auto"/>
              <w:ind w:right="567"/>
              <w:jc w:val="right"/>
            </w:pPr>
            <w:r>
              <w:t>9 000</w:t>
            </w:r>
          </w:p>
        </w:tc>
        <w:tc>
          <w:tcPr>
            <w:tcW w:w="2410" w:type="dxa"/>
            <w:tcBorders>
              <w:top w:val="nil"/>
              <w:bottom w:val="nil"/>
            </w:tcBorders>
          </w:tcPr>
          <w:p w:rsidR="00000000" w:rsidRDefault="00000000">
            <w:pPr>
              <w:pStyle w:val="a2"/>
              <w:spacing w:line="240" w:lineRule="auto"/>
              <w:ind w:right="567"/>
              <w:jc w:val="right"/>
            </w:pPr>
            <w:r>
              <w:t>5 020</w:t>
            </w:r>
          </w:p>
        </w:tc>
      </w:tr>
      <w:tr w:rsidR="00000000">
        <w:tblPrEx>
          <w:tblCellMar>
            <w:top w:w="0" w:type="dxa"/>
            <w:bottom w:w="0" w:type="dxa"/>
          </w:tblCellMar>
        </w:tblPrEx>
        <w:tc>
          <w:tcPr>
            <w:tcW w:w="4395" w:type="dxa"/>
            <w:tcBorders>
              <w:top w:val="nil"/>
              <w:bottom w:val="nil"/>
            </w:tcBorders>
          </w:tcPr>
          <w:p w:rsidR="00000000" w:rsidRDefault="00000000">
            <w:pPr>
              <w:pStyle w:val="a2"/>
              <w:spacing w:line="240" w:lineRule="auto"/>
              <w:ind w:left="227"/>
              <w:jc w:val="left"/>
              <w:rPr>
                <w:rFonts w:hint="eastAsia"/>
              </w:rPr>
            </w:pPr>
            <w:r>
              <w:rPr>
                <w:rFonts w:hint="eastAsia"/>
              </w:rPr>
              <w:t>护士</w:t>
            </w:r>
          </w:p>
        </w:tc>
        <w:tc>
          <w:tcPr>
            <w:tcW w:w="2551" w:type="dxa"/>
            <w:tcBorders>
              <w:top w:val="nil"/>
              <w:bottom w:val="nil"/>
            </w:tcBorders>
          </w:tcPr>
          <w:p w:rsidR="00000000" w:rsidRDefault="00000000">
            <w:pPr>
              <w:pStyle w:val="a2"/>
              <w:spacing w:line="240" w:lineRule="auto"/>
              <w:ind w:right="567"/>
              <w:jc w:val="right"/>
            </w:pPr>
            <w:r>
              <w:t>220</w:t>
            </w:r>
          </w:p>
        </w:tc>
        <w:tc>
          <w:tcPr>
            <w:tcW w:w="2410" w:type="dxa"/>
            <w:tcBorders>
              <w:top w:val="nil"/>
              <w:bottom w:val="nil"/>
            </w:tcBorders>
          </w:tcPr>
          <w:p w:rsidR="00000000" w:rsidRDefault="00000000">
            <w:pPr>
              <w:pStyle w:val="a2"/>
              <w:spacing w:line="240" w:lineRule="auto"/>
              <w:ind w:right="567"/>
              <w:jc w:val="right"/>
            </w:pPr>
            <w:r>
              <w:t>208</w:t>
            </w:r>
          </w:p>
        </w:tc>
      </w:tr>
      <w:tr w:rsidR="00000000">
        <w:tblPrEx>
          <w:tblCellMar>
            <w:top w:w="0" w:type="dxa"/>
            <w:bottom w:w="0" w:type="dxa"/>
          </w:tblCellMar>
        </w:tblPrEx>
        <w:tc>
          <w:tcPr>
            <w:tcW w:w="4395" w:type="dxa"/>
            <w:tcBorders>
              <w:top w:val="nil"/>
            </w:tcBorders>
          </w:tcPr>
          <w:p w:rsidR="00000000" w:rsidRDefault="00000000">
            <w:pPr>
              <w:pStyle w:val="a2"/>
              <w:spacing w:line="240" w:lineRule="auto"/>
              <w:ind w:left="227"/>
              <w:jc w:val="left"/>
              <w:rPr>
                <w:rFonts w:hint="eastAsia"/>
              </w:rPr>
            </w:pPr>
            <w:r>
              <w:rPr>
                <w:rFonts w:hint="eastAsia"/>
              </w:rPr>
              <w:t>辅助医务人员</w:t>
            </w:r>
          </w:p>
        </w:tc>
        <w:tc>
          <w:tcPr>
            <w:tcW w:w="2551" w:type="dxa"/>
            <w:tcBorders>
              <w:top w:val="nil"/>
            </w:tcBorders>
          </w:tcPr>
          <w:p w:rsidR="00000000" w:rsidRDefault="00000000">
            <w:pPr>
              <w:pStyle w:val="a2"/>
              <w:spacing w:line="240" w:lineRule="auto"/>
              <w:ind w:right="567"/>
              <w:jc w:val="right"/>
            </w:pPr>
            <w:r>
              <w:t>700</w:t>
            </w:r>
          </w:p>
        </w:tc>
        <w:tc>
          <w:tcPr>
            <w:tcW w:w="2410" w:type="dxa"/>
            <w:tcBorders>
              <w:top w:val="nil"/>
            </w:tcBorders>
          </w:tcPr>
          <w:p w:rsidR="00000000" w:rsidRDefault="00000000">
            <w:pPr>
              <w:pStyle w:val="a2"/>
              <w:spacing w:line="240" w:lineRule="auto"/>
              <w:ind w:right="567"/>
              <w:jc w:val="right"/>
            </w:pPr>
            <w:r>
              <w:t>740</w:t>
            </w:r>
          </w:p>
        </w:tc>
      </w:tr>
    </w:tbl>
    <w:p w:rsidR="00000000" w:rsidRDefault="00000000">
      <w:pPr>
        <w:pStyle w:val="Heading3"/>
        <w:spacing w:before="240" w:after="120"/>
        <w:rPr>
          <w:rFonts w:hint="eastAsia"/>
        </w:rPr>
      </w:pPr>
      <w:r>
        <w:rPr>
          <w:rFonts w:hint="eastAsia"/>
        </w:rPr>
        <w:t>按地区分列的预防接种数据</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843"/>
        <w:gridCol w:w="1701"/>
        <w:gridCol w:w="1559"/>
      </w:tblGrid>
      <w:tr w:rsidR="00000000">
        <w:tblPrEx>
          <w:tblCellMar>
            <w:top w:w="0" w:type="dxa"/>
            <w:bottom w:w="0" w:type="dxa"/>
          </w:tblCellMar>
        </w:tblPrEx>
        <w:trPr>
          <w:cantSplit/>
        </w:trPr>
        <w:tc>
          <w:tcPr>
            <w:tcW w:w="4253" w:type="dxa"/>
          </w:tcPr>
          <w:p w:rsidR="00000000" w:rsidRDefault="00000000">
            <w:pPr>
              <w:pStyle w:val="a2"/>
              <w:spacing w:line="240" w:lineRule="auto"/>
              <w:rPr>
                <w:rFonts w:hint="eastAsia"/>
              </w:rPr>
            </w:pPr>
            <w:r>
              <w:rPr>
                <w:rFonts w:hint="eastAsia"/>
              </w:rPr>
              <w:t>接种疫苗</w:t>
            </w:r>
            <w:r>
              <w:rPr>
                <w:rFonts w:hint="eastAsia"/>
              </w:rPr>
              <w:t>(12</w:t>
            </w:r>
            <w:r>
              <w:rPr>
                <w:rFonts w:hint="eastAsia"/>
              </w:rPr>
              <w:t>个月至</w:t>
            </w:r>
            <w:r>
              <w:rPr>
                <w:rFonts w:hint="eastAsia"/>
              </w:rPr>
              <w:t>23</w:t>
            </w:r>
            <w:r>
              <w:rPr>
                <w:rFonts w:hint="eastAsia"/>
              </w:rPr>
              <w:t>个月的儿童</w:t>
            </w:r>
            <w:r>
              <w:rPr>
                <w:rFonts w:hint="eastAsia"/>
              </w:rPr>
              <w:t>)</w:t>
            </w:r>
          </w:p>
        </w:tc>
        <w:tc>
          <w:tcPr>
            <w:tcW w:w="1843" w:type="dxa"/>
          </w:tcPr>
          <w:p w:rsidR="00000000" w:rsidRDefault="00000000">
            <w:pPr>
              <w:pStyle w:val="a2"/>
              <w:spacing w:line="240" w:lineRule="auto"/>
              <w:jc w:val="center"/>
              <w:rPr>
                <w:rFonts w:hint="eastAsia"/>
              </w:rPr>
            </w:pPr>
            <w:r>
              <w:rPr>
                <w:rFonts w:hint="eastAsia"/>
              </w:rPr>
              <w:t>城市中心</w:t>
            </w:r>
          </w:p>
        </w:tc>
        <w:tc>
          <w:tcPr>
            <w:tcW w:w="1701" w:type="dxa"/>
          </w:tcPr>
          <w:p w:rsidR="00000000" w:rsidRDefault="00000000">
            <w:pPr>
              <w:pStyle w:val="a2"/>
              <w:spacing w:line="240" w:lineRule="auto"/>
              <w:jc w:val="center"/>
              <w:rPr>
                <w:rFonts w:hint="eastAsia"/>
              </w:rPr>
            </w:pPr>
            <w:r>
              <w:rPr>
                <w:rFonts w:hint="eastAsia"/>
              </w:rPr>
              <w:t>农村地区</w:t>
            </w:r>
          </w:p>
        </w:tc>
        <w:tc>
          <w:tcPr>
            <w:tcW w:w="1559" w:type="dxa"/>
          </w:tcPr>
          <w:p w:rsidR="00000000" w:rsidRDefault="00000000">
            <w:pPr>
              <w:pStyle w:val="a2"/>
              <w:spacing w:line="240" w:lineRule="auto"/>
              <w:jc w:val="center"/>
            </w:pPr>
            <w:r>
              <w:rPr>
                <w:rFonts w:hint="eastAsia"/>
              </w:rPr>
              <w:t>总计</w:t>
            </w:r>
          </w:p>
        </w:tc>
      </w:tr>
      <w:tr w:rsidR="00000000">
        <w:tblPrEx>
          <w:tblCellMar>
            <w:top w:w="0" w:type="dxa"/>
            <w:bottom w:w="0" w:type="dxa"/>
          </w:tblCellMar>
        </w:tblPrEx>
        <w:trPr>
          <w:cantSplit/>
        </w:trPr>
        <w:tc>
          <w:tcPr>
            <w:tcW w:w="4253" w:type="dxa"/>
            <w:tcBorders>
              <w:bottom w:val="nil"/>
            </w:tcBorders>
          </w:tcPr>
          <w:p w:rsidR="00000000" w:rsidRDefault="00000000">
            <w:pPr>
              <w:pStyle w:val="a2"/>
              <w:spacing w:line="240" w:lineRule="auto"/>
              <w:rPr>
                <w:rFonts w:hint="eastAsia"/>
              </w:rPr>
            </w:pPr>
            <w:r>
              <w:rPr>
                <w:rFonts w:hint="eastAsia"/>
              </w:rPr>
              <w:t>肺结核</w:t>
            </w:r>
          </w:p>
        </w:tc>
        <w:tc>
          <w:tcPr>
            <w:tcW w:w="1843" w:type="dxa"/>
            <w:tcBorders>
              <w:bottom w:val="nil"/>
            </w:tcBorders>
          </w:tcPr>
          <w:p w:rsidR="00000000" w:rsidRDefault="00000000">
            <w:pPr>
              <w:pStyle w:val="a2"/>
              <w:spacing w:line="240" w:lineRule="auto"/>
              <w:ind w:left="113" w:right="510"/>
              <w:jc w:val="right"/>
            </w:pPr>
            <w:r>
              <w:t>90.7</w:t>
            </w:r>
          </w:p>
        </w:tc>
        <w:tc>
          <w:tcPr>
            <w:tcW w:w="1701" w:type="dxa"/>
            <w:tcBorders>
              <w:bottom w:val="nil"/>
            </w:tcBorders>
          </w:tcPr>
          <w:p w:rsidR="00000000" w:rsidRDefault="00000000">
            <w:pPr>
              <w:pStyle w:val="a2"/>
              <w:spacing w:line="240" w:lineRule="auto"/>
              <w:ind w:left="113" w:right="510"/>
              <w:jc w:val="right"/>
            </w:pPr>
            <w:r>
              <w:t>98.0</w:t>
            </w:r>
          </w:p>
        </w:tc>
        <w:tc>
          <w:tcPr>
            <w:tcW w:w="1559" w:type="dxa"/>
            <w:tcBorders>
              <w:bottom w:val="nil"/>
            </w:tcBorders>
          </w:tcPr>
          <w:p w:rsidR="00000000" w:rsidRDefault="00000000">
            <w:pPr>
              <w:pStyle w:val="a2"/>
              <w:spacing w:line="240" w:lineRule="auto"/>
              <w:ind w:left="113" w:right="510"/>
              <w:jc w:val="right"/>
            </w:pPr>
            <w:r>
              <w:t>99.2</w:t>
            </w:r>
          </w:p>
        </w:tc>
      </w:tr>
      <w:tr w:rsidR="00000000">
        <w:tblPrEx>
          <w:tblCellMar>
            <w:top w:w="0" w:type="dxa"/>
            <w:bottom w:w="0" w:type="dxa"/>
          </w:tblCellMar>
        </w:tblPrEx>
        <w:trPr>
          <w:cantSplit/>
        </w:trPr>
        <w:tc>
          <w:tcPr>
            <w:tcW w:w="4253" w:type="dxa"/>
            <w:tcBorders>
              <w:top w:val="nil"/>
              <w:bottom w:val="nil"/>
            </w:tcBorders>
          </w:tcPr>
          <w:p w:rsidR="00000000" w:rsidRDefault="00000000">
            <w:pPr>
              <w:pStyle w:val="a2"/>
              <w:spacing w:line="240" w:lineRule="auto"/>
              <w:rPr>
                <w:rFonts w:hint="eastAsia"/>
              </w:rPr>
            </w:pPr>
            <w:r>
              <w:rPr>
                <w:rFonts w:hint="eastAsia"/>
              </w:rPr>
              <w:t>小儿麻痹症：第一针</w:t>
            </w:r>
          </w:p>
        </w:tc>
        <w:tc>
          <w:tcPr>
            <w:tcW w:w="1843" w:type="dxa"/>
            <w:tcBorders>
              <w:top w:val="nil"/>
              <w:bottom w:val="nil"/>
            </w:tcBorders>
          </w:tcPr>
          <w:p w:rsidR="00000000" w:rsidRDefault="00000000">
            <w:pPr>
              <w:pStyle w:val="a2"/>
              <w:spacing w:line="240" w:lineRule="auto"/>
              <w:ind w:left="113" w:right="510"/>
              <w:jc w:val="right"/>
            </w:pPr>
            <w:r>
              <w:t>98.7</w:t>
            </w:r>
          </w:p>
        </w:tc>
        <w:tc>
          <w:tcPr>
            <w:tcW w:w="1701" w:type="dxa"/>
            <w:tcBorders>
              <w:top w:val="nil"/>
              <w:bottom w:val="nil"/>
            </w:tcBorders>
          </w:tcPr>
          <w:p w:rsidR="00000000" w:rsidRDefault="00000000">
            <w:pPr>
              <w:pStyle w:val="a2"/>
              <w:spacing w:line="240" w:lineRule="auto"/>
              <w:ind w:left="113" w:right="510"/>
              <w:jc w:val="right"/>
            </w:pPr>
            <w:r>
              <w:t>97.1</w:t>
            </w:r>
          </w:p>
        </w:tc>
        <w:tc>
          <w:tcPr>
            <w:tcW w:w="1559" w:type="dxa"/>
            <w:tcBorders>
              <w:top w:val="nil"/>
              <w:bottom w:val="nil"/>
            </w:tcBorders>
          </w:tcPr>
          <w:p w:rsidR="00000000" w:rsidRDefault="00000000">
            <w:pPr>
              <w:pStyle w:val="a2"/>
              <w:spacing w:line="240" w:lineRule="auto"/>
              <w:ind w:left="113" w:right="510"/>
              <w:jc w:val="right"/>
            </w:pPr>
            <w:r>
              <w:t>98.2</w:t>
            </w:r>
          </w:p>
        </w:tc>
      </w:tr>
      <w:tr w:rsidR="00000000">
        <w:tblPrEx>
          <w:tblCellMar>
            <w:top w:w="0" w:type="dxa"/>
            <w:bottom w:w="0" w:type="dxa"/>
          </w:tblCellMar>
        </w:tblPrEx>
        <w:trPr>
          <w:cantSplit/>
        </w:trPr>
        <w:tc>
          <w:tcPr>
            <w:tcW w:w="4253" w:type="dxa"/>
            <w:tcBorders>
              <w:top w:val="nil"/>
              <w:bottom w:val="nil"/>
            </w:tcBorders>
          </w:tcPr>
          <w:p w:rsidR="00000000" w:rsidRDefault="00000000">
            <w:pPr>
              <w:pStyle w:val="a2"/>
              <w:spacing w:line="240" w:lineRule="auto"/>
              <w:rPr>
                <w:rFonts w:hint="eastAsia"/>
              </w:rPr>
            </w:pPr>
            <w:r>
              <w:rPr>
                <w:rFonts w:hint="eastAsia"/>
              </w:rPr>
              <w:t>小儿麻痹症：第二针</w:t>
            </w:r>
          </w:p>
        </w:tc>
        <w:tc>
          <w:tcPr>
            <w:tcW w:w="1843" w:type="dxa"/>
            <w:tcBorders>
              <w:top w:val="nil"/>
              <w:bottom w:val="nil"/>
            </w:tcBorders>
          </w:tcPr>
          <w:p w:rsidR="00000000" w:rsidRDefault="00000000">
            <w:pPr>
              <w:pStyle w:val="a2"/>
              <w:spacing w:line="240" w:lineRule="auto"/>
              <w:ind w:left="113" w:right="510"/>
              <w:jc w:val="right"/>
            </w:pPr>
            <w:r>
              <w:t>97.6</w:t>
            </w:r>
          </w:p>
        </w:tc>
        <w:tc>
          <w:tcPr>
            <w:tcW w:w="1701" w:type="dxa"/>
            <w:tcBorders>
              <w:top w:val="nil"/>
              <w:bottom w:val="nil"/>
            </w:tcBorders>
          </w:tcPr>
          <w:p w:rsidR="00000000" w:rsidRDefault="00000000">
            <w:pPr>
              <w:pStyle w:val="a2"/>
              <w:spacing w:line="240" w:lineRule="auto"/>
              <w:ind w:left="113" w:right="510"/>
              <w:jc w:val="right"/>
            </w:pPr>
            <w:r>
              <w:t>96.4</w:t>
            </w:r>
          </w:p>
        </w:tc>
        <w:tc>
          <w:tcPr>
            <w:tcW w:w="1559" w:type="dxa"/>
            <w:tcBorders>
              <w:top w:val="nil"/>
              <w:bottom w:val="nil"/>
            </w:tcBorders>
          </w:tcPr>
          <w:p w:rsidR="00000000" w:rsidRDefault="00000000">
            <w:pPr>
              <w:pStyle w:val="a2"/>
              <w:spacing w:line="240" w:lineRule="auto"/>
              <w:ind w:left="113" w:right="510"/>
              <w:jc w:val="right"/>
            </w:pPr>
            <w:r>
              <w:t>97.2</w:t>
            </w:r>
          </w:p>
        </w:tc>
      </w:tr>
      <w:tr w:rsidR="00000000">
        <w:tblPrEx>
          <w:tblCellMar>
            <w:top w:w="0" w:type="dxa"/>
            <w:bottom w:w="0" w:type="dxa"/>
          </w:tblCellMar>
        </w:tblPrEx>
        <w:trPr>
          <w:cantSplit/>
        </w:trPr>
        <w:tc>
          <w:tcPr>
            <w:tcW w:w="4253" w:type="dxa"/>
            <w:tcBorders>
              <w:top w:val="nil"/>
              <w:bottom w:val="nil"/>
            </w:tcBorders>
          </w:tcPr>
          <w:p w:rsidR="00000000" w:rsidRDefault="00000000">
            <w:pPr>
              <w:pStyle w:val="a2"/>
              <w:spacing w:line="240" w:lineRule="auto"/>
              <w:rPr>
                <w:rFonts w:hint="eastAsia"/>
              </w:rPr>
            </w:pPr>
            <w:r>
              <w:rPr>
                <w:rFonts w:hint="eastAsia"/>
              </w:rPr>
              <w:t>小儿麻痹症：第三针</w:t>
            </w:r>
          </w:p>
        </w:tc>
        <w:tc>
          <w:tcPr>
            <w:tcW w:w="1843" w:type="dxa"/>
            <w:tcBorders>
              <w:top w:val="nil"/>
              <w:bottom w:val="nil"/>
            </w:tcBorders>
          </w:tcPr>
          <w:p w:rsidR="00000000" w:rsidRDefault="00000000">
            <w:pPr>
              <w:pStyle w:val="a2"/>
              <w:spacing w:line="240" w:lineRule="auto"/>
              <w:ind w:left="113" w:right="510"/>
              <w:jc w:val="right"/>
            </w:pPr>
            <w:r>
              <w:t>95.5</w:t>
            </w:r>
          </w:p>
        </w:tc>
        <w:tc>
          <w:tcPr>
            <w:tcW w:w="1701" w:type="dxa"/>
            <w:tcBorders>
              <w:top w:val="nil"/>
              <w:bottom w:val="nil"/>
            </w:tcBorders>
          </w:tcPr>
          <w:p w:rsidR="00000000" w:rsidRDefault="00000000">
            <w:pPr>
              <w:pStyle w:val="a2"/>
              <w:spacing w:line="240" w:lineRule="auto"/>
              <w:ind w:left="113" w:right="510"/>
              <w:jc w:val="right"/>
            </w:pPr>
            <w:r>
              <w:t>95.6</w:t>
            </w:r>
          </w:p>
        </w:tc>
        <w:tc>
          <w:tcPr>
            <w:tcW w:w="1559" w:type="dxa"/>
            <w:tcBorders>
              <w:top w:val="nil"/>
              <w:bottom w:val="nil"/>
            </w:tcBorders>
          </w:tcPr>
          <w:p w:rsidR="00000000" w:rsidRDefault="00000000">
            <w:pPr>
              <w:pStyle w:val="a2"/>
              <w:spacing w:line="240" w:lineRule="auto"/>
              <w:ind w:left="113" w:right="510"/>
              <w:jc w:val="right"/>
            </w:pPr>
            <w:r>
              <w:t>95.8</w:t>
            </w:r>
          </w:p>
        </w:tc>
      </w:tr>
      <w:tr w:rsidR="00000000">
        <w:tblPrEx>
          <w:tblCellMar>
            <w:top w:w="0" w:type="dxa"/>
            <w:bottom w:w="0" w:type="dxa"/>
          </w:tblCellMar>
        </w:tblPrEx>
        <w:trPr>
          <w:cantSplit/>
        </w:trPr>
        <w:tc>
          <w:tcPr>
            <w:tcW w:w="4253" w:type="dxa"/>
            <w:tcBorders>
              <w:top w:val="nil"/>
            </w:tcBorders>
          </w:tcPr>
          <w:p w:rsidR="00000000" w:rsidRDefault="00000000">
            <w:pPr>
              <w:pStyle w:val="a2"/>
              <w:spacing w:line="240" w:lineRule="auto"/>
              <w:rPr>
                <w:rFonts w:hint="eastAsia"/>
              </w:rPr>
            </w:pPr>
            <w:r>
              <w:rPr>
                <w:rFonts w:hint="eastAsia"/>
              </w:rPr>
              <w:t>麻疹</w:t>
            </w:r>
          </w:p>
        </w:tc>
        <w:tc>
          <w:tcPr>
            <w:tcW w:w="1843" w:type="dxa"/>
            <w:tcBorders>
              <w:top w:val="nil"/>
            </w:tcBorders>
          </w:tcPr>
          <w:p w:rsidR="00000000" w:rsidRDefault="00000000">
            <w:pPr>
              <w:pStyle w:val="a2"/>
              <w:spacing w:line="240" w:lineRule="auto"/>
              <w:ind w:left="113" w:right="510"/>
              <w:jc w:val="right"/>
            </w:pPr>
            <w:r>
              <w:t>92.4</w:t>
            </w:r>
          </w:p>
        </w:tc>
        <w:tc>
          <w:tcPr>
            <w:tcW w:w="1701" w:type="dxa"/>
            <w:tcBorders>
              <w:top w:val="nil"/>
            </w:tcBorders>
          </w:tcPr>
          <w:p w:rsidR="00000000" w:rsidRDefault="00000000">
            <w:pPr>
              <w:pStyle w:val="a2"/>
              <w:spacing w:line="240" w:lineRule="auto"/>
              <w:ind w:left="113" w:right="510"/>
              <w:jc w:val="right"/>
            </w:pPr>
            <w:r>
              <w:t>91.7</w:t>
            </w:r>
          </w:p>
        </w:tc>
        <w:tc>
          <w:tcPr>
            <w:tcW w:w="1559" w:type="dxa"/>
            <w:tcBorders>
              <w:top w:val="nil"/>
            </w:tcBorders>
          </w:tcPr>
          <w:p w:rsidR="00000000" w:rsidRDefault="00000000">
            <w:pPr>
              <w:pStyle w:val="a2"/>
              <w:spacing w:line="240" w:lineRule="auto"/>
              <w:ind w:left="113" w:right="510"/>
              <w:jc w:val="right"/>
            </w:pPr>
            <w:r>
              <w:t>92.2</w:t>
            </w:r>
          </w:p>
        </w:tc>
      </w:tr>
    </w:tbl>
    <w:p w:rsidR="00000000" w:rsidRDefault="00000000">
      <w:pPr>
        <w:pStyle w:val="Heading3"/>
        <w:spacing w:before="320" w:after="120"/>
        <w:rPr>
          <w:rFonts w:hint="eastAsia"/>
        </w:rPr>
      </w:pPr>
      <w:r>
        <w:rPr>
          <w:rFonts w:hint="eastAsia"/>
        </w:rPr>
        <w:t>私人医疗机构</w:t>
      </w:r>
    </w:p>
    <w:tbl>
      <w:tblPr>
        <w:tblW w:w="5775" w:type="dxa"/>
        <w:tblInd w:w="1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71"/>
        <w:gridCol w:w="2304"/>
      </w:tblGrid>
      <w:tr w:rsidR="00000000">
        <w:tblPrEx>
          <w:tblCellMar>
            <w:top w:w="0" w:type="dxa"/>
            <w:bottom w:w="0" w:type="dxa"/>
          </w:tblCellMar>
        </w:tblPrEx>
        <w:tc>
          <w:tcPr>
            <w:tcW w:w="3471" w:type="dxa"/>
          </w:tcPr>
          <w:p w:rsidR="00000000" w:rsidRDefault="00000000">
            <w:pPr>
              <w:pStyle w:val="a2"/>
              <w:jc w:val="center"/>
              <w:rPr>
                <w:rFonts w:hint="eastAsia"/>
              </w:rPr>
            </w:pPr>
            <w:r>
              <w:rPr>
                <w:rFonts w:hint="eastAsia"/>
              </w:rPr>
              <w:t>类型</w:t>
            </w:r>
          </w:p>
        </w:tc>
        <w:tc>
          <w:tcPr>
            <w:tcW w:w="2304" w:type="dxa"/>
          </w:tcPr>
          <w:p w:rsidR="00000000" w:rsidRDefault="00000000">
            <w:pPr>
              <w:pStyle w:val="a2"/>
              <w:jc w:val="center"/>
            </w:pPr>
            <w:r>
              <w:rPr>
                <w:rFonts w:hint="eastAsia"/>
              </w:rPr>
              <w:t>数目</w:t>
            </w:r>
          </w:p>
        </w:tc>
      </w:tr>
      <w:tr w:rsidR="00000000">
        <w:tblPrEx>
          <w:tblCellMar>
            <w:top w:w="0" w:type="dxa"/>
            <w:bottom w:w="0" w:type="dxa"/>
          </w:tblCellMar>
        </w:tblPrEx>
        <w:tc>
          <w:tcPr>
            <w:tcW w:w="3471" w:type="dxa"/>
            <w:tcBorders>
              <w:bottom w:val="nil"/>
            </w:tcBorders>
          </w:tcPr>
          <w:p w:rsidR="00000000" w:rsidRDefault="00000000">
            <w:pPr>
              <w:pStyle w:val="a2"/>
              <w:ind w:left="170"/>
              <w:rPr>
                <w:rFonts w:hint="eastAsia"/>
              </w:rPr>
            </w:pPr>
            <w:r>
              <w:rPr>
                <w:rFonts w:hint="eastAsia"/>
              </w:rPr>
              <w:t>合作社和私人诊所</w:t>
            </w:r>
          </w:p>
        </w:tc>
        <w:tc>
          <w:tcPr>
            <w:tcW w:w="2304" w:type="dxa"/>
            <w:tcBorders>
              <w:bottom w:val="nil"/>
            </w:tcBorders>
          </w:tcPr>
          <w:p w:rsidR="00000000" w:rsidRDefault="00000000">
            <w:pPr>
              <w:pStyle w:val="a2"/>
              <w:jc w:val="center"/>
            </w:pPr>
            <w:r>
              <w:t>324</w:t>
            </w:r>
          </w:p>
        </w:tc>
      </w:tr>
      <w:tr w:rsidR="00000000">
        <w:tblPrEx>
          <w:tblCellMar>
            <w:top w:w="0" w:type="dxa"/>
            <w:bottom w:w="0" w:type="dxa"/>
          </w:tblCellMar>
        </w:tblPrEx>
        <w:tc>
          <w:tcPr>
            <w:tcW w:w="3471" w:type="dxa"/>
            <w:tcBorders>
              <w:top w:val="nil"/>
              <w:bottom w:val="nil"/>
            </w:tcBorders>
          </w:tcPr>
          <w:p w:rsidR="00000000" w:rsidRDefault="00000000">
            <w:pPr>
              <w:pStyle w:val="a2"/>
              <w:ind w:left="170"/>
              <w:rPr>
                <w:rFonts w:hint="eastAsia"/>
              </w:rPr>
            </w:pPr>
            <w:r>
              <w:rPr>
                <w:rFonts w:hint="eastAsia"/>
              </w:rPr>
              <w:t>私人药店</w:t>
            </w:r>
          </w:p>
        </w:tc>
        <w:tc>
          <w:tcPr>
            <w:tcW w:w="2304" w:type="dxa"/>
            <w:tcBorders>
              <w:top w:val="nil"/>
              <w:bottom w:val="nil"/>
            </w:tcBorders>
          </w:tcPr>
          <w:p w:rsidR="00000000" w:rsidRDefault="00000000">
            <w:pPr>
              <w:pStyle w:val="a2"/>
              <w:jc w:val="center"/>
            </w:pPr>
            <w:r>
              <w:t>745</w:t>
            </w:r>
          </w:p>
        </w:tc>
      </w:tr>
      <w:tr w:rsidR="00000000">
        <w:tblPrEx>
          <w:tblCellMar>
            <w:top w:w="0" w:type="dxa"/>
            <w:bottom w:w="0" w:type="dxa"/>
          </w:tblCellMar>
        </w:tblPrEx>
        <w:tc>
          <w:tcPr>
            <w:tcW w:w="3471" w:type="dxa"/>
            <w:tcBorders>
              <w:top w:val="nil"/>
            </w:tcBorders>
          </w:tcPr>
          <w:p w:rsidR="00000000" w:rsidRDefault="00000000">
            <w:pPr>
              <w:pStyle w:val="a2"/>
              <w:ind w:left="170"/>
              <w:rPr>
                <w:rFonts w:hint="eastAsia"/>
              </w:rPr>
            </w:pPr>
            <w:r>
              <w:rPr>
                <w:rFonts w:hint="eastAsia"/>
              </w:rPr>
              <w:t>实验室</w:t>
            </w:r>
          </w:p>
        </w:tc>
        <w:tc>
          <w:tcPr>
            <w:tcW w:w="2304" w:type="dxa"/>
            <w:tcBorders>
              <w:top w:val="nil"/>
            </w:tcBorders>
          </w:tcPr>
          <w:p w:rsidR="00000000" w:rsidRDefault="00000000">
            <w:pPr>
              <w:pStyle w:val="a2"/>
              <w:jc w:val="center"/>
            </w:pPr>
            <w:r>
              <w:t>24</w:t>
            </w:r>
          </w:p>
        </w:tc>
      </w:tr>
    </w:tbl>
    <w:p w:rsidR="00000000" w:rsidRDefault="00000000">
      <w:pPr>
        <w:pStyle w:val="Heading4"/>
        <w:spacing w:before="320"/>
        <w:rPr>
          <w:rFonts w:hint="eastAsia"/>
        </w:rPr>
      </w:pPr>
      <w:r>
        <w:rPr>
          <w:rFonts w:hint="eastAsia"/>
        </w:rPr>
        <w:t>第</w:t>
      </w:r>
      <w:r>
        <w:rPr>
          <w:rFonts w:hint="eastAsia"/>
        </w:rPr>
        <w:t>2</w:t>
      </w:r>
      <w:r>
        <w:rPr>
          <w:rFonts w:hint="eastAsia"/>
        </w:rPr>
        <w:t>段</w:t>
      </w:r>
    </w:p>
    <w:p w:rsidR="00000000" w:rsidRDefault="00000000">
      <w:pPr>
        <w:spacing w:after="320"/>
        <w:rPr>
          <w:rFonts w:hint="eastAsia"/>
        </w:rPr>
      </w:pPr>
      <w:r>
        <w:rPr>
          <w:rFonts w:hint="eastAsia"/>
        </w:rPr>
        <w:tab/>
        <w:t xml:space="preserve">94.  </w:t>
      </w:r>
      <w:r>
        <w:rPr>
          <w:rFonts w:hint="eastAsia"/>
        </w:rPr>
        <w:t>利比亚民众国执行全国人民委员会</w:t>
      </w:r>
      <w:r>
        <w:rPr>
          <w:rFonts w:hint="eastAsia"/>
        </w:rPr>
        <w:t>1995</w:t>
      </w:r>
      <w:r>
        <w:rPr>
          <w:rFonts w:hint="eastAsia"/>
        </w:rPr>
        <w:t>年第</w:t>
      </w:r>
      <w:r>
        <w:rPr>
          <w:rFonts w:hint="eastAsia"/>
        </w:rPr>
        <w:t>24</w:t>
      </w:r>
      <w:r>
        <w:rPr>
          <w:rFonts w:hint="eastAsia"/>
        </w:rPr>
        <w:t>号法令和</w:t>
      </w:r>
      <w:r>
        <w:rPr>
          <w:rFonts w:hint="eastAsia"/>
        </w:rPr>
        <w:t>1973</w:t>
      </w:r>
      <w:r>
        <w:rPr>
          <w:rFonts w:hint="eastAsia"/>
        </w:rPr>
        <w:t>年第</w:t>
      </w:r>
      <w:r>
        <w:t>106</w:t>
      </w:r>
      <w:r>
        <w:rPr>
          <w:rFonts w:hint="eastAsia"/>
        </w:rPr>
        <w:t>号《卫生法》所规定的全国保健政策，具体内容请参看上文。利比亚民众国接受世界卫生组织所规定的基本医疗服务方法，从其卫生基础设施以及配备医务人员的方式上也可证明这一点。</w:t>
      </w:r>
    </w:p>
    <w:p w:rsidR="00000000" w:rsidRDefault="00000000">
      <w:pPr>
        <w:pStyle w:val="Heading4"/>
        <w:rPr>
          <w:rFonts w:hint="eastAsia"/>
        </w:rPr>
      </w:pPr>
      <w:r>
        <w:rPr>
          <w:rFonts w:hint="eastAsia"/>
        </w:rPr>
        <w:t>第</w:t>
      </w:r>
      <w:r>
        <w:rPr>
          <w:rFonts w:hint="eastAsia"/>
        </w:rPr>
        <w:t>3</w:t>
      </w:r>
      <w:r>
        <w:rPr>
          <w:rFonts w:hint="eastAsia"/>
        </w:rPr>
        <w:t>段：卫生部门开支</w:t>
      </w:r>
    </w:p>
    <w:p w:rsidR="00000000" w:rsidRDefault="00000000">
      <w:pPr>
        <w:rPr>
          <w:rFonts w:hint="eastAsia"/>
        </w:rPr>
      </w:pPr>
      <w:r>
        <w:rPr>
          <w:rFonts w:hint="eastAsia"/>
        </w:rPr>
        <w:tab/>
        <w:t xml:space="preserve">95.  </w:t>
      </w:r>
      <w:r>
        <w:rPr>
          <w:rFonts w:hint="eastAsia"/>
        </w:rPr>
        <w:t>下表提供了有关在</w:t>
      </w:r>
      <w:r>
        <w:rPr>
          <w:rFonts w:hint="eastAsia"/>
        </w:rPr>
        <w:t>1973</w:t>
      </w:r>
      <w:r>
        <w:rPr>
          <w:rFonts w:hint="eastAsia"/>
        </w:rPr>
        <w:t>年至</w:t>
      </w:r>
      <w:r>
        <w:rPr>
          <w:rFonts w:hint="eastAsia"/>
        </w:rPr>
        <w:t>1996</w:t>
      </w:r>
      <w:r>
        <w:rPr>
          <w:rFonts w:hint="eastAsia"/>
        </w:rPr>
        <w:t>年期间卫生部门占国家预算和国民生产总值百分比的信息。</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814"/>
        <w:gridCol w:w="1814"/>
        <w:gridCol w:w="2609"/>
        <w:gridCol w:w="2126"/>
      </w:tblGrid>
      <w:tr w:rsidR="00000000">
        <w:tblPrEx>
          <w:tblCellMar>
            <w:top w:w="0" w:type="dxa"/>
            <w:bottom w:w="0" w:type="dxa"/>
          </w:tblCellMar>
        </w:tblPrEx>
        <w:trPr>
          <w:cantSplit/>
          <w:jc w:val="center"/>
        </w:trPr>
        <w:tc>
          <w:tcPr>
            <w:tcW w:w="993" w:type="dxa"/>
            <w:vMerge w:val="restart"/>
          </w:tcPr>
          <w:p w:rsidR="00000000" w:rsidRDefault="00000000">
            <w:pPr>
              <w:pStyle w:val="a2"/>
              <w:spacing w:line="240" w:lineRule="auto"/>
              <w:jc w:val="center"/>
              <w:rPr>
                <w:rFonts w:hint="eastAsia"/>
              </w:rPr>
            </w:pPr>
            <w:r>
              <w:rPr>
                <w:rFonts w:hint="eastAsia"/>
              </w:rPr>
              <w:t>年份</w:t>
            </w:r>
          </w:p>
        </w:tc>
        <w:tc>
          <w:tcPr>
            <w:tcW w:w="3628" w:type="dxa"/>
            <w:gridSpan w:val="2"/>
          </w:tcPr>
          <w:p w:rsidR="00000000" w:rsidRDefault="00000000">
            <w:pPr>
              <w:pStyle w:val="a2"/>
              <w:spacing w:line="240" w:lineRule="auto"/>
              <w:jc w:val="center"/>
              <w:rPr>
                <w:rFonts w:hint="eastAsia"/>
              </w:rPr>
            </w:pPr>
            <w:r>
              <w:rPr>
                <w:rFonts w:hint="eastAsia"/>
              </w:rPr>
              <w:t>预算</w:t>
            </w:r>
          </w:p>
        </w:tc>
        <w:tc>
          <w:tcPr>
            <w:tcW w:w="2609" w:type="dxa"/>
            <w:vMerge w:val="restart"/>
          </w:tcPr>
          <w:p w:rsidR="00000000" w:rsidRDefault="00000000">
            <w:pPr>
              <w:pStyle w:val="a2"/>
              <w:spacing w:line="240" w:lineRule="auto"/>
              <w:jc w:val="center"/>
              <w:rPr>
                <w:spacing w:val="0"/>
              </w:rPr>
            </w:pPr>
            <w:r>
              <w:rPr>
                <w:rFonts w:hint="eastAsia"/>
                <w:spacing w:val="0"/>
              </w:rPr>
              <w:t>占国民生产总值的</w:t>
            </w:r>
            <w:r>
              <w:rPr>
                <w:spacing w:val="0"/>
              </w:rPr>
              <w:br/>
            </w:r>
            <w:r>
              <w:rPr>
                <w:rFonts w:hint="eastAsia"/>
                <w:spacing w:val="0"/>
              </w:rPr>
              <w:t>百分比</w:t>
            </w:r>
          </w:p>
        </w:tc>
        <w:tc>
          <w:tcPr>
            <w:tcW w:w="2126" w:type="dxa"/>
            <w:vMerge w:val="restart"/>
          </w:tcPr>
          <w:p w:rsidR="00000000" w:rsidRDefault="00000000">
            <w:pPr>
              <w:pStyle w:val="a2"/>
              <w:spacing w:line="240" w:lineRule="auto"/>
              <w:jc w:val="center"/>
              <w:rPr>
                <w:spacing w:val="0"/>
              </w:rPr>
            </w:pPr>
            <w:r>
              <w:rPr>
                <w:rFonts w:hint="eastAsia"/>
                <w:spacing w:val="0"/>
              </w:rPr>
              <w:t>占国家预算的</w:t>
            </w:r>
            <w:r>
              <w:rPr>
                <w:spacing w:val="0"/>
              </w:rPr>
              <w:br/>
            </w:r>
            <w:r>
              <w:rPr>
                <w:rFonts w:hint="eastAsia"/>
                <w:spacing w:val="0"/>
              </w:rPr>
              <w:t>百分比</w:t>
            </w:r>
          </w:p>
        </w:tc>
      </w:tr>
      <w:tr w:rsidR="00000000">
        <w:tblPrEx>
          <w:tblCellMar>
            <w:top w:w="0" w:type="dxa"/>
            <w:bottom w:w="0" w:type="dxa"/>
          </w:tblCellMar>
        </w:tblPrEx>
        <w:trPr>
          <w:cantSplit/>
          <w:jc w:val="center"/>
        </w:trPr>
        <w:tc>
          <w:tcPr>
            <w:tcW w:w="993" w:type="dxa"/>
            <w:vMerge/>
          </w:tcPr>
          <w:p w:rsidR="00000000" w:rsidRDefault="00000000">
            <w:pPr>
              <w:pStyle w:val="a2"/>
              <w:spacing w:line="240" w:lineRule="auto"/>
              <w:jc w:val="center"/>
            </w:pPr>
          </w:p>
        </w:tc>
        <w:tc>
          <w:tcPr>
            <w:tcW w:w="1814" w:type="dxa"/>
          </w:tcPr>
          <w:p w:rsidR="00000000" w:rsidRDefault="00000000">
            <w:pPr>
              <w:pStyle w:val="a2"/>
              <w:spacing w:line="240" w:lineRule="auto"/>
              <w:jc w:val="center"/>
            </w:pPr>
            <w:r>
              <w:rPr>
                <w:rFonts w:hint="eastAsia"/>
              </w:rPr>
              <w:t>普通</w:t>
            </w:r>
          </w:p>
        </w:tc>
        <w:tc>
          <w:tcPr>
            <w:tcW w:w="1814" w:type="dxa"/>
          </w:tcPr>
          <w:p w:rsidR="00000000" w:rsidRDefault="00000000">
            <w:pPr>
              <w:pStyle w:val="a2"/>
              <w:spacing w:line="240" w:lineRule="auto"/>
              <w:jc w:val="center"/>
            </w:pPr>
            <w:r>
              <w:rPr>
                <w:rFonts w:hint="eastAsia"/>
              </w:rPr>
              <w:t>发展</w:t>
            </w:r>
          </w:p>
        </w:tc>
        <w:tc>
          <w:tcPr>
            <w:tcW w:w="2609" w:type="dxa"/>
            <w:vMerge/>
          </w:tcPr>
          <w:p w:rsidR="00000000" w:rsidRDefault="00000000">
            <w:pPr>
              <w:pStyle w:val="a2"/>
              <w:spacing w:line="240" w:lineRule="auto"/>
            </w:pPr>
          </w:p>
        </w:tc>
        <w:tc>
          <w:tcPr>
            <w:tcW w:w="2126" w:type="dxa"/>
            <w:vMerge/>
          </w:tcPr>
          <w:p w:rsidR="00000000" w:rsidRDefault="00000000">
            <w:pPr>
              <w:pStyle w:val="a2"/>
              <w:spacing w:line="240" w:lineRule="auto"/>
            </w:pPr>
          </w:p>
        </w:tc>
      </w:tr>
      <w:tr w:rsidR="00000000">
        <w:tblPrEx>
          <w:tblCellMar>
            <w:top w:w="0" w:type="dxa"/>
            <w:bottom w:w="0" w:type="dxa"/>
          </w:tblCellMar>
        </w:tblPrEx>
        <w:trPr>
          <w:trHeight w:val="180"/>
          <w:jc w:val="center"/>
        </w:trPr>
        <w:tc>
          <w:tcPr>
            <w:tcW w:w="993" w:type="dxa"/>
            <w:tcBorders>
              <w:bottom w:val="nil"/>
            </w:tcBorders>
          </w:tcPr>
          <w:p w:rsidR="00000000" w:rsidRDefault="00000000">
            <w:pPr>
              <w:pStyle w:val="a2"/>
              <w:spacing w:line="240" w:lineRule="auto"/>
              <w:jc w:val="center"/>
            </w:pPr>
            <w:r>
              <w:t>1973</w:t>
            </w:r>
          </w:p>
        </w:tc>
        <w:tc>
          <w:tcPr>
            <w:tcW w:w="1814" w:type="dxa"/>
            <w:tcBorders>
              <w:bottom w:val="nil"/>
            </w:tcBorders>
          </w:tcPr>
          <w:p w:rsidR="00000000" w:rsidRDefault="00000000">
            <w:pPr>
              <w:pStyle w:val="a2"/>
              <w:spacing w:line="240" w:lineRule="auto"/>
              <w:jc w:val="center"/>
            </w:pPr>
            <w:r>
              <w:t>27.2</w:t>
            </w:r>
          </w:p>
        </w:tc>
        <w:tc>
          <w:tcPr>
            <w:tcW w:w="1814" w:type="dxa"/>
            <w:tcBorders>
              <w:bottom w:val="nil"/>
            </w:tcBorders>
          </w:tcPr>
          <w:p w:rsidR="00000000" w:rsidRDefault="00000000">
            <w:pPr>
              <w:pStyle w:val="a2"/>
              <w:spacing w:line="240" w:lineRule="auto"/>
              <w:jc w:val="center"/>
            </w:pPr>
            <w:r>
              <w:t>15.4</w:t>
            </w:r>
          </w:p>
        </w:tc>
        <w:tc>
          <w:tcPr>
            <w:tcW w:w="2609" w:type="dxa"/>
            <w:tcBorders>
              <w:bottom w:val="nil"/>
            </w:tcBorders>
          </w:tcPr>
          <w:p w:rsidR="00000000" w:rsidRDefault="00000000">
            <w:pPr>
              <w:pStyle w:val="a2"/>
              <w:spacing w:line="240" w:lineRule="auto"/>
              <w:jc w:val="center"/>
            </w:pPr>
            <w:r>
              <w:t>2.0</w:t>
            </w:r>
          </w:p>
        </w:tc>
        <w:tc>
          <w:tcPr>
            <w:tcW w:w="2126" w:type="dxa"/>
            <w:tcBorders>
              <w:bottom w:val="nil"/>
            </w:tcBorders>
          </w:tcPr>
          <w:p w:rsidR="00000000" w:rsidRDefault="00000000">
            <w:pPr>
              <w:pStyle w:val="a2"/>
              <w:spacing w:line="240" w:lineRule="auto"/>
              <w:jc w:val="center"/>
            </w:pPr>
            <w:r>
              <w:t>5.1</w:t>
            </w:r>
          </w:p>
        </w:tc>
      </w:tr>
      <w:tr w:rsidR="00000000">
        <w:tblPrEx>
          <w:tblCellMar>
            <w:top w:w="0" w:type="dxa"/>
            <w:bottom w:w="0" w:type="dxa"/>
          </w:tblCellMar>
        </w:tblPrEx>
        <w:trPr>
          <w:jc w:val="center"/>
        </w:trPr>
        <w:tc>
          <w:tcPr>
            <w:tcW w:w="993" w:type="dxa"/>
            <w:tcBorders>
              <w:top w:val="nil"/>
              <w:bottom w:val="nil"/>
            </w:tcBorders>
          </w:tcPr>
          <w:p w:rsidR="00000000" w:rsidRDefault="00000000">
            <w:pPr>
              <w:pStyle w:val="a2"/>
              <w:spacing w:line="240" w:lineRule="auto"/>
              <w:jc w:val="center"/>
            </w:pPr>
            <w:r>
              <w:t>1975</w:t>
            </w:r>
          </w:p>
        </w:tc>
        <w:tc>
          <w:tcPr>
            <w:tcW w:w="1814" w:type="dxa"/>
            <w:tcBorders>
              <w:top w:val="nil"/>
              <w:bottom w:val="nil"/>
            </w:tcBorders>
          </w:tcPr>
          <w:p w:rsidR="00000000" w:rsidRDefault="00000000">
            <w:pPr>
              <w:pStyle w:val="a2"/>
              <w:spacing w:line="240" w:lineRule="auto"/>
              <w:jc w:val="center"/>
            </w:pPr>
            <w:r>
              <w:t>52.6</w:t>
            </w:r>
          </w:p>
        </w:tc>
        <w:tc>
          <w:tcPr>
            <w:tcW w:w="1814" w:type="dxa"/>
            <w:tcBorders>
              <w:top w:val="nil"/>
              <w:bottom w:val="nil"/>
            </w:tcBorders>
          </w:tcPr>
          <w:p w:rsidR="00000000" w:rsidRDefault="00000000">
            <w:pPr>
              <w:pStyle w:val="a2"/>
              <w:spacing w:line="240" w:lineRule="auto"/>
              <w:jc w:val="center"/>
            </w:pPr>
            <w:r>
              <w:t>24.7</w:t>
            </w:r>
          </w:p>
        </w:tc>
        <w:tc>
          <w:tcPr>
            <w:tcW w:w="2609" w:type="dxa"/>
            <w:tcBorders>
              <w:top w:val="nil"/>
              <w:bottom w:val="nil"/>
            </w:tcBorders>
          </w:tcPr>
          <w:p w:rsidR="00000000" w:rsidRDefault="00000000">
            <w:pPr>
              <w:pStyle w:val="a2"/>
              <w:spacing w:line="240" w:lineRule="auto"/>
              <w:jc w:val="center"/>
            </w:pPr>
            <w:r>
              <w:t>2.1</w:t>
            </w:r>
          </w:p>
        </w:tc>
        <w:tc>
          <w:tcPr>
            <w:tcW w:w="2126" w:type="dxa"/>
            <w:tcBorders>
              <w:top w:val="nil"/>
              <w:bottom w:val="nil"/>
            </w:tcBorders>
          </w:tcPr>
          <w:p w:rsidR="00000000" w:rsidRDefault="00000000">
            <w:pPr>
              <w:pStyle w:val="a2"/>
              <w:spacing w:line="240" w:lineRule="auto"/>
              <w:jc w:val="center"/>
            </w:pPr>
            <w:r>
              <w:t>5.6</w:t>
            </w:r>
          </w:p>
        </w:tc>
      </w:tr>
      <w:tr w:rsidR="00000000">
        <w:tblPrEx>
          <w:tblCellMar>
            <w:top w:w="0" w:type="dxa"/>
            <w:bottom w:w="0" w:type="dxa"/>
          </w:tblCellMar>
        </w:tblPrEx>
        <w:trPr>
          <w:jc w:val="center"/>
        </w:trPr>
        <w:tc>
          <w:tcPr>
            <w:tcW w:w="993" w:type="dxa"/>
            <w:tcBorders>
              <w:top w:val="nil"/>
              <w:bottom w:val="nil"/>
            </w:tcBorders>
          </w:tcPr>
          <w:p w:rsidR="00000000" w:rsidRDefault="00000000">
            <w:pPr>
              <w:pStyle w:val="a2"/>
              <w:spacing w:line="240" w:lineRule="auto"/>
              <w:jc w:val="center"/>
            </w:pPr>
            <w:r>
              <w:t>1980</w:t>
            </w:r>
          </w:p>
        </w:tc>
        <w:tc>
          <w:tcPr>
            <w:tcW w:w="1814" w:type="dxa"/>
            <w:tcBorders>
              <w:top w:val="nil"/>
              <w:bottom w:val="nil"/>
            </w:tcBorders>
          </w:tcPr>
          <w:p w:rsidR="00000000" w:rsidRDefault="00000000">
            <w:pPr>
              <w:pStyle w:val="a2"/>
              <w:spacing w:line="240" w:lineRule="auto"/>
              <w:jc w:val="center"/>
            </w:pPr>
            <w:r>
              <w:t>52.8</w:t>
            </w:r>
          </w:p>
        </w:tc>
        <w:tc>
          <w:tcPr>
            <w:tcW w:w="1814" w:type="dxa"/>
            <w:tcBorders>
              <w:top w:val="nil"/>
              <w:bottom w:val="nil"/>
            </w:tcBorders>
          </w:tcPr>
          <w:p w:rsidR="00000000" w:rsidRDefault="00000000">
            <w:pPr>
              <w:pStyle w:val="a2"/>
              <w:spacing w:line="240" w:lineRule="auto"/>
              <w:jc w:val="center"/>
            </w:pPr>
            <w:r>
              <w:t>75.8</w:t>
            </w:r>
          </w:p>
        </w:tc>
        <w:tc>
          <w:tcPr>
            <w:tcW w:w="2609" w:type="dxa"/>
            <w:tcBorders>
              <w:top w:val="nil"/>
              <w:bottom w:val="nil"/>
            </w:tcBorders>
          </w:tcPr>
          <w:p w:rsidR="00000000" w:rsidRDefault="00000000">
            <w:pPr>
              <w:pStyle w:val="a2"/>
              <w:spacing w:line="240" w:lineRule="auto"/>
              <w:jc w:val="center"/>
            </w:pPr>
            <w:r>
              <w:t>0.7</w:t>
            </w:r>
          </w:p>
        </w:tc>
        <w:tc>
          <w:tcPr>
            <w:tcW w:w="2126" w:type="dxa"/>
            <w:tcBorders>
              <w:top w:val="nil"/>
              <w:bottom w:val="nil"/>
            </w:tcBorders>
          </w:tcPr>
          <w:p w:rsidR="00000000" w:rsidRDefault="00000000">
            <w:pPr>
              <w:pStyle w:val="a2"/>
              <w:spacing w:line="240" w:lineRule="auto"/>
              <w:jc w:val="center"/>
            </w:pPr>
            <w:r>
              <w:t>2.2</w:t>
            </w:r>
          </w:p>
        </w:tc>
      </w:tr>
      <w:tr w:rsidR="00000000">
        <w:tblPrEx>
          <w:tblCellMar>
            <w:top w:w="0" w:type="dxa"/>
            <w:bottom w:w="0" w:type="dxa"/>
          </w:tblCellMar>
        </w:tblPrEx>
        <w:trPr>
          <w:jc w:val="center"/>
        </w:trPr>
        <w:tc>
          <w:tcPr>
            <w:tcW w:w="993" w:type="dxa"/>
            <w:tcBorders>
              <w:top w:val="nil"/>
              <w:bottom w:val="nil"/>
            </w:tcBorders>
          </w:tcPr>
          <w:p w:rsidR="00000000" w:rsidRDefault="00000000">
            <w:pPr>
              <w:pStyle w:val="a2"/>
              <w:spacing w:line="240" w:lineRule="auto"/>
              <w:jc w:val="center"/>
            </w:pPr>
            <w:r>
              <w:t>1990</w:t>
            </w:r>
          </w:p>
        </w:tc>
        <w:tc>
          <w:tcPr>
            <w:tcW w:w="1814" w:type="dxa"/>
            <w:tcBorders>
              <w:top w:val="nil"/>
              <w:bottom w:val="nil"/>
            </w:tcBorders>
          </w:tcPr>
          <w:p w:rsidR="00000000" w:rsidRDefault="00000000">
            <w:pPr>
              <w:pStyle w:val="a2"/>
              <w:spacing w:line="240" w:lineRule="auto"/>
              <w:jc w:val="center"/>
            </w:pPr>
            <w:r>
              <w:t>72.8</w:t>
            </w:r>
          </w:p>
        </w:tc>
        <w:tc>
          <w:tcPr>
            <w:tcW w:w="1814" w:type="dxa"/>
            <w:tcBorders>
              <w:top w:val="nil"/>
              <w:bottom w:val="nil"/>
            </w:tcBorders>
          </w:tcPr>
          <w:p w:rsidR="00000000" w:rsidRDefault="00000000">
            <w:pPr>
              <w:pStyle w:val="a2"/>
              <w:spacing w:line="240" w:lineRule="auto"/>
              <w:jc w:val="center"/>
            </w:pPr>
            <w:r>
              <w:t>22.3</w:t>
            </w:r>
          </w:p>
        </w:tc>
        <w:tc>
          <w:tcPr>
            <w:tcW w:w="2609" w:type="dxa"/>
            <w:tcBorders>
              <w:top w:val="nil"/>
              <w:bottom w:val="nil"/>
            </w:tcBorders>
          </w:tcPr>
          <w:p w:rsidR="00000000" w:rsidRDefault="00000000">
            <w:pPr>
              <w:pStyle w:val="a2"/>
              <w:spacing w:line="240" w:lineRule="auto"/>
              <w:jc w:val="center"/>
            </w:pPr>
            <w:r>
              <w:t>1.3</w:t>
            </w:r>
          </w:p>
        </w:tc>
        <w:tc>
          <w:tcPr>
            <w:tcW w:w="2126" w:type="dxa"/>
            <w:tcBorders>
              <w:top w:val="nil"/>
              <w:bottom w:val="nil"/>
            </w:tcBorders>
          </w:tcPr>
          <w:p w:rsidR="00000000" w:rsidRDefault="00000000">
            <w:pPr>
              <w:pStyle w:val="a2"/>
              <w:spacing w:line="240" w:lineRule="auto"/>
              <w:jc w:val="center"/>
            </w:pPr>
            <w:r>
              <w:t>2.5</w:t>
            </w:r>
          </w:p>
        </w:tc>
      </w:tr>
      <w:tr w:rsidR="00000000">
        <w:tblPrEx>
          <w:tblCellMar>
            <w:top w:w="0" w:type="dxa"/>
            <w:bottom w:w="0" w:type="dxa"/>
          </w:tblCellMar>
        </w:tblPrEx>
        <w:trPr>
          <w:jc w:val="center"/>
        </w:trPr>
        <w:tc>
          <w:tcPr>
            <w:tcW w:w="993" w:type="dxa"/>
            <w:tcBorders>
              <w:top w:val="nil"/>
              <w:bottom w:val="nil"/>
            </w:tcBorders>
          </w:tcPr>
          <w:p w:rsidR="00000000" w:rsidRDefault="00000000">
            <w:pPr>
              <w:pStyle w:val="a2"/>
              <w:spacing w:line="240" w:lineRule="auto"/>
              <w:jc w:val="center"/>
            </w:pPr>
            <w:r>
              <w:t>1993</w:t>
            </w:r>
          </w:p>
        </w:tc>
        <w:tc>
          <w:tcPr>
            <w:tcW w:w="1814" w:type="dxa"/>
            <w:tcBorders>
              <w:top w:val="nil"/>
              <w:bottom w:val="nil"/>
            </w:tcBorders>
          </w:tcPr>
          <w:p w:rsidR="00000000" w:rsidRDefault="00000000">
            <w:pPr>
              <w:pStyle w:val="a2"/>
              <w:spacing w:line="240" w:lineRule="auto"/>
              <w:jc w:val="center"/>
            </w:pPr>
            <w:r>
              <w:t>339.0</w:t>
            </w:r>
          </w:p>
        </w:tc>
        <w:tc>
          <w:tcPr>
            <w:tcW w:w="1814" w:type="dxa"/>
            <w:tcBorders>
              <w:top w:val="nil"/>
              <w:bottom w:val="nil"/>
            </w:tcBorders>
          </w:tcPr>
          <w:p w:rsidR="00000000" w:rsidRDefault="00000000">
            <w:pPr>
              <w:pStyle w:val="a2"/>
              <w:spacing w:line="240" w:lineRule="auto"/>
              <w:jc w:val="center"/>
            </w:pPr>
            <w:r>
              <w:t>4.6</w:t>
            </w:r>
          </w:p>
        </w:tc>
        <w:tc>
          <w:tcPr>
            <w:tcW w:w="2609" w:type="dxa"/>
            <w:tcBorders>
              <w:top w:val="nil"/>
              <w:bottom w:val="nil"/>
            </w:tcBorders>
          </w:tcPr>
          <w:p w:rsidR="00000000" w:rsidRDefault="00000000">
            <w:pPr>
              <w:pStyle w:val="a2"/>
              <w:spacing w:line="240" w:lineRule="auto"/>
              <w:jc w:val="center"/>
            </w:pPr>
            <w:r>
              <w:t>1.2</w:t>
            </w:r>
          </w:p>
        </w:tc>
        <w:tc>
          <w:tcPr>
            <w:tcW w:w="2126" w:type="dxa"/>
            <w:tcBorders>
              <w:top w:val="nil"/>
              <w:bottom w:val="nil"/>
            </w:tcBorders>
          </w:tcPr>
          <w:p w:rsidR="00000000" w:rsidRDefault="00000000">
            <w:pPr>
              <w:pStyle w:val="a2"/>
              <w:spacing w:line="240" w:lineRule="auto"/>
              <w:jc w:val="center"/>
            </w:pPr>
            <w:r>
              <w:t>5.0</w:t>
            </w:r>
          </w:p>
        </w:tc>
      </w:tr>
      <w:tr w:rsidR="00000000">
        <w:tblPrEx>
          <w:tblCellMar>
            <w:top w:w="0" w:type="dxa"/>
            <w:bottom w:w="0" w:type="dxa"/>
          </w:tblCellMar>
        </w:tblPrEx>
        <w:trPr>
          <w:jc w:val="center"/>
        </w:trPr>
        <w:tc>
          <w:tcPr>
            <w:tcW w:w="993" w:type="dxa"/>
            <w:tcBorders>
              <w:top w:val="nil"/>
              <w:bottom w:val="nil"/>
            </w:tcBorders>
          </w:tcPr>
          <w:p w:rsidR="00000000" w:rsidRDefault="00000000">
            <w:pPr>
              <w:pStyle w:val="a2"/>
              <w:spacing w:line="240" w:lineRule="auto"/>
              <w:jc w:val="center"/>
            </w:pPr>
            <w:r>
              <w:t>1996</w:t>
            </w:r>
          </w:p>
        </w:tc>
        <w:tc>
          <w:tcPr>
            <w:tcW w:w="1814" w:type="dxa"/>
            <w:tcBorders>
              <w:top w:val="nil"/>
              <w:bottom w:val="nil"/>
            </w:tcBorders>
          </w:tcPr>
          <w:p w:rsidR="00000000" w:rsidRDefault="00000000">
            <w:pPr>
              <w:pStyle w:val="a2"/>
              <w:spacing w:line="240" w:lineRule="auto"/>
              <w:jc w:val="center"/>
            </w:pPr>
            <w:r>
              <w:t>456.1</w:t>
            </w:r>
          </w:p>
        </w:tc>
        <w:tc>
          <w:tcPr>
            <w:tcW w:w="1814" w:type="dxa"/>
            <w:tcBorders>
              <w:top w:val="nil"/>
              <w:bottom w:val="nil"/>
            </w:tcBorders>
          </w:tcPr>
          <w:p w:rsidR="00000000" w:rsidRDefault="00000000">
            <w:pPr>
              <w:pStyle w:val="a2"/>
              <w:spacing w:line="240" w:lineRule="auto"/>
              <w:jc w:val="center"/>
            </w:pPr>
            <w:r>
              <w:t>66.0</w:t>
            </w:r>
          </w:p>
        </w:tc>
        <w:tc>
          <w:tcPr>
            <w:tcW w:w="2609" w:type="dxa"/>
            <w:tcBorders>
              <w:top w:val="nil"/>
              <w:bottom w:val="nil"/>
            </w:tcBorders>
          </w:tcPr>
          <w:p w:rsidR="00000000" w:rsidRDefault="00000000">
            <w:pPr>
              <w:pStyle w:val="a2"/>
              <w:spacing w:line="240" w:lineRule="auto"/>
              <w:jc w:val="center"/>
            </w:pPr>
            <w:r>
              <w:t>3.7</w:t>
            </w:r>
          </w:p>
        </w:tc>
        <w:tc>
          <w:tcPr>
            <w:tcW w:w="2126" w:type="dxa"/>
            <w:tcBorders>
              <w:top w:val="nil"/>
              <w:bottom w:val="nil"/>
            </w:tcBorders>
          </w:tcPr>
          <w:p w:rsidR="00000000" w:rsidRDefault="00000000">
            <w:pPr>
              <w:pStyle w:val="a2"/>
              <w:spacing w:line="240" w:lineRule="auto"/>
              <w:jc w:val="center"/>
            </w:pPr>
            <w:r>
              <w:t>17.1</w:t>
            </w:r>
          </w:p>
        </w:tc>
      </w:tr>
      <w:tr w:rsidR="00000000">
        <w:tblPrEx>
          <w:tblCellMar>
            <w:top w:w="0" w:type="dxa"/>
            <w:bottom w:w="0" w:type="dxa"/>
          </w:tblCellMar>
        </w:tblPrEx>
        <w:trPr>
          <w:jc w:val="center"/>
        </w:trPr>
        <w:tc>
          <w:tcPr>
            <w:tcW w:w="993" w:type="dxa"/>
            <w:tcBorders>
              <w:top w:val="nil"/>
            </w:tcBorders>
          </w:tcPr>
          <w:p w:rsidR="00000000" w:rsidRDefault="00000000">
            <w:pPr>
              <w:pStyle w:val="a2"/>
              <w:spacing w:line="240" w:lineRule="auto"/>
              <w:jc w:val="center"/>
            </w:pPr>
          </w:p>
        </w:tc>
        <w:tc>
          <w:tcPr>
            <w:tcW w:w="1814" w:type="dxa"/>
            <w:tcBorders>
              <w:top w:val="nil"/>
            </w:tcBorders>
          </w:tcPr>
          <w:p w:rsidR="00000000" w:rsidRDefault="00000000">
            <w:pPr>
              <w:pStyle w:val="a2"/>
              <w:spacing w:line="240" w:lineRule="auto"/>
              <w:jc w:val="center"/>
            </w:pPr>
          </w:p>
        </w:tc>
        <w:tc>
          <w:tcPr>
            <w:tcW w:w="1814" w:type="dxa"/>
            <w:tcBorders>
              <w:top w:val="nil"/>
            </w:tcBorders>
          </w:tcPr>
          <w:p w:rsidR="00000000" w:rsidRDefault="00000000">
            <w:pPr>
              <w:pStyle w:val="a2"/>
              <w:spacing w:line="240" w:lineRule="auto"/>
              <w:jc w:val="center"/>
            </w:pPr>
          </w:p>
        </w:tc>
        <w:tc>
          <w:tcPr>
            <w:tcW w:w="2609" w:type="dxa"/>
            <w:tcBorders>
              <w:top w:val="nil"/>
            </w:tcBorders>
          </w:tcPr>
          <w:p w:rsidR="00000000" w:rsidRDefault="00000000">
            <w:pPr>
              <w:pStyle w:val="a2"/>
              <w:spacing w:line="240" w:lineRule="auto"/>
              <w:jc w:val="center"/>
            </w:pPr>
            <w:r>
              <w:t>4.4</w:t>
            </w:r>
          </w:p>
        </w:tc>
        <w:tc>
          <w:tcPr>
            <w:tcW w:w="2126" w:type="dxa"/>
            <w:tcBorders>
              <w:top w:val="nil"/>
            </w:tcBorders>
          </w:tcPr>
          <w:p w:rsidR="00000000" w:rsidRDefault="00000000">
            <w:pPr>
              <w:pStyle w:val="a2"/>
              <w:spacing w:line="240" w:lineRule="auto"/>
              <w:jc w:val="center"/>
            </w:pPr>
            <w:r>
              <w:t>19.6</w:t>
            </w:r>
          </w:p>
        </w:tc>
      </w:tr>
    </w:tbl>
    <w:p w:rsidR="00000000" w:rsidRDefault="00000000">
      <w:pPr>
        <w:pStyle w:val="EndnoteText"/>
        <w:spacing w:before="120" w:after="320"/>
        <w:rPr>
          <w:rFonts w:hint="eastAsia"/>
        </w:rPr>
      </w:pPr>
      <w:r>
        <w:rPr>
          <w:rFonts w:hint="eastAsia"/>
          <w:u w:val="single"/>
        </w:rPr>
        <w:t>资料来源</w:t>
      </w:r>
      <w:r>
        <w:rPr>
          <w:rFonts w:hint="eastAsia"/>
        </w:rPr>
        <w:t>：国家文献和资料处，《</w:t>
      </w:r>
      <w:r>
        <w:rPr>
          <w:rFonts w:hint="eastAsia"/>
        </w:rPr>
        <w:t>1999</w:t>
      </w:r>
      <w:r>
        <w:rPr>
          <w:rFonts w:hint="eastAsia"/>
        </w:rPr>
        <w:t>年利比亚民众国人类发展报告》。</w:t>
      </w:r>
    </w:p>
    <w:p w:rsidR="00000000" w:rsidRDefault="00000000">
      <w:pPr>
        <w:pStyle w:val="Heading4"/>
        <w:rPr>
          <w:rFonts w:hint="eastAsia"/>
        </w:rPr>
      </w:pPr>
      <w:r>
        <w:rPr>
          <w:rFonts w:hint="eastAsia"/>
        </w:rPr>
        <w:t>第</w:t>
      </w:r>
      <w:r>
        <w:rPr>
          <w:rFonts w:hint="eastAsia"/>
        </w:rPr>
        <w:t>4</w:t>
      </w:r>
      <w:r>
        <w:rPr>
          <w:rFonts w:hint="eastAsia"/>
        </w:rPr>
        <w:t>段：婴儿死亡率</w:t>
      </w:r>
    </w:p>
    <w:p w:rsidR="00000000" w:rsidRDefault="00000000">
      <w:pPr>
        <w:pStyle w:val="Heading4"/>
        <w:rPr>
          <w:rFonts w:hint="eastAsia"/>
        </w:rPr>
      </w:pPr>
      <w:r>
        <w:rPr>
          <w:u w:val="none"/>
        </w:rPr>
        <w:t>(a)</w:t>
      </w:r>
      <w:r>
        <w:rPr>
          <w:rFonts w:hint="eastAsia"/>
          <w:u w:val="none"/>
        </w:rPr>
        <w:t xml:space="preserve"> </w:t>
      </w:r>
      <w:r>
        <w:rPr>
          <w:rFonts w:hint="eastAsia"/>
        </w:rPr>
        <w:t>分段</w:t>
      </w:r>
    </w:p>
    <w:p w:rsidR="00000000" w:rsidRDefault="00000000">
      <w:pPr>
        <w:spacing w:after="320"/>
        <w:rPr>
          <w:rFonts w:hint="eastAsia"/>
        </w:rPr>
      </w:pPr>
      <w:r>
        <w:rPr>
          <w:rFonts w:hint="eastAsia"/>
        </w:rPr>
        <w:tab/>
        <w:t xml:space="preserve">96.  </w:t>
      </w:r>
      <w:r>
        <w:rPr>
          <w:rFonts w:hint="eastAsia"/>
        </w:rPr>
        <w:t>在有关全国卫生指数的章节中已经提到婴儿死亡率。</w:t>
      </w:r>
    </w:p>
    <w:p w:rsidR="00000000" w:rsidRDefault="00000000">
      <w:pPr>
        <w:pStyle w:val="Heading4"/>
        <w:spacing w:after="120"/>
        <w:rPr>
          <w:rFonts w:hint="eastAsia"/>
        </w:rPr>
      </w:pPr>
      <w:r>
        <w:rPr>
          <w:u w:val="none"/>
        </w:rPr>
        <w:t>(b)</w:t>
      </w:r>
      <w:r>
        <w:rPr>
          <w:rFonts w:hint="eastAsia"/>
          <w:u w:val="none"/>
        </w:rPr>
        <w:t xml:space="preserve"> </w:t>
      </w:r>
      <w:r>
        <w:rPr>
          <w:rFonts w:hint="eastAsia"/>
        </w:rPr>
        <w:t>分段</w:t>
      </w:r>
    </w:p>
    <w:p w:rsidR="00000000" w:rsidRDefault="00000000">
      <w:pPr>
        <w:spacing w:after="320"/>
        <w:rPr>
          <w:rFonts w:hint="eastAsia"/>
        </w:rPr>
      </w:pPr>
      <w:r>
        <w:rPr>
          <w:rFonts w:hint="eastAsia"/>
        </w:rPr>
        <w:tab/>
        <w:t xml:space="preserve">97.  </w:t>
      </w:r>
      <w:r>
        <w:rPr>
          <w:rFonts w:hint="eastAsia"/>
        </w:rPr>
        <w:t>关于获得安全水源的问题，根据《</w:t>
      </w:r>
      <w:r>
        <w:rPr>
          <w:rFonts w:hint="eastAsia"/>
        </w:rPr>
        <w:t>2000</w:t>
      </w:r>
      <w:r>
        <w:rPr>
          <w:rFonts w:hint="eastAsia"/>
        </w:rPr>
        <w:t>年人类发展报告》，在</w:t>
      </w:r>
      <w:r>
        <w:rPr>
          <w:rFonts w:hint="eastAsia"/>
        </w:rPr>
        <w:t>1998</w:t>
      </w:r>
      <w:r>
        <w:rPr>
          <w:rFonts w:hint="eastAsia"/>
        </w:rPr>
        <w:t>年有</w:t>
      </w:r>
      <w:r>
        <w:rPr>
          <w:rFonts w:hint="eastAsia"/>
        </w:rPr>
        <w:t>3%</w:t>
      </w:r>
      <w:r>
        <w:rPr>
          <w:rFonts w:hint="eastAsia"/>
        </w:rPr>
        <w:t>的人口无法享有安全水源。这就意味着在农村地区和城市中心的</w:t>
      </w:r>
      <w:r>
        <w:rPr>
          <w:rFonts w:hint="eastAsia"/>
        </w:rPr>
        <w:t>97%</w:t>
      </w:r>
      <w:r>
        <w:rPr>
          <w:rFonts w:hint="eastAsia"/>
        </w:rPr>
        <w:t>的人口确实享用安全水。</w:t>
      </w:r>
    </w:p>
    <w:p w:rsidR="00000000" w:rsidRDefault="00000000">
      <w:pPr>
        <w:pStyle w:val="Heading4"/>
        <w:spacing w:after="120"/>
        <w:rPr>
          <w:rFonts w:hint="eastAsia"/>
        </w:rPr>
      </w:pPr>
      <w:r>
        <w:rPr>
          <w:u w:val="none"/>
        </w:rPr>
        <w:t>(c)</w:t>
      </w:r>
      <w:r>
        <w:rPr>
          <w:rFonts w:hint="eastAsia"/>
          <w:u w:val="none"/>
        </w:rPr>
        <w:t xml:space="preserve"> </w:t>
      </w:r>
      <w:r>
        <w:rPr>
          <w:rFonts w:hint="eastAsia"/>
        </w:rPr>
        <w:t>分段</w:t>
      </w:r>
    </w:p>
    <w:p w:rsidR="00000000" w:rsidRDefault="00000000">
      <w:pPr>
        <w:spacing w:after="320"/>
        <w:rPr>
          <w:rFonts w:hint="eastAsia"/>
          <w:vertAlign w:val="superscript"/>
        </w:rPr>
      </w:pPr>
      <w:r>
        <w:rPr>
          <w:rFonts w:hint="eastAsia"/>
        </w:rPr>
        <w:tab/>
        <w:t xml:space="preserve">98.  </w:t>
      </w:r>
      <w:r>
        <w:rPr>
          <w:rFonts w:hint="eastAsia"/>
        </w:rPr>
        <w:t>关于享用家庭卫生设备的问题，同一份报告指出，全国</w:t>
      </w:r>
      <w:r>
        <w:rPr>
          <w:rFonts w:hint="eastAsia"/>
        </w:rPr>
        <w:t>98%</w:t>
      </w:r>
      <w:r>
        <w:rPr>
          <w:rFonts w:hint="eastAsia"/>
        </w:rPr>
        <w:t>的人口享有这些服务，社会保障农村地区同城市中心一样享有这项权利。</w:t>
      </w:r>
      <w:r>
        <w:rPr>
          <w:rFonts w:hint="eastAsia"/>
          <w:vertAlign w:val="superscript"/>
        </w:rPr>
        <w:t>8</w:t>
      </w:r>
    </w:p>
    <w:p w:rsidR="00000000" w:rsidRDefault="00000000">
      <w:pPr>
        <w:pStyle w:val="Heading4"/>
        <w:spacing w:after="120"/>
        <w:rPr>
          <w:rFonts w:hint="eastAsia"/>
        </w:rPr>
      </w:pPr>
      <w:r>
        <w:rPr>
          <w:u w:val="none"/>
        </w:rPr>
        <w:t>(d)</w:t>
      </w:r>
      <w:r>
        <w:rPr>
          <w:rFonts w:hint="eastAsia"/>
          <w:u w:val="none"/>
        </w:rPr>
        <w:t xml:space="preserve"> </w:t>
      </w:r>
      <w:r>
        <w:rPr>
          <w:rFonts w:hint="eastAsia"/>
        </w:rPr>
        <w:t>分段</w:t>
      </w:r>
    </w:p>
    <w:p w:rsidR="00000000" w:rsidRDefault="00000000">
      <w:pPr>
        <w:rPr>
          <w:rFonts w:hint="eastAsia"/>
        </w:rPr>
      </w:pPr>
      <w:r>
        <w:rPr>
          <w:rFonts w:hint="eastAsia"/>
        </w:rPr>
        <w:tab/>
        <w:t xml:space="preserve">99.  </w:t>
      </w:r>
      <w:r>
        <w:rPr>
          <w:rFonts w:hint="eastAsia"/>
        </w:rPr>
        <w:t>关于为婴儿接种疫苗、预防白喉、百日咳、破伤风、麻疹以及小儿麻痹症的问题，《</w:t>
      </w:r>
      <w:r>
        <w:rPr>
          <w:rFonts w:hint="eastAsia"/>
        </w:rPr>
        <w:t>2002</w:t>
      </w:r>
      <w:r>
        <w:rPr>
          <w:rFonts w:hint="eastAsia"/>
        </w:rPr>
        <w:t>年统计年鉴》表明，为预防这些疾病而接种疫苗的比例在城市中心已经达到</w:t>
      </w:r>
      <w:r>
        <w:rPr>
          <w:rFonts w:hint="eastAsia"/>
        </w:rPr>
        <w:t>92.4%</w:t>
      </w:r>
      <w:r>
        <w:rPr>
          <w:rFonts w:hint="eastAsia"/>
        </w:rPr>
        <w:t>，在农村地区是</w:t>
      </w:r>
      <w:r>
        <w:rPr>
          <w:rFonts w:hint="eastAsia"/>
        </w:rPr>
        <w:t>91.7%</w:t>
      </w:r>
      <w:r>
        <w:rPr>
          <w:rFonts w:hint="eastAsia"/>
        </w:rPr>
        <w:t>，全国平均数字为</w:t>
      </w:r>
      <w:r>
        <w:rPr>
          <w:rFonts w:hint="eastAsia"/>
        </w:rPr>
        <w:t>92.2%</w:t>
      </w:r>
      <w:r>
        <w:rPr>
          <w:rFonts w:hint="eastAsia"/>
        </w:rPr>
        <w:t>。</w:t>
      </w:r>
      <w:r>
        <w:rPr>
          <w:rFonts w:hint="eastAsia"/>
          <w:vertAlign w:val="superscript"/>
        </w:rPr>
        <w:t>9</w:t>
      </w:r>
      <w:r>
        <w:rPr>
          <w:rFonts w:hint="eastAsia"/>
        </w:rPr>
        <w:t xml:space="preserve"> </w:t>
      </w:r>
      <w:r>
        <w:rPr>
          <w:rFonts w:hint="eastAsia"/>
        </w:rPr>
        <w:t>公众努力、保健合作社以及马格里布接种疫苗运动共同向家庭宣传了接种疫苗的重要性。与此同时，利比亚的法律</w:t>
      </w:r>
      <w:r>
        <w:rPr>
          <w:rFonts w:hint="eastAsia"/>
        </w:rPr>
        <w:t>(</w:t>
      </w:r>
      <w:r>
        <w:rPr>
          <w:rFonts w:hint="eastAsia"/>
        </w:rPr>
        <w:t>《卫生法》及其执行条例</w:t>
      </w:r>
      <w:r>
        <w:rPr>
          <w:rFonts w:hint="eastAsia"/>
        </w:rPr>
        <w:t>)</w:t>
      </w:r>
      <w:r>
        <w:rPr>
          <w:rFonts w:hint="eastAsia"/>
        </w:rPr>
        <w:t>规定法定监护人必须为儿童接种疫苗，违者受罚。</w:t>
      </w:r>
    </w:p>
    <w:p w:rsidR="00000000" w:rsidRDefault="00000000">
      <w:pPr>
        <w:spacing w:after="320"/>
        <w:rPr>
          <w:rFonts w:hint="eastAsia"/>
        </w:rPr>
      </w:pPr>
      <w:r>
        <w:rPr>
          <w:rFonts w:hint="eastAsia"/>
        </w:rPr>
        <w:tab/>
        <w:t xml:space="preserve">100.  </w:t>
      </w:r>
      <w:r>
        <w:rPr>
          <w:rFonts w:hint="eastAsia"/>
        </w:rPr>
        <w:t>考虑到有关获得食物和保健服务的权利的有关指数，开发计划署的《人类发展报告》将利比亚列为已经达到可持续人类发展相当水平的国家之一。在</w:t>
      </w:r>
      <w:r>
        <w:rPr>
          <w:rFonts w:hint="eastAsia"/>
        </w:rPr>
        <w:t>0</w:t>
      </w:r>
      <w:r>
        <w:rPr>
          <w:rFonts w:hint="eastAsia"/>
        </w:rPr>
        <w:t>至</w:t>
      </w:r>
      <w:r>
        <w:rPr>
          <w:rFonts w:hint="eastAsia"/>
        </w:rPr>
        <w:t>1</w:t>
      </w:r>
      <w:r>
        <w:rPr>
          <w:rFonts w:hint="eastAsia"/>
        </w:rPr>
        <w:t>的级别表上，利比亚的得分为</w:t>
      </w:r>
      <w:r>
        <w:rPr>
          <w:rFonts w:hint="eastAsia"/>
        </w:rPr>
        <w:t>0.806,</w:t>
      </w:r>
      <w:r>
        <w:rPr>
          <w:rFonts w:hint="eastAsia"/>
        </w:rPr>
        <w:t>在</w:t>
      </w:r>
      <w:r>
        <w:rPr>
          <w:rFonts w:hint="eastAsia"/>
        </w:rPr>
        <w:t>1998</w:t>
      </w:r>
      <w:r>
        <w:rPr>
          <w:rFonts w:hint="eastAsia"/>
        </w:rPr>
        <w:t>年的</w:t>
      </w:r>
      <w:r>
        <w:rPr>
          <w:rFonts w:hint="eastAsia"/>
        </w:rPr>
        <w:t>174</w:t>
      </w:r>
      <w:r>
        <w:rPr>
          <w:rFonts w:hint="eastAsia"/>
        </w:rPr>
        <w:t>个国家中名列第</w:t>
      </w:r>
      <w:r>
        <w:rPr>
          <w:rFonts w:hint="eastAsia"/>
        </w:rPr>
        <w:t>64</w:t>
      </w:r>
      <w:r>
        <w:rPr>
          <w:rFonts w:hint="eastAsia"/>
        </w:rPr>
        <w:t>位。</w:t>
      </w:r>
    </w:p>
    <w:p w:rsidR="00000000" w:rsidRDefault="00000000">
      <w:pPr>
        <w:pStyle w:val="Heading4"/>
        <w:spacing w:after="120"/>
        <w:rPr>
          <w:rFonts w:hint="eastAsia"/>
        </w:rPr>
      </w:pPr>
      <w:r>
        <w:rPr>
          <w:rFonts w:hint="eastAsia"/>
        </w:rPr>
        <w:t>第</w:t>
      </w:r>
      <w:r>
        <w:t>(e)</w:t>
      </w:r>
      <w:r>
        <w:rPr>
          <w:rFonts w:hint="eastAsia"/>
        </w:rPr>
        <w:t>段</w:t>
      </w:r>
    </w:p>
    <w:p w:rsidR="00000000" w:rsidRDefault="00000000">
      <w:pPr>
        <w:spacing w:after="320"/>
        <w:rPr>
          <w:rFonts w:hint="eastAsia"/>
        </w:rPr>
      </w:pPr>
      <w:r>
        <w:rPr>
          <w:rFonts w:hint="eastAsia"/>
        </w:rPr>
        <w:tab/>
        <w:t>101.  1998</w:t>
      </w:r>
      <w:r>
        <w:rPr>
          <w:rFonts w:hint="eastAsia"/>
        </w:rPr>
        <w:t>年的预期寿命为</w:t>
      </w:r>
      <w:r>
        <w:rPr>
          <w:rFonts w:hint="eastAsia"/>
        </w:rPr>
        <w:t>70.2</w:t>
      </w:r>
      <w:r>
        <w:rPr>
          <w:rFonts w:hint="eastAsia"/>
        </w:rPr>
        <w:t>岁，</w:t>
      </w:r>
      <w:r>
        <w:rPr>
          <w:rFonts w:hint="eastAsia"/>
          <w:vertAlign w:val="superscript"/>
        </w:rPr>
        <w:t>10</w:t>
      </w:r>
      <w:r>
        <w:rPr>
          <w:rFonts w:hint="eastAsia"/>
        </w:rPr>
        <w:t xml:space="preserve"> </w:t>
      </w:r>
      <w:r>
        <w:rPr>
          <w:rFonts w:hint="eastAsia"/>
        </w:rPr>
        <w:t>而</w:t>
      </w:r>
      <w:r>
        <w:rPr>
          <w:rFonts w:hint="eastAsia"/>
        </w:rPr>
        <w:t>1970</w:t>
      </w:r>
      <w:r>
        <w:rPr>
          <w:rFonts w:hint="eastAsia"/>
        </w:rPr>
        <w:t>年的数字仅为</w:t>
      </w:r>
      <w:r>
        <w:rPr>
          <w:rFonts w:hint="eastAsia"/>
        </w:rPr>
        <w:t>46</w:t>
      </w:r>
      <w:r>
        <w:rPr>
          <w:rFonts w:hint="eastAsia"/>
        </w:rPr>
        <w:t>岁。国家人类发展报告将这一成就归于几个因素，其中包括改进了卫生基础设施和执行了促进人民获得适足医疗服务的保健政策。享受医疗服务人士的比例目前接近</w:t>
      </w:r>
      <w:r>
        <w:rPr>
          <w:rFonts w:hint="eastAsia"/>
        </w:rPr>
        <w:t>95%</w:t>
      </w:r>
      <w:r>
        <w:rPr>
          <w:rFonts w:hint="eastAsia"/>
        </w:rPr>
        <w:t>，而在</w:t>
      </w:r>
      <w:r>
        <w:rPr>
          <w:rFonts w:hint="eastAsia"/>
        </w:rPr>
        <w:t>1973</w:t>
      </w:r>
      <w:r>
        <w:rPr>
          <w:rFonts w:hint="eastAsia"/>
        </w:rPr>
        <w:t>年是</w:t>
      </w:r>
      <w:r>
        <w:rPr>
          <w:rFonts w:hint="eastAsia"/>
        </w:rPr>
        <w:t>45%</w:t>
      </w:r>
      <w:r>
        <w:rPr>
          <w:rFonts w:hint="eastAsia"/>
        </w:rPr>
        <w:t>。</w:t>
      </w:r>
    </w:p>
    <w:p w:rsidR="00000000" w:rsidRDefault="00000000">
      <w:pPr>
        <w:pStyle w:val="Heading4"/>
        <w:spacing w:after="120"/>
        <w:rPr>
          <w:rFonts w:hint="eastAsia"/>
        </w:rPr>
      </w:pPr>
      <w:r>
        <w:rPr>
          <w:rFonts w:hint="eastAsia"/>
        </w:rPr>
        <w:t>第</w:t>
      </w:r>
      <w:r>
        <w:t>(f)</w:t>
      </w:r>
      <w:r>
        <w:rPr>
          <w:rFonts w:hint="eastAsia"/>
        </w:rPr>
        <w:t>段</w:t>
      </w:r>
    </w:p>
    <w:p w:rsidR="00000000" w:rsidRDefault="00000000">
      <w:pPr>
        <w:spacing w:after="320"/>
        <w:rPr>
          <w:rFonts w:hint="eastAsia"/>
        </w:rPr>
      </w:pPr>
      <w:r>
        <w:rPr>
          <w:rFonts w:hint="eastAsia"/>
        </w:rPr>
        <w:tab/>
        <w:t xml:space="preserve">102.  </w:t>
      </w:r>
      <w:r>
        <w:rPr>
          <w:rFonts w:hint="eastAsia"/>
        </w:rPr>
        <w:t>现有数据表明，在全国人口中能够获得专业人员照料的比例目前超过</w:t>
      </w:r>
      <w:r>
        <w:rPr>
          <w:rFonts w:hint="eastAsia"/>
        </w:rPr>
        <w:t>95%</w:t>
      </w:r>
      <w:r>
        <w:rPr>
          <w:rFonts w:hint="eastAsia"/>
        </w:rPr>
        <w:t>，在城市中心可以达到</w:t>
      </w:r>
      <w:r>
        <w:rPr>
          <w:rFonts w:hint="eastAsia"/>
        </w:rPr>
        <w:t>100%</w:t>
      </w:r>
      <w:r>
        <w:rPr>
          <w:rFonts w:hint="eastAsia"/>
        </w:rPr>
        <w:t>。</w:t>
      </w:r>
    </w:p>
    <w:p w:rsidR="00000000" w:rsidRDefault="00000000">
      <w:pPr>
        <w:pStyle w:val="Heading4"/>
        <w:rPr>
          <w:rFonts w:hint="eastAsia"/>
        </w:rPr>
      </w:pPr>
      <w:r>
        <w:rPr>
          <w:rFonts w:hint="eastAsia"/>
        </w:rPr>
        <w:t>第</w:t>
      </w:r>
      <w:r>
        <w:t>(g)</w:t>
      </w:r>
      <w:r>
        <w:rPr>
          <w:rFonts w:hint="eastAsia"/>
        </w:rPr>
        <w:t>段</w:t>
      </w:r>
    </w:p>
    <w:p w:rsidR="00000000" w:rsidRDefault="00000000">
      <w:pPr>
        <w:spacing w:after="320"/>
        <w:rPr>
          <w:rFonts w:hint="eastAsia"/>
        </w:rPr>
      </w:pPr>
      <w:r>
        <w:rPr>
          <w:rFonts w:hint="eastAsia"/>
        </w:rPr>
        <w:tab/>
        <w:t xml:space="preserve">103.  </w:t>
      </w:r>
      <w:r>
        <w:rPr>
          <w:rFonts w:hint="eastAsia"/>
        </w:rPr>
        <w:t>根据全国人民卫生委员会汇编的</w:t>
      </w:r>
      <w:r>
        <w:rPr>
          <w:rFonts w:hint="eastAsia"/>
        </w:rPr>
        <w:t>1999</w:t>
      </w:r>
      <w:r>
        <w:rPr>
          <w:rFonts w:hint="eastAsia"/>
        </w:rPr>
        <w:t>年统计数字，</w:t>
      </w:r>
      <w:r>
        <w:rPr>
          <w:rFonts w:hint="eastAsia"/>
          <w:vertAlign w:val="superscript"/>
        </w:rPr>
        <w:t>11</w:t>
      </w:r>
      <w:r>
        <w:rPr>
          <w:rFonts w:hint="eastAsia"/>
        </w:rPr>
        <w:t xml:space="preserve"> </w:t>
      </w:r>
      <w:r>
        <w:rPr>
          <w:rFonts w:hint="eastAsia"/>
        </w:rPr>
        <w:t>孕妇在怀孕期间获得专业人员服务的比例已经达到</w:t>
      </w:r>
      <w:r>
        <w:rPr>
          <w:rFonts w:hint="eastAsia"/>
        </w:rPr>
        <w:t>99%</w:t>
      </w:r>
      <w:r>
        <w:rPr>
          <w:rFonts w:hint="eastAsia"/>
        </w:rPr>
        <w:t>。同年的产妇死亡率为每</w:t>
      </w:r>
      <w:r>
        <w:rPr>
          <w:rFonts w:hint="eastAsia"/>
        </w:rPr>
        <w:t>10,000</w:t>
      </w:r>
      <w:r>
        <w:rPr>
          <w:rFonts w:hint="eastAsia"/>
        </w:rPr>
        <w:t>活产</w:t>
      </w:r>
      <w:r>
        <w:rPr>
          <w:rFonts w:hint="eastAsia"/>
        </w:rPr>
        <w:t>30</w:t>
      </w:r>
      <w:r>
        <w:rPr>
          <w:rFonts w:hint="eastAsia"/>
        </w:rPr>
        <w:t>人。</w:t>
      </w:r>
    </w:p>
    <w:p w:rsidR="00000000" w:rsidRDefault="00000000">
      <w:pPr>
        <w:pStyle w:val="Heading4"/>
        <w:rPr>
          <w:rFonts w:hint="eastAsia"/>
        </w:rPr>
      </w:pPr>
      <w:r>
        <w:rPr>
          <w:rFonts w:hint="eastAsia"/>
        </w:rPr>
        <w:t>第</w:t>
      </w:r>
      <w:r>
        <w:t>(h)</w:t>
      </w:r>
      <w:r>
        <w:rPr>
          <w:rFonts w:hint="eastAsia"/>
        </w:rPr>
        <w:t>段</w:t>
      </w:r>
    </w:p>
    <w:p w:rsidR="00000000" w:rsidRDefault="00000000">
      <w:pPr>
        <w:spacing w:after="320"/>
        <w:rPr>
          <w:rFonts w:hint="eastAsia"/>
        </w:rPr>
      </w:pPr>
      <w:r>
        <w:rPr>
          <w:rFonts w:hint="eastAsia"/>
        </w:rPr>
        <w:tab/>
        <w:t xml:space="preserve">104.  </w:t>
      </w:r>
      <w:r>
        <w:rPr>
          <w:rFonts w:hint="eastAsia"/>
        </w:rPr>
        <w:t>获得专业人员照料的婴儿比例在城市地区为</w:t>
      </w:r>
      <w:r>
        <w:rPr>
          <w:rFonts w:hint="eastAsia"/>
        </w:rPr>
        <w:t>98%</w:t>
      </w:r>
      <w:r>
        <w:rPr>
          <w:rFonts w:hint="eastAsia"/>
        </w:rPr>
        <w:t>，在农村地区大约为</w:t>
      </w:r>
      <w:r>
        <w:rPr>
          <w:rFonts w:hint="eastAsia"/>
        </w:rPr>
        <w:t>96%</w:t>
      </w:r>
      <w:r>
        <w:rPr>
          <w:rFonts w:hint="eastAsia"/>
        </w:rPr>
        <w:t>。</w:t>
      </w:r>
    </w:p>
    <w:p w:rsidR="00000000" w:rsidRDefault="00000000">
      <w:pPr>
        <w:pStyle w:val="Heading4"/>
        <w:rPr>
          <w:rFonts w:hint="eastAsia"/>
        </w:rPr>
      </w:pPr>
      <w:r>
        <w:rPr>
          <w:rFonts w:hint="eastAsia"/>
        </w:rPr>
        <w:t>第</w:t>
      </w:r>
      <w:r>
        <w:rPr>
          <w:rFonts w:hint="eastAsia"/>
        </w:rPr>
        <w:t>5</w:t>
      </w:r>
      <w:r>
        <w:rPr>
          <w:rFonts w:hint="eastAsia"/>
        </w:rPr>
        <w:t>段</w:t>
      </w:r>
    </w:p>
    <w:p w:rsidR="00000000" w:rsidRDefault="00000000">
      <w:pPr>
        <w:spacing w:after="320"/>
        <w:rPr>
          <w:rFonts w:hint="eastAsia"/>
        </w:rPr>
      </w:pPr>
      <w:r>
        <w:rPr>
          <w:rFonts w:hint="eastAsia"/>
        </w:rPr>
        <w:tab/>
        <w:t xml:space="preserve">105.  </w:t>
      </w:r>
      <w:r>
        <w:rPr>
          <w:rFonts w:hint="eastAsia"/>
        </w:rPr>
        <w:t>药瘾和艾滋病毒</w:t>
      </w:r>
      <w:r>
        <w:rPr>
          <w:rFonts w:hint="eastAsia"/>
        </w:rPr>
        <w:t>/</w:t>
      </w:r>
      <w:r>
        <w:rPr>
          <w:rFonts w:hint="eastAsia"/>
        </w:rPr>
        <w:t>艾滋病患者的情况要糟糕得多，但是根据</w:t>
      </w:r>
      <w:r>
        <w:rPr>
          <w:rFonts w:hint="eastAsia"/>
        </w:rPr>
        <w:t>1999</w:t>
      </w:r>
      <w:r>
        <w:rPr>
          <w:rFonts w:hint="eastAsia"/>
        </w:rPr>
        <w:t>年国家人类发展报告所载的统计数字，正在接受治疗的艾滋病毒</w:t>
      </w:r>
      <w:r>
        <w:rPr>
          <w:rFonts w:hint="eastAsia"/>
        </w:rPr>
        <w:t>/</w:t>
      </w:r>
      <w:r>
        <w:rPr>
          <w:rFonts w:hint="eastAsia"/>
        </w:rPr>
        <w:t>艾滋病患者的人数不超过</w:t>
      </w:r>
      <w:r>
        <w:rPr>
          <w:rFonts w:hint="eastAsia"/>
        </w:rPr>
        <w:t>500</w:t>
      </w:r>
      <w:r>
        <w:rPr>
          <w:rFonts w:hint="eastAsia"/>
        </w:rPr>
        <w:t>。</w:t>
      </w:r>
    </w:p>
    <w:p w:rsidR="00000000" w:rsidRDefault="00000000">
      <w:pPr>
        <w:pStyle w:val="Heading4"/>
        <w:rPr>
          <w:rFonts w:hint="eastAsia"/>
        </w:rPr>
      </w:pPr>
      <w:r>
        <w:rPr>
          <w:u w:val="none"/>
        </w:rPr>
        <w:t>(a)</w:t>
      </w:r>
      <w:r>
        <w:rPr>
          <w:rFonts w:hint="eastAsia"/>
          <w:u w:val="none"/>
        </w:rPr>
        <w:t xml:space="preserve"> </w:t>
      </w:r>
      <w:r>
        <w:rPr>
          <w:rFonts w:hint="eastAsia"/>
        </w:rPr>
        <w:t>分段</w:t>
      </w:r>
    </w:p>
    <w:p w:rsidR="00000000" w:rsidRDefault="00000000">
      <w:pPr>
        <w:spacing w:after="320"/>
        <w:rPr>
          <w:rFonts w:hint="eastAsia"/>
        </w:rPr>
      </w:pPr>
      <w:r>
        <w:rPr>
          <w:rFonts w:hint="eastAsia"/>
        </w:rPr>
        <w:tab/>
        <w:t xml:space="preserve">106.  </w:t>
      </w:r>
      <w:r>
        <w:rPr>
          <w:rFonts w:hint="eastAsia"/>
        </w:rPr>
        <w:t>可以说正在实施的政策是尊重这些群体的权利的，对于有关政策所作的修订对于这些人的健康状况产生了积极影响。</w:t>
      </w:r>
    </w:p>
    <w:p w:rsidR="00000000" w:rsidRDefault="00000000">
      <w:pPr>
        <w:pStyle w:val="Heading4"/>
        <w:rPr>
          <w:rFonts w:hint="eastAsia"/>
        </w:rPr>
      </w:pPr>
      <w:r>
        <w:rPr>
          <w:u w:val="none"/>
        </w:rPr>
        <w:t>(b)</w:t>
      </w:r>
      <w:r>
        <w:rPr>
          <w:rFonts w:hint="eastAsia"/>
          <w:u w:val="none"/>
        </w:rPr>
        <w:t xml:space="preserve"> </w:t>
      </w:r>
      <w:r>
        <w:rPr>
          <w:rFonts w:hint="eastAsia"/>
        </w:rPr>
        <w:t>分段</w:t>
      </w:r>
    </w:p>
    <w:p w:rsidR="00000000" w:rsidRDefault="00000000">
      <w:pPr>
        <w:spacing w:after="320"/>
        <w:rPr>
          <w:rFonts w:hint="eastAsia"/>
        </w:rPr>
      </w:pPr>
      <w:r>
        <w:rPr>
          <w:rFonts w:hint="eastAsia"/>
        </w:rPr>
        <w:tab/>
        <w:t xml:space="preserve">107.  </w:t>
      </w:r>
      <w:r>
        <w:rPr>
          <w:rFonts w:hint="eastAsia"/>
        </w:rPr>
        <w:t>已经通过的政策重申这些群体享有接受保护、治疗和康复服务的权利。为了治疗药瘾和照料艾滋病毒</w:t>
      </w:r>
      <w:r>
        <w:rPr>
          <w:rFonts w:hint="eastAsia"/>
        </w:rPr>
        <w:t>/</w:t>
      </w:r>
      <w:r>
        <w:rPr>
          <w:rFonts w:hint="eastAsia"/>
        </w:rPr>
        <w:t>艾滋病患者，已经成立了治疗中心。为执行卫生政策和《卫生法》而制定了保健意识和咨询计划，国家在此计划的框架内通过了一项旨在提高人们对于毒品以及艾滋病毒</w:t>
      </w:r>
      <w:r>
        <w:rPr>
          <w:rFonts w:hint="eastAsia"/>
        </w:rPr>
        <w:t>/</w:t>
      </w:r>
      <w:r>
        <w:rPr>
          <w:rFonts w:hint="eastAsia"/>
        </w:rPr>
        <w:t>艾滋病的危险认识的政策。</w:t>
      </w:r>
    </w:p>
    <w:p w:rsidR="00000000" w:rsidRDefault="00000000">
      <w:pPr>
        <w:pStyle w:val="Heading4"/>
        <w:rPr>
          <w:rFonts w:hint="eastAsia"/>
        </w:rPr>
      </w:pPr>
      <w:r>
        <w:rPr>
          <w:u w:val="none"/>
        </w:rPr>
        <w:t>(c)</w:t>
      </w:r>
      <w:r>
        <w:rPr>
          <w:rFonts w:hint="eastAsia"/>
          <w:u w:val="none"/>
        </w:rPr>
        <w:t xml:space="preserve"> </w:t>
      </w:r>
      <w:r>
        <w:rPr>
          <w:rFonts w:hint="eastAsia"/>
        </w:rPr>
        <w:t>分段</w:t>
      </w:r>
    </w:p>
    <w:p w:rsidR="00000000" w:rsidRDefault="00000000">
      <w:pPr>
        <w:rPr>
          <w:rFonts w:hint="eastAsia"/>
        </w:rPr>
      </w:pPr>
      <w:r>
        <w:rPr>
          <w:rFonts w:hint="eastAsia"/>
        </w:rPr>
        <w:tab/>
        <w:t xml:space="preserve">108.  </w:t>
      </w:r>
      <w:r>
        <w:rPr>
          <w:rFonts w:hint="eastAsia"/>
        </w:rPr>
        <w:t>国家政策规定执行一些有关上文第</w:t>
      </w:r>
      <w:r>
        <w:rPr>
          <w:rFonts w:hint="eastAsia"/>
        </w:rPr>
        <w:t>5</w:t>
      </w:r>
      <w:r>
        <w:rPr>
          <w:rFonts w:hint="eastAsia"/>
        </w:rPr>
        <w:t>段已经提到的群体的措施。这些措施包括：</w:t>
      </w:r>
    </w:p>
    <w:p w:rsidR="00000000" w:rsidRDefault="00000000">
      <w:pPr>
        <w:pStyle w:val="a0"/>
        <w:ind w:left="1530"/>
        <w:rPr>
          <w:rFonts w:hint="eastAsia"/>
        </w:rPr>
      </w:pPr>
      <w:r>
        <w:rPr>
          <w:rFonts w:hint="eastAsia"/>
        </w:rPr>
        <w:t>规定公民和非公民必须具有健康证，证明自己没有传染病，特别是艾滋病毒</w:t>
      </w:r>
      <w:r>
        <w:rPr>
          <w:rFonts w:hint="eastAsia"/>
        </w:rPr>
        <w:t>/</w:t>
      </w:r>
      <w:r>
        <w:rPr>
          <w:rFonts w:hint="eastAsia"/>
        </w:rPr>
        <w:t>艾滋病。；</w:t>
      </w:r>
    </w:p>
    <w:p w:rsidR="00000000" w:rsidRDefault="00000000">
      <w:pPr>
        <w:pStyle w:val="a0"/>
        <w:ind w:left="1530"/>
        <w:rPr>
          <w:rFonts w:hint="eastAsia"/>
        </w:rPr>
      </w:pPr>
      <w:r>
        <w:rPr>
          <w:rFonts w:hint="eastAsia"/>
        </w:rPr>
        <w:t>规定在各级学校中的学生必须具有证书，证明自己没有传染病；</w:t>
      </w:r>
    </w:p>
    <w:p w:rsidR="00000000" w:rsidRDefault="00000000">
      <w:pPr>
        <w:pStyle w:val="a0"/>
        <w:ind w:left="1530"/>
        <w:rPr>
          <w:rFonts w:hint="eastAsia"/>
        </w:rPr>
      </w:pPr>
      <w:r>
        <w:rPr>
          <w:rFonts w:hint="eastAsia"/>
        </w:rPr>
        <w:t>规定外国人，特别是非法移民，必须接受医疗检查；</w:t>
      </w:r>
    </w:p>
    <w:p w:rsidR="00000000" w:rsidRDefault="00000000">
      <w:pPr>
        <w:pStyle w:val="a0"/>
        <w:ind w:left="1530"/>
      </w:pPr>
      <w:r>
        <w:rPr>
          <w:rFonts w:hint="eastAsia"/>
        </w:rPr>
        <w:t>对面包房以及其他制造食品的场所进行检查，以便核实其雇员的健康状况；</w:t>
      </w:r>
    </w:p>
    <w:p w:rsidR="00000000" w:rsidRDefault="00000000">
      <w:pPr>
        <w:pStyle w:val="a0"/>
        <w:ind w:left="1550"/>
        <w:rPr>
          <w:rFonts w:hint="eastAsia"/>
        </w:rPr>
      </w:pPr>
      <w:r>
        <w:rPr>
          <w:rFonts w:hint="eastAsia"/>
        </w:rPr>
        <w:t>加强反对毒品运动和边境检查，查明、逮捕和起诉毒贩。</w:t>
      </w:r>
    </w:p>
    <w:p w:rsidR="00000000" w:rsidRDefault="00000000">
      <w:pPr>
        <w:pStyle w:val="a0"/>
        <w:numPr>
          <w:ilvl w:val="0"/>
          <w:numId w:val="0"/>
        </w:numPr>
        <w:ind w:left="510" w:hanging="510"/>
        <w:rPr>
          <w:rFonts w:hint="eastAsia"/>
        </w:rPr>
      </w:pPr>
      <w:r>
        <w:rPr>
          <w:rFonts w:hint="eastAsia"/>
        </w:rPr>
        <w:tab/>
        <w:t xml:space="preserve">109.  </w:t>
      </w:r>
      <w:r>
        <w:rPr>
          <w:rFonts w:hint="eastAsia"/>
        </w:rPr>
        <w:t>所有上述措施都有助于制止流行病、滥用毒品以及毒瘾。</w:t>
      </w:r>
    </w:p>
    <w:p w:rsidR="00000000" w:rsidRDefault="00000000">
      <w:pPr>
        <w:spacing w:after="320"/>
        <w:rPr>
          <w:rFonts w:hint="eastAsia"/>
        </w:rPr>
      </w:pPr>
      <w:r>
        <w:rPr>
          <w:rFonts w:hint="eastAsia"/>
        </w:rPr>
        <w:tab/>
        <w:t xml:space="preserve">110.  </w:t>
      </w:r>
      <w:r>
        <w:rPr>
          <w:rFonts w:hint="eastAsia"/>
        </w:rPr>
        <w:t>应当指出，疟疾以及艾滋病毒</w:t>
      </w:r>
      <w:r>
        <w:rPr>
          <w:rFonts w:hint="eastAsia"/>
        </w:rPr>
        <w:t>/</w:t>
      </w:r>
      <w:r>
        <w:rPr>
          <w:rFonts w:hint="eastAsia"/>
        </w:rPr>
        <w:t>艾滋病的高发人群是非法入境者。在</w:t>
      </w:r>
      <w:r>
        <w:rPr>
          <w:rFonts w:hint="eastAsia"/>
        </w:rPr>
        <w:t>1970</w:t>
      </w:r>
      <w:r>
        <w:rPr>
          <w:rFonts w:hint="eastAsia"/>
        </w:rPr>
        <w:t>年代，非法入境者占所有疟疾病例的</w:t>
      </w:r>
      <w:r>
        <w:rPr>
          <w:rFonts w:hint="eastAsia"/>
        </w:rPr>
        <w:t>65%</w:t>
      </w:r>
      <w:r>
        <w:rPr>
          <w:rFonts w:hint="eastAsia"/>
        </w:rPr>
        <w:t>。非法入境的艾滋病患者有权获得与利比亚公民同样的免费治疗，而那些对社会有威胁的患者则根据利比亚同有关国家签署的条约由利比亚出资遣送回国。这种做法不能算作歧视。</w:t>
      </w:r>
    </w:p>
    <w:p w:rsidR="00000000" w:rsidRDefault="00000000">
      <w:pPr>
        <w:pStyle w:val="Heading4"/>
        <w:rPr>
          <w:rFonts w:hint="eastAsia"/>
          <w:u w:val="none"/>
        </w:rPr>
      </w:pPr>
      <w:r>
        <w:rPr>
          <w:rFonts w:hint="eastAsia"/>
        </w:rPr>
        <w:t>(</w:t>
      </w:r>
      <w:r>
        <w:t>d</w:t>
      </w:r>
      <w:r>
        <w:rPr>
          <w:rFonts w:hint="eastAsia"/>
        </w:rPr>
        <w:t xml:space="preserve">) </w:t>
      </w:r>
      <w:r>
        <w:rPr>
          <w:rFonts w:hint="eastAsia"/>
        </w:rPr>
        <w:t>分段</w:t>
      </w:r>
    </w:p>
    <w:p w:rsidR="00000000" w:rsidRDefault="00000000">
      <w:pPr>
        <w:spacing w:after="320"/>
        <w:rPr>
          <w:rFonts w:hint="eastAsia"/>
        </w:rPr>
      </w:pPr>
      <w:r>
        <w:tab/>
        <w:t xml:space="preserve">111.  </w:t>
      </w:r>
      <w:r>
        <w:rPr>
          <w:rFonts w:hint="eastAsia"/>
        </w:rPr>
        <w:t>为制止艾滋病毒</w:t>
      </w:r>
      <w:r>
        <w:rPr>
          <w:rFonts w:hint="eastAsia"/>
        </w:rPr>
        <w:t>/</w:t>
      </w:r>
      <w:r>
        <w:rPr>
          <w:rFonts w:hint="eastAsia"/>
        </w:rPr>
        <w:t>艾滋病传播而采取的措施有助于遏制疾病的传染。此外，已经建立了一所传染病治疗中心，以便优先解决这一疾病。为了防止这种祸患的蔓延，利比亚已经加紧努力同开发计划署在利比亚的办事处进行合作。</w:t>
      </w:r>
    </w:p>
    <w:p w:rsidR="00000000" w:rsidRDefault="00000000">
      <w:pPr>
        <w:pStyle w:val="Heading4"/>
      </w:pPr>
      <w:r>
        <w:rPr>
          <w:rFonts w:hint="eastAsia"/>
        </w:rPr>
        <w:t>(</w:t>
      </w:r>
      <w:r>
        <w:t>e</w:t>
      </w:r>
      <w:r>
        <w:rPr>
          <w:rFonts w:hint="eastAsia"/>
        </w:rPr>
        <w:t xml:space="preserve">) </w:t>
      </w:r>
      <w:r>
        <w:rPr>
          <w:rFonts w:hint="eastAsia"/>
        </w:rPr>
        <w:t>分段</w:t>
      </w:r>
    </w:p>
    <w:p w:rsidR="00000000" w:rsidRDefault="00000000">
      <w:pPr>
        <w:spacing w:after="180"/>
        <w:rPr>
          <w:rFonts w:hint="eastAsia"/>
        </w:rPr>
      </w:pPr>
      <w:r>
        <w:tab/>
        <w:t xml:space="preserve">112.  </w:t>
      </w:r>
      <w:r>
        <w:rPr>
          <w:rFonts w:hint="eastAsia"/>
        </w:rPr>
        <w:t>母婴保健中心提供常规的产后检查，并且治疗在怀孕期间可能产生的任何健康问题。根据《</w:t>
      </w:r>
      <w:r>
        <w:rPr>
          <w:rFonts w:hint="eastAsia"/>
        </w:rPr>
        <w:t>2000</w:t>
      </w:r>
      <w:r>
        <w:rPr>
          <w:rFonts w:hint="eastAsia"/>
        </w:rPr>
        <w:t>年人类发展报告》，这种做法有利于降低死产率，因为死产率已经从</w:t>
      </w:r>
      <w:r>
        <w:rPr>
          <w:rFonts w:hint="eastAsia"/>
        </w:rPr>
        <w:t>1970</w:t>
      </w:r>
      <w:r>
        <w:rPr>
          <w:rFonts w:hint="eastAsia"/>
        </w:rPr>
        <w:t>年的每</w:t>
      </w:r>
      <w:r>
        <w:rPr>
          <w:rFonts w:hint="eastAsia"/>
        </w:rPr>
        <w:t>1000</w:t>
      </w:r>
      <w:r>
        <w:rPr>
          <w:rFonts w:hint="eastAsia"/>
        </w:rPr>
        <w:t>生产</w:t>
      </w:r>
      <w:r>
        <w:rPr>
          <w:rFonts w:hint="eastAsia"/>
        </w:rPr>
        <w:t>105</w:t>
      </w:r>
      <w:r>
        <w:rPr>
          <w:rFonts w:hint="eastAsia"/>
        </w:rPr>
        <w:t>人降低到</w:t>
      </w:r>
      <w:r>
        <w:rPr>
          <w:rFonts w:hint="eastAsia"/>
        </w:rPr>
        <w:t>1998</w:t>
      </w:r>
      <w:r>
        <w:rPr>
          <w:rFonts w:hint="eastAsia"/>
        </w:rPr>
        <w:t>年的</w:t>
      </w:r>
      <w:r>
        <w:rPr>
          <w:rFonts w:hint="eastAsia"/>
        </w:rPr>
        <w:t>20</w:t>
      </w:r>
      <w:r>
        <w:rPr>
          <w:rFonts w:hint="eastAsia"/>
        </w:rPr>
        <w:t>人。在</w:t>
      </w:r>
      <w:r>
        <w:rPr>
          <w:rFonts w:hint="eastAsia"/>
        </w:rPr>
        <w:t>1990</w:t>
      </w:r>
      <w:r>
        <w:rPr>
          <w:rFonts w:hint="eastAsia"/>
        </w:rPr>
        <w:t>年至</w:t>
      </w:r>
      <w:r>
        <w:rPr>
          <w:rFonts w:hint="eastAsia"/>
        </w:rPr>
        <w:t>1998</w:t>
      </w:r>
      <w:r>
        <w:rPr>
          <w:rFonts w:hint="eastAsia"/>
        </w:rPr>
        <w:t>年期间，新生儿死亡率也已经降到每十万生产</w:t>
      </w:r>
      <w:r>
        <w:rPr>
          <w:rFonts w:hint="eastAsia"/>
        </w:rPr>
        <w:t>75</w:t>
      </w:r>
      <w:r>
        <w:rPr>
          <w:rFonts w:hint="eastAsia"/>
        </w:rPr>
        <w:t>人死亡。因而死亡率也同样下降了，从</w:t>
      </w:r>
      <w:r>
        <w:rPr>
          <w:rFonts w:hint="eastAsia"/>
        </w:rPr>
        <w:t>1970</w:t>
      </w:r>
      <w:r>
        <w:rPr>
          <w:rFonts w:hint="eastAsia"/>
        </w:rPr>
        <w:t>年的每</w:t>
      </w:r>
      <w:r>
        <w:rPr>
          <w:rFonts w:hint="eastAsia"/>
        </w:rPr>
        <w:t>1000</w:t>
      </w:r>
      <w:r>
        <w:rPr>
          <w:rFonts w:hint="eastAsia"/>
        </w:rPr>
        <w:t>活产</w:t>
      </w:r>
      <w:r>
        <w:rPr>
          <w:rFonts w:hint="eastAsia"/>
        </w:rPr>
        <w:t>160</w:t>
      </w:r>
      <w:r>
        <w:rPr>
          <w:rFonts w:hint="eastAsia"/>
        </w:rPr>
        <w:t>人降低到</w:t>
      </w:r>
      <w:r>
        <w:rPr>
          <w:rFonts w:hint="eastAsia"/>
        </w:rPr>
        <w:t>1998</w:t>
      </w:r>
      <w:r>
        <w:rPr>
          <w:rFonts w:hint="eastAsia"/>
        </w:rPr>
        <w:t>年</w:t>
      </w:r>
      <w:r>
        <w:rPr>
          <w:rFonts w:hint="eastAsia"/>
        </w:rPr>
        <w:t>24</w:t>
      </w:r>
      <w:r>
        <w:rPr>
          <w:rFonts w:hint="eastAsia"/>
        </w:rPr>
        <w:t>人。</w:t>
      </w:r>
    </w:p>
    <w:p w:rsidR="00000000" w:rsidRDefault="00000000">
      <w:pPr>
        <w:pStyle w:val="Heading4"/>
        <w:spacing w:after="180"/>
        <w:rPr>
          <w:rFonts w:hint="eastAsia"/>
        </w:rPr>
      </w:pPr>
      <w:r>
        <w:rPr>
          <w:rFonts w:hint="eastAsia"/>
        </w:rPr>
        <w:t>(</w:t>
      </w:r>
      <w:r>
        <w:t>f</w:t>
      </w:r>
      <w:r>
        <w:rPr>
          <w:rFonts w:hint="eastAsia"/>
        </w:rPr>
        <w:t xml:space="preserve">) </w:t>
      </w:r>
      <w:r>
        <w:rPr>
          <w:rFonts w:hint="eastAsia"/>
        </w:rPr>
        <w:t>分段</w:t>
      </w:r>
    </w:p>
    <w:p w:rsidR="00000000" w:rsidRDefault="00000000">
      <w:pPr>
        <w:spacing w:after="320"/>
        <w:rPr>
          <w:rFonts w:hint="eastAsia"/>
        </w:rPr>
      </w:pPr>
      <w:r>
        <w:rPr>
          <w:rFonts w:hint="eastAsia"/>
        </w:rPr>
        <w:tab/>
        <w:t xml:space="preserve">113.  </w:t>
      </w:r>
      <w:r>
        <w:rPr>
          <w:rFonts w:hint="eastAsia"/>
        </w:rPr>
        <w:t>环境保护局、食品和药物局以及卫生检查局监测环境保护政策和工业卫生政策的执行情况，并且核实工业安全程序的实施情况。社会保障基金惠及所有遭受职业病和工伤影响的人。</w:t>
      </w:r>
    </w:p>
    <w:p w:rsidR="00000000" w:rsidRDefault="00000000">
      <w:pPr>
        <w:pStyle w:val="Heading4"/>
        <w:rPr>
          <w:rFonts w:hint="eastAsia"/>
        </w:rPr>
      </w:pPr>
      <w:r>
        <w:rPr>
          <w:rFonts w:hint="eastAsia"/>
        </w:rPr>
        <w:t>(</w:t>
      </w:r>
      <w:r>
        <w:t>g</w:t>
      </w:r>
      <w:r>
        <w:rPr>
          <w:rFonts w:hint="eastAsia"/>
        </w:rPr>
        <w:t>)</w:t>
      </w:r>
      <w:r>
        <w:rPr>
          <w:rFonts w:hint="eastAsia"/>
        </w:rPr>
        <w:t>分段</w:t>
      </w:r>
    </w:p>
    <w:p w:rsidR="00000000" w:rsidRDefault="00000000">
      <w:pPr>
        <w:rPr>
          <w:rFonts w:hint="eastAsia"/>
        </w:rPr>
      </w:pPr>
      <w:r>
        <w:rPr>
          <w:rFonts w:hint="eastAsia"/>
        </w:rPr>
        <w:tab/>
        <w:t xml:space="preserve">114.  </w:t>
      </w:r>
      <w:r>
        <w:rPr>
          <w:rFonts w:hint="eastAsia"/>
        </w:rPr>
        <w:t>阿拉伯利比亚民众国为防止流行病、地方病、职业病以及其他疾病已经采取了下列措施：</w:t>
      </w:r>
    </w:p>
    <w:p w:rsidR="00000000" w:rsidRDefault="00000000">
      <w:pPr>
        <w:pStyle w:val="a0"/>
        <w:tabs>
          <w:tab w:val="num" w:pos="1550"/>
        </w:tabs>
        <w:ind w:left="1550"/>
        <w:rPr>
          <w:rFonts w:hint="eastAsia"/>
        </w:rPr>
      </w:pPr>
      <w:r>
        <w:rPr>
          <w:rFonts w:hint="eastAsia"/>
        </w:rPr>
        <w:t>制定法律，规定必须为防止这些疾病而接种疫苗，违者应负刑事责任；制定有关预防性保健服务和预防性治疗和有关食品保护和控制的法律；制定有关使用杀虫剂的规章制度；通过有关职业健康和卫生以及工业安全的法律；</w:t>
      </w:r>
    </w:p>
    <w:p w:rsidR="00000000" w:rsidRDefault="00000000">
      <w:pPr>
        <w:pStyle w:val="a0"/>
        <w:tabs>
          <w:tab w:val="num" w:pos="1550"/>
        </w:tabs>
        <w:ind w:left="1550"/>
        <w:rPr>
          <w:rFonts w:hint="eastAsia"/>
        </w:rPr>
      </w:pPr>
      <w:r>
        <w:rPr>
          <w:rFonts w:hint="eastAsia"/>
        </w:rPr>
        <w:t>职业健康和环境健康高级研究所为这个领域的专家提供培训；</w:t>
      </w:r>
    </w:p>
    <w:p w:rsidR="00000000" w:rsidRDefault="00000000">
      <w:pPr>
        <w:pStyle w:val="a0"/>
        <w:tabs>
          <w:tab w:val="num" w:pos="1550"/>
        </w:tabs>
        <w:ind w:left="1550"/>
        <w:rPr>
          <w:rFonts w:hint="eastAsia"/>
        </w:rPr>
      </w:pPr>
      <w:r>
        <w:rPr>
          <w:rFonts w:hint="eastAsia"/>
        </w:rPr>
        <w:t>大专院校的有关专业为医务人员提供有关执行预防和根除传染病政策的培训；</w:t>
      </w:r>
    </w:p>
    <w:p w:rsidR="00000000" w:rsidRDefault="00000000">
      <w:pPr>
        <w:pStyle w:val="a0"/>
        <w:tabs>
          <w:tab w:val="num" w:pos="1550"/>
        </w:tabs>
        <w:ind w:left="1550"/>
        <w:rPr>
          <w:rFonts w:hint="eastAsia"/>
        </w:rPr>
      </w:pPr>
      <w:r>
        <w:rPr>
          <w:rFonts w:hint="eastAsia"/>
        </w:rPr>
        <w:t>在利比亚的所有地区执行保健意识计划，以便提高保健意识，特别是对于有关诸如艾滋病毒</w:t>
      </w:r>
      <w:r>
        <w:rPr>
          <w:rFonts w:hint="eastAsia"/>
        </w:rPr>
        <w:t>/</w:t>
      </w:r>
      <w:r>
        <w:rPr>
          <w:rFonts w:hint="eastAsia"/>
        </w:rPr>
        <w:t>艾滋病、肝炎以及其他流行病的认识。在这一方面，我们想提到第一个全国公共认识运动，这场运动是在同一些非政府组织和私人协会的合作下，由全国人民司法和公共安全委员会和法塔赫大学法律系主办的；</w:t>
      </w:r>
    </w:p>
    <w:p w:rsidR="00000000" w:rsidRDefault="00000000">
      <w:pPr>
        <w:pStyle w:val="a0"/>
        <w:tabs>
          <w:tab w:val="num" w:pos="1550"/>
        </w:tabs>
        <w:ind w:left="1550"/>
        <w:rPr>
          <w:rFonts w:hint="eastAsia"/>
        </w:rPr>
      </w:pPr>
      <w:r>
        <w:rPr>
          <w:rFonts w:hint="eastAsia"/>
        </w:rPr>
        <w:t>全国人民司法和公共安全委员会通过全国禁毒总署就执行禁止毒品和精神药物政策的问题采取了后续行动；</w:t>
      </w:r>
    </w:p>
    <w:p w:rsidR="00000000" w:rsidRDefault="00000000">
      <w:pPr>
        <w:pStyle w:val="a0"/>
        <w:tabs>
          <w:tab w:val="num" w:pos="1550"/>
        </w:tabs>
        <w:spacing w:after="320"/>
        <w:ind w:left="1550"/>
        <w:rPr>
          <w:rFonts w:hint="eastAsia"/>
        </w:rPr>
      </w:pPr>
      <w:r>
        <w:rPr>
          <w:rFonts w:hint="eastAsia"/>
        </w:rPr>
        <w:t>加强边境检查和甄别入境的外国人，特别是非法入境者，以防止传染病的蔓延。</w:t>
      </w:r>
    </w:p>
    <w:p w:rsidR="00000000" w:rsidRDefault="00000000">
      <w:pPr>
        <w:pStyle w:val="Heading4"/>
      </w:pPr>
      <w:r>
        <w:rPr>
          <w:rFonts w:hint="eastAsia"/>
        </w:rPr>
        <w:t>(</w:t>
      </w:r>
      <w:r>
        <w:t>h</w:t>
      </w:r>
      <w:r>
        <w:rPr>
          <w:rFonts w:hint="eastAsia"/>
        </w:rPr>
        <w:t xml:space="preserve">) </w:t>
      </w:r>
      <w:r>
        <w:rPr>
          <w:rFonts w:hint="eastAsia"/>
        </w:rPr>
        <w:t>分段</w:t>
      </w:r>
    </w:p>
    <w:p w:rsidR="00000000" w:rsidRDefault="00000000">
      <w:pPr>
        <w:spacing w:after="320"/>
        <w:rPr>
          <w:rFonts w:hint="eastAsia"/>
        </w:rPr>
      </w:pPr>
      <w:r>
        <w:tab/>
        <w:t xml:space="preserve">115.  </w:t>
      </w:r>
      <w:r>
        <w:rPr>
          <w:rFonts w:hint="eastAsia"/>
        </w:rPr>
        <w:t>关于更加详细的信息，请看同初次报告一起提交的有关《公约》第十二条问题的回答。</w:t>
      </w:r>
    </w:p>
    <w:p w:rsidR="00000000" w:rsidRDefault="00000000">
      <w:pPr>
        <w:pStyle w:val="Heading4"/>
        <w:rPr>
          <w:rFonts w:hint="eastAsia"/>
        </w:rPr>
      </w:pPr>
      <w:r>
        <w:rPr>
          <w:rFonts w:hint="eastAsia"/>
        </w:rPr>
        <w:t>第</w:t>
      </w:r>
      <w:r>
        <w:t>7</w:t>
      </w:r>
      <w:r>
        <w:rPr>
          <w:rFonts w:hint="eastAsia"/>
        </w:rPr>
        <w:t>段</w:t>
      </w:r>
    </w:p>
    <w:p w:rsidR="00000000" w:rsidRDefault="00000000">
      <w:pPr>
        <w:spacing w:after="320"/>
        <w:rPr>
          <w:rFonts w:hint="eastAsia"/>
        </w:rPr>
      </w:pPr>
      <w:r>
        <w:rPr>
          <w:rFonts w:hint="eastAsia"/>
        </w:rPr>
        <w:tab/>
        <w:t xml:space="preserve">116.  </w:t>
      </w:r>
      <w:r>
        <w:rPr>
          <w:rFonts w:hint="eastAsia"/>
        </w:rPr>
        <w:t>根据人民管治体制，阿拉伯利比亚民众国的所有乡村、城镇和地区的每一项决定归根结蒂都是由代表群众的人民代表大会作出的，人民代表大会在基本保健服务的规划方面发挥了积极作用。在人民代表大会之中和在各地区一级负责当地卫生和社会保障事务的官员都参与了初级保健服务的规划，各个地区的人民健康委员会负责执行全国人民代表大会所作的有关基本保健服务规划的决定。人民监测、后续行动和检查机制监督这些决定的执行。</w:t>
      </w:r>
    </w:p>
    <w:p w:rsidR="00000000" w:rsidRDefault="00000000">
      <w:pPr>
        <w:pStyle w:val="Heading4"/>
        <w:rPr>
          <w:rFonts w:hint="eastAsia"/>
        </w:rPr>
      </w:pPr>
      <w:r>
        <w:rPr>
          <w:rFonts w:hint="eastAsia"/>
        </w:rPr>
        <w:t>第</w:t>
      </w:r>
      <w:r>
        <w:t>8</w:t>
      </w:r>
      <w:r>
        <w:rPr>
          <w:rFonts w:hint="eastAsia"/>
        </w:rPr>
        <w:t>段</w:t>
      </w:r>
    </w:p>
    <w:p w:rsidR="00000000" w:rsidRDefault="00000000">
      <w:pPr>
        <w:spacing w:after="320"/>
        <w:rPr>
          <w:rFonts w:hint="eastAsia"/>
        </w:rPr>
      </w:pPr>
      <w:r>
        <w:rPr>
          <w:rFonts w:hint="eastAsia"/>
        </w:rPr>
        <w:tab/>
        <w:t xml:space="preserve">117.  </w:t>
      </w:r>
      <w:r>
        <w:rPr>
          <w:rFonts w:hint="eastAsia"/>
        </w:rPr>
        <w:t>上文已经提到各地区</w:t>
      </w:r>
      <w:r>
        <w:rPr>
          <w:rFonts w:hint="eastAsia"/>
        </w:rPr>
        <w:t>(</w:t>
      </w:r>
      <w:r>
        <w:rPr>
          <w:rFonts w:hint="eastAsia"/>
        </w:rPr>
        <w:t>以前称为市</w:t>
      </w:r>
      <w:r>
        <w:rPr>
          <w:rFonts w:hint="eastAsia"/>
        </w:rPr>
        <w:t>)</w:t>
      </w:r>
      <w:r>
        <w:rPr>
          <w:rFonts w:hint="eastAsia"/>
        </w:rPr>
        <w:t>人民健康委员会在通过传单、公报、当地电台、会议、学术讨论会以及研讨会等手段传播信息方面所发挥的作用。</w:t>
      </w:r>
    </w:p>
    <w:p w:rsidR="00000000" w:rsidRDefault="00000000">
      <w:pPr>
        <w:pStyle w:val="Heading4"/>
        <w:rPr>
          <w:rFonts w:hint="eastAsia"/>
        </w:rPr>
      </w:pPr>
      <w:r>
        <w:rPr>
          <w:rFonts w:hint="eastAsia"/>
        </w:rPr>
        <w:t>第</w:t>
      </w:r>
      <w:r>
        <w:t>9</w:t>
      </w:r>
      <w:r>
        <w:rPr>
          <w:rFonts w:hint="eastAsia"/>
        </w:rPr>
        <w:t>段</w:t>
      </w:r>
    </w:p>
    <w:p w:rsidR="00000000" w:rsidRDefault="00000000">
      <w:pPr>
        <w:spacing w:after="320"/>
        <w:rPr>
          <w:rFonts w:hint="eastAsia"/>
        </w:rPr>
      </w:pPr>
      <w:r>
        <w:rPr>
          <w:rFonts w:hint="eastAsia"/>
        </w:rPr>
        <w:tab/>
        <w:t xml:space="preserve">118.  </w:t>
      </w:r>
      <w:r>
        <w:rPr>
          <w:rFonts w:hint="eastAsia"/>
        </w:rPr>
        <w:t>国际援助，特别是技术援助和咨询，在全面实现第十二条所规定的权利方面所发挥了重要作用。我们要特别提到同世界卫生组织在防治艾滋病毒</w:t>
      </w:r>
      <w:r>
        <w:rPr>
          <w:rFonts w:hint="eastAsia"/>
        </w:rPr>
        <w:t>/</w:t>
      </w:r>
      <w:r>
        <w:rPr>
          <w:rFonts w:hint="eastAsia"/>
        </w:rPr>
        <w:t>艾滋病以及肝炎方面所进行的合作，以及同儿童基金会在确保儿童和母亲获得保健服务和充足食物以及防治易患疾病方面所进行的合作。</w:t>
      </w:r>
    </w:p>
    <w:p w:rsidR="00000000" w:rsidRDefault="00000000">
      <w:pPr>
        <w:pStyle w:val="Heading3"/>
        <w:rPr>
          <w:rFonts w:hint="eastAsia"/>
        </w:rPr>
      </w:pPr>
      <w:r>
        <w:rPr>
          <w:rFonts w:hint="eastAsia"/>
        </w:rPr>
        <w:t>第十三条</w:t>
      </w:r>
      <w:r>
        <w:rPr>
          <w:rFonts w:hint="eastAsia"/>
        </w:rPr>
        <w:t xml:space="preserve">  </w:t>
      </w:r>
      <w:r>
        <w:rPr>
          <w:rFonts w:hint="eastAsia"/>
        </w:rPr>
        <w:t>受教育权</w:t>
      </w:r>
    </w:p>
    <w:p w:rsidR="00000000" w:rsidRDefault="00000000">
      <w:pPr>
        <w:spacing w:after="320"/>
        <w:rPr>
          <w:rFonts w:hint="eastAsia"/>
        </w:rPr>
      </w:pPr>
      <w:r>
        <w:rPr>
          <w:rFonts w:hint="eastAsia"/>
        </w:rPr>
        <w:tab/>
        <w:t xml:space="preserve">119.  </w:t>
      </w:r>
      <w:r>
        <w:rPr>
          <w:rFonts w:hint="eastAsia"/>
        </w:rPr>
        <w:t>关于执行第十三条的问题，请看利比亚的初次报告以及利比亚向于</w:t>
      </w:r>
      <w:r>
        <w:rPr>
          <w:rFonts w:hint="eastAsia"/>
        </w:rPr>
        <w:t>2000</w:t>
      </w:r>
      <w:r>
        <w:rPr>
          <w:rFonts w:hint="eastAsia"/>
        </w:rPr>
        <w:t>年</w:t>
      </w:r>
      <w:r>
        <w:rPr>
          <w:rFonts w:hint="eastAsia"/>
        </w:rPr>
        <w:t>4</w:t>
      </w:r>
      <w:r>
        <w:rPr>
          <w:rFonts w:hint="eastAsia"/>
        </w:rPr>
        <w:t>月</w:t>
      </w:r>
      <w:r>
        <w:rPr>
          <w:rFonts w:hint="eastAsia"/>
        </w:rPr>
        <w:t>26</w:t>
      </w:r>
      <w:r>
        <w:rPr>
          <w:rFonts w:hint="eastAsia"/>
        </w:rPr>
        <w:t>日至</w:t>
      </w:r>
      <w:r>
        <w:rPr>
          <w:rFonts w:hint="eastAsia"/>
        </w:rPr>
        <w:t>28</w:t>
      </w:r>
      <w:r>
        <w:rPr>
          <w:rFonts w:hint="eastAsia"/>
        </w:rPr>
        <w:t>日在达喀尔</w:t>
      </w:r>
      <w:r>
        <w:rPr>
          <w:rFonts w:hint="eastAsia"/>
        </w:rPr>
        <w:t>(</w:t>
      </w:r>
      <w:r>
        <w:rPr>
          <w:rFonts w:hint="eastAsia"/>
        </w:rPr>
        <w:t>塞内加尔</w:t>
      </w:r>
      <w:r>
        <w:rPr>
          <w:rFonts w:hint="eastAsia"/>
        </w:rPr>
        <w:t>)</w:t>
      </w:r>
      <w:r>
        <w:rPr>
          <w:rFonts w:hint="eastAsia"/>
        </w:rPr>
        <w:t>举行的普及教育问题国际协商论坛的会议提交的报告。</w:t>
      </w:r>
    </w:p>
    <w:p w:rsidR="00000000" w:rsidRDefault="00000000">
      <w:pPr>
        <w:pStyle w:val="Heading3"/>
        <w:spacing w:after="180"/>
        <w:rPr>
          <w:rFonts w:hint="eastAsia"/>
        </w:rPr>
      </w:pPr>
      <w:r>
        <w:rPr>
          <w:rFonts w:hint="eastAsia"/>
        </w:rPr>
        <w:t>第十四条</w:t>
      </w:r>
      <w:r>
        <w:rPr>
          <w:rFonts w:hint="eastAsia"/>
        </w:rPr>
        <w:t xml:space="preserve">  </w:t>
      </w:r>
      <w:r>
        <w:rPr>
          <w:rFonts w:hint="eastAsia"/>
        </w:rPr>
        <w:t>受教育权</w:t>
      </w:r>
    </w:p>
    <w:p w:rsidR="00000000" w:rsidRDefault="00000000">
      <w:pPr>
        <w:spacing w:after="320"/>
        <w:rPr>
          <w:rFonts w:hint="eastAsia"/>
        </w:rPr>
      </w:pPr>
      <w:r>
        <w:rPr>
          <w:rFonts w:hint="eastAsia"/>
        </w:rPr>
        <w:tab/>
        <w:t xml:space="preserve">120.  </w:t>
      </w:r>
      <w:r>
        <w:rPr>
          <w:rFonts w:hint="eastAsia"/>
        </w:rPr>
        <w:t>有关第十三条在信息来源和履行我们义务方面的评论也适用于本条。</w:t>
      </w:r>
    </w:p>
    <w:p w:rsidR="00000000" w:rsidRDefault="00000000">
      <w:pPr>
        <w:pStyle w:val="Heading3"/>
        <w:spacing w:after="180"/>
        <w:rPr>
          <w:rFonts w:hint="eastAsia"/>
        </w:rPr>
      </w:pPr>
      <w:r>
        <w:rPr>
          <w:rFonts w:hint="eastAsia"/>
        </w:rPr>
        <w:t>第十五条</w:t>
      </w:r>
      <w:r>
        <w:rPr>
          <w:rFonts w:hint="eastAsia"/>
        </w:rPr>
        <w:t xml:space="preserve">  </w:t>
      </w:r>
      <w:r>
        <w:rPr>
          <w:rFonts w:hint="eastAsia"/>
        </w:rPr>
        <w:t>参加文化生活的权利</w:t>
      </w:r>
    </w:p>
    <w:p w:rsidR="00000000" w:rsidRDefault="00000000">
      <w:pPr>
        <w:rPr>
          <w:rFonts w:hint="eastAsia"/>
        </w:rPr>
      </w:pPr>
      <w:r>
        <w:rPr>
          <w:rFonts w:hint="eastAsia"/>
        </w:rPr>
        <w:tab/>
        <w:t xml:space="preserve">121.  </w:t>
      </w:r>
      <w:r>
        <w:rPr>
          <w:rFonts w:hint="eastAsia"/>
        </w:rPr>
        <w:t>本条涉及缔约各国承认人人有权：</w:t>
      </w:r>
    </w:p>
    <w:p w:rsidR="00000000" w:rsidRDefault="00000000">
      <w:pPr>
        <w:pStyle w:val="a0"/>
        <w:tabs>
          <w:tab w:val="num" w:pos="1550"/>
        </w:tabs>
        <w:spacing w:line="312" w:lineRule="auto"/>
        <w:ind w:left="1550"/>
        <w:rPr>
          <w:rFonts w:hint="eastAsia"/>
        </w:rPr>
      </w:pPr>
      <w:r>
        <w:rPr>
          <w:rFonts w:hint="eastAsia"/>
        </w:rPr>
        <w:t>参加文化生活；</w:t>
      </w:r>
    </w:p>
    <w:p w:rsidR="00000000" w:rsidRDefault="00000000">
      <w:pPr>
        <w:pStyle w:val="a0"/>
        <w:tabs>
          <w:tab w:val="num" w:pos="1550"/>
        </w:tabs>
        <w:spacing w:line="312" w:lineRule="auto"/>
        <w:ind w:left="1550"/>
        <w:rPr>
          <w:rFonts w:hint="eastAsia"/>
        </w:rPr>
      </w:pPr>
      <w:r>
        <w:rPr>
          <w:rFonts w:hint="eastAsia"/>
        </w:rPr>
        <w:t>享受科学进步及其应用所产生的利益；</w:t>
      </w:r>
    </w:p>
    <w:p w:rsidR="00000000" w:rsidRDefault="00000000">
      <w:pPr>
        <w:pStyle w:val="a0"/>
        <w:tabs>
          <w:tab w:val="num" w:pos="1550"/>
        </w:tabs>
        <w:spacing w:line="312" w:lineRule="auto"/>
        <w:ind w:left="1548"/>
      </w:pPr>
      <w:r>
        <w:rPr>
          <w:rFonts w:hint="eastAsia"/>
        </w:rPr>
        <w:t>对其本人的任何科学、文学或艺术作品所产生的精神上和物质上的利益，享受被保护之利；</w:t>
      </w:r>
    </w:p>
    <w:p w:rsidR="00000000" w:rsidRDefault="00000000">
      <w:pPr>
        <w:pStyle w:val="Heading4"/>
        <w:rPr>
          <w:rFonts w:hint="eastAsia"/>
        </w:rPr>
      </w:pPr>
      <w:r>
        <w:rPr>
          <w:rFonts w:hint="eastAsia"/>
        </w:rPr>
        <w:t>第</w:t>
      </w:r>
      <w:r>
        <w:t>1</w:t>
      </w:r>
      <w:r>
        <w:rPr>
          <w:rFonts w:hint="eastAsia"/>
        </w:rPr>
        <w:t>段</w:t>
      </w:r>
      <w:r>
        <w:rPr>
          <w:rFonts w:hint="eastAsia"/>
        </w:rPr>
        <w:t>(</w:t>
      </w:r>
      <w:r>
        <w:t>a</w:t>
      </w:r>
      <w:r>
        <w:rPr>
          <w:rFonts w:hint="eastAsia"/>
        </w:rPr>
        <w:t>)</w:t>
      </w:r>
      <w:r>
        <w:rPr>
          <w:rFonts w:hint="eastAsia"/>
        </w:rPr>
        <w:t>分段</w:t>
      </w:r>
    </w:p>
    <w:p w:rsidR="00000000" w:rsidRDefault="00000000">
      <w:pPr>
        <w:spacing w:after="240"/>
      </w:pPr>
      <w:r>
        <w:rPr>
          <w:rFonts w:hint="eastAsia"/>
        </w:rPr>
        <w:tab/>
        <w:t xml:space="preserve">122.  </w:t>
      </w:r>
      <w:r>
        <w:rPr>
          <w:rFonts w:hint="eastAsia"/>
        </w:rPr>
        <w:t>阿拉伯利比亚民众国调拨了为推动文化发展和人民参加文化生活，包括支持和促进个人行动所必需的资金。为此目的从</w:t>
      </w:r>
      <w:r>
        <w:rPr>
          <w:rFonts w:hint="eastAsia"/>
        </w:rPr>
        <w:t>2002</w:t>
      </w:r>
      <w:r>
        <w:rPr>
          <w:rFonts w:hint="eastAsia"/>
        </w:rPr>
        <w:t>年预算中拨出的发展资金见下表：</w:t>
      </w:r>
    </w:p>
    <w:tbl>
      <w:tblPr>
        <w:tblW w:w="0" w:type="auto"/>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37"/>
        <w:gridCol w:w="3828"/>
      </w:tblGrid>
      <w:tr w:rsidR="00000000">
        <w:tblPrEx>
          <w:tblCellMar>
            <w:top w:w="0" w:type="dxa"/>
            <w:bottom w:w="0" w:type="dxa"/>
          </w:tblCellMar>
        </w:tblPrEx>
        <w:tc>
          <w:tcPr>
            <w:tcW w:w="3837" w:type="dxa"/>
            <w:tcBorders>
              <w:bottom w:val="single" w:sz="4" w:space="0" w:color="auto"/>
            </w:tcBorders>
          </w:tcPr>
          <w:p w:rsidR="00000000" w:rsidRDefault="00000000">
            <w:pPr>
              <w:pStyle w:val="a2"/>
              <w:spacing w:before="60" w:after="60" w:line="240" w:lineRule="auto"/>
              <w:jc w:val="center"/>
              <w:rPr>
                <w:rFonts w:ascii="Time New Roman" w:eastAsia="SimHei" w:hAnsi="Time New Roman" w:hint="eastAsia"/>
              </w:rPr>
            </w:pPr>
            <w:r>
              <w:rPr>
                <w:rFonts w:ascii="Time New Roman" w:eastAsia="SimHei" w:hAnsi="Time New Roman" w:hint="eastAsia"/>
              </w:rPr>
              <w:t>科学和文化活动</w:t>
            </w:r>
          </w:p>
        </w:tc>
        <w:tc>
          <w:tcPr>
            <w:tcW w:w="3828" w:type="dxa"/>
            <w:tcBorders>
              <w:bottom w:val="single" w:sz="4" w:space="0" w:color="auto"/>
            </w:tcBorders>
          </w:tcPr>
          <w:p w:rsidR="00000000" w:rsidRDefault="00000000">
            <w:pPr>
              <w:pStyle w:val="a2"/>
              <w:spacing w:before="60" w:after="60" w:line="240" w:lineRule="auto"/>
              <w:jc w:val="center"/>
              <w:rPr>
                <w:rFonts w:ascii="Time New Roman" w:eastAsia="SimHei" w:hAnsi="Time New Roman" w:hint="eastAsia"/>
              </w:rPr>
            </w:pPr>
            <w:r>
              <w:rPr>
                <w:rFonts w:ascii="Time New Roman" w:eastAsia="SimHei" w:hAnsi="Time New Roman" w:hint="eastAsia"/>
              </w:rPr>
              <w:t>拨</w:t>
            </w:r>
            <w:r>
              <w:rPr>
                <w:rFonts w:ascii="Time New Roman" w:eastAsia="SimHei" w:hAnsi="Time New Roman" w:hint="eastAsia"/>
              </w:rPr>
              <w:t xml:space="preserve">  </w:t>
            </w:r>
            <w:r>
              <w:rPr>
                <w:rFonts w:ascii="Time New Roman" w:eastAsia="SimHei" w:hAnsi="Time New Roman" w:hint="eastAsia"/>
              </w:rPr>
              <w:t>款</w:t>
            </w:r>
            <w:r>
              <w:rPr>
                <w:rFonts w:ascii="Time New Roman" w:eastAsia="SimHei" w:hAnsi="Time New Roman" w:hint="eastAsia"/>
              </w:rPr>
              <w:t xml:space="preserve"> (</w:t>
            </w:r>
            <w:r>
              <w:rPr>
                <w:rFonts w:ascii="Time New Roman" w:eastAsia="SimHei" w:hAnsi="Time New Roman" w:hint="eastAsia"/>
              </w:rPr>
              <w:t>百万第纳尔</w:t>
            </w:r>
            <w:r>
              <w:rPr>
                <w:rFonts w:ascii="Time New Roman" w:eastAsia="SimHei" w:hAnsi="Time New Roman" w:hint="eastAsia"/>
              </w:rPr>
              <w:t>)</w:t>
            </w:r>
          </w:p>
        </w:tc>
      </w:tr>
      <w:tr w:rsidR="00000000">
        <w:tblPrEx>
          <w:tblCellMar>
            <w:top w:w="0" w:type="dxa"/>
            <w:bottom w:w="0" w:type="dxa"/>
          </w:tblCellMar>
        </w:tblPrEx>
        <w:tc>
          <w:tcPr>
            <w:tcW w:w="3837" w:type="dxa"/>
            <w:tcBorders>
              <w:top w:val="single" w:sz="4" w:space="0" w:color="auto"/>
              <w:left w:val="single" w:sz="4" w:space="0" w:color="auto"/>
              <w:bottom w:val="nil"/>
              <w:right w:val="single" w:sz="4" w:space="0" w:color="auto"/>
            </w:tcBorders>
          </w:tcPr>
          <w:p w:rsidR="00000000" w:rsidRDefault="00000000">
            <w:pPr>
              <w:pStyle w:val="a2"/>
              <w:spacing w:before="60" w:line="240" w:lineRule="auto"/>
              <w:ind w:left="170"/>
              <w:rPr>
                <w:rFonts w:hint="eastAsia"/>
              </w:rPr>
            </w:pPr>
            <w:r>
              <w:rPr>
                <w:rFonts w:hint="eastAsia"/>
              </w:rPr>
              <w:t>在科学和文化领域培训人力资源</w:t>
            </w:r>
          </w:p>
        </w:tc>
        <w:tc>
          <w:tcPr>
            <w:tcW w:w="3828" w:type="dxa"/>
            <w:tcBorders>
              <w:top w:val="single" w:sz="4" w:space="0" w:color="auto"/>
              <w:left w:val="single" w:sz="4" w:space="0" w:color="auto"/>
              <w:bottom w:val="nil"/>
              <w:right w:val="single" w:sz="4" w:space="0" w:color="auto"/>
            </w:tcBorders>
          </w:tcPr>
          <w:p w:rsidR="00000000" w:rsidRDefault="00000000">
            <w:pPr>
              <w:pStyle w:val="a2"/>
              <w:spacing w:before="60" w:line="240" w:lineRule="auto"/>
              <w:ind w:right="1985"/>
              <w:jc w:val="right"/>
              <w:rPr>
                <w:rFonts w:hint="eastAsia"/>
              </w:rPr>
            </w:pPr>
            <w:r>
              <w:rPr>
                <w:rFonts w:hint="eastAsia"/>
              </w:rPr>
              <w:t>201,228</w:t>
            </w:r>
          </w:p>
        </w:tc>
      </w:tr>
      <w:tr w:rsidR="00000000">
        <w:tblPrEx>
          <w:tblCellMar>
            <w:top w:w="0" w:type="dxa"/>
            <w:bottom w:w="0" w:type="dxa"/>
          </w:tblCellMar>
        </w:tblPrEx>
        <w:tc>
          <w:tcPr>
            <w:tcW w:w="3837" w:type="dxa"/>
            <w:tcBorders>
              <w:top w:val="nil"/>
              <w:left w:val="single" w:sz="4" w:space="0" w:color="auto"/>
              <w:bottom w:val="nil"/>
              <w:right w:val="single" w:sz="4" w:space="0" w:color="auto"/>
            </w:tcBorders>
          </w:tcPr>
          <w:p w:rsidR="00000000" w:rsidRDefault="00000000">
            <w:pPr>
              <w:pStyle w:val="a2"/>
              <w:spacing w:before="60" w:line="240" w:lineRule="auto"/>
              <w:ind w:left="170"/>
              <w:rPr>
                <w:rFonts w:hint="eastAsia"/>
              </w:rPr>
            </w:pPr>
            <w:r>
              <w:rPr>
                <w:rFonts w:hint="eastAsia"/>
              </w:rPr>
              <w:t>科学和文化研究</w:t>
            </w:r>
          </w:p>
        </w:tc>
        <w:tc>
          <w:tcPr>
            <w:tcW w:w="3828" w:type="dxa"/>
            <w:tcBorders>
              <w:top w:val="nil"/>
              <w:left w:val="single" w:sz="4" w:space="0" w:color="auto"/>
              <w:bottom w:val="nil"/>
              <w:right w:val="single" w:sz="4" w:space="0" w:color="auto"/>
            </w:tcBorders>
          </w:tcPr>
          <w:p w:rsidR="00000000" w:rsidRDefault="00000000">
            <w:pPr>
              <w:pStyle w:val="a2"/>
              <w:spacing w:before="60" w:line="240" w:lineRule="auto"/>
              <w:ind w:right="1985"/>
              <w:jc w:val="right"/>
              <w:rPr>
                <w:rFonts w:hint="eastAsia"/>
              </w:rPr>
            </w:pPr>
            <w:r>
              <w:rPr>
                <w:rFonts w:hint="eastAsia"/>
              </w:rPr>
              <w:t>54,239</w:t>
            </w:r>
          </w:p>
        </w:tc>
      </w:tr>
      <w:tr w:rsidR="00000000">
        <w:tblPrEx>
          <w:tblCellMar>
            <w:top w:w="0" w:type="dxa"/>
            <w:bottom w:w="0" w:type="dxa"/>
          </w:tblCellMar>
        </w:tblPrEx>
        <w:tc>
          <w:tcPr>
            <w:tcW w:w="3837" w:type="dxa"/>
            <w:tcBorders>
              <w:top w:val="nil"/>
              <w:left w:val="single" w:sz="4" w:space="0" w:color="auto"/>
              <w:bottom w:val="nil"/>
              <w:right w:val="single" w:sz="4" w:space="0" w:color="auto"/>
            </w:tcBorders>
          </w:tcPr>
          <w:p w:rsidR="00000000" w:rsidRDefault="00000000">
            <w:pPr>
              <w:pStyle w:val="a2"/>
              <w:spacing w:before="60" w:line="240" w:lineRule="auto"/>
              <w:ind w:left="170"/>
              <w:rPr>
                <w:rFonts w:hint="eastAsia"/>
              </w:rPr>
            </w:pPr>
            <w:r>
              <w:rPr>
                <w:rFonts w:hint="eastAsia"/>
              </w:rPr>
              <w:t>利比亚媒体研究所</w:t>
            </w:r>
          </w:p>
        </w:tc>
        <w:tc>
          <w:tcPr>
            <w:tcW w:w="3828" w:type="dxa"/>
            <w:tcBorders>
              <w:top w:val="nil"/>
              <w:left w:val="single" w:sz="4" w:space="0" w:color="auto"/>
              <w:bottom w:val="nil"/>
              <w:right w:val="single" w:sz="4" w:space="0" w:color="auto"/>
            </w:tcBorders>
          </w:tcPr>
          <w:p w:rsidR="00000000" w:rsidRDefault="00000000">
            <w:pPr>
              <w:pStyle w:val="a2"/>
              <w:spacing w:before="60" w:line="240" w:lineRule="auto"/>
              <w:ind w:right="1985"/>
              <w:jc w:val="right"/>
              <w:rPr>
                <w:rFonts w:hint="eastAsia"/>
              </w:rPr>
            </w:pPr>
            <w:r>
              <w:rPr>
                <w:rFonts w:hint="eastAsia"/>
              </w:rPr>
              <w:t>17,000</w:t>
            </w:r>
          </w:p>
        </w:tc>
      </w:tr>
      <w:tr w:rsidR="00000000">
        <w:tblPrEx>
          <w:tblCellMar>
            <w:top w:w="0" w:type="dxa"/>
            <w:bottom w:w="0" w:type="dxa"/>
          </w:tblCellMar>
        </w:tblPrEx>
        <w:tc>
          <w:tcPr>
            <w:tcW w:w="3837" w:type="dxa"/>
            <w:tcBorders>
              <w:top w:val="nil"/>
              <w:left w:val="single" w:sz="4" w:space="0" w:color="auto"/>
              <w:bottom w:val="nil"/>
              <w:right w:val="single" w:sz="4" w:space="0" w:color="auto"/>
            </w:tcBorders>
          </w:tcPr>
          <w:p w:rsidR="00000000" w:rsidRDefault="00000000">
            <w:pPr>
              <w:pStyle w:val="a2"/>
              <w:spacing w:before="60" w:line="240" w:lineRule="auto"/>
              <w:ind w:left="170"/>
              <w:rPr>
                <w:rFonts w:hint="eastAsia"/>
              </w:rPr>
            </w:pPr>
            <w:r>
              <w:rPr>
                <w:rFonts w:hint="eastAsia"/>
              </w:rPr>
              <w:t>国家科学研究办公室</w:t>
            </w:r>
          </w:p>
        </w:tc>
        <w:tc>
          <w:tcPr>
            <w:tcW w:w="3828" w:type="dxa"/>
            <w:tcBorders>
              <w:top w:val="nil"/>
              <w:left w:val="single" w:sz="4" w:space="0" w:color="auto"/>
              <w:bottom w:val="nil"/>
              <w:right w:val="single" w:sz="4" w:space="0" w:color="auto"/>
            </w:tcBorders>
          </w:tcPr>
          <w:p w:rsidR="00000000" w:rsidRDefault="00000000">
            <w:pPr>
              <w:pStyle w:val="a2"/>
              <w:spacing w:before="60" w:line="240" w:lineRule="auto"/>
              <w:ind w:right="1985"/>
              <w:jc w:val="right"/>
              <w:rPr>
                <w:rFonts w:hint="eastAsia"/>
              </w:rPr>
            </w:pPr>
            <w:r>
              <w:rPr>
                <w:rFonts w:hint="eastAsia"/>
              </w:rPr>
              <w:t>25,666</w:t>
            </w:r>
          </w:p>
        </w:tc>
      </w:tr>
      <w:tr w:rsidR="00000000">
        <w:tblPrEx>
          <w:tblCellMar>
            <w:top w:w="0" w:type="dxa"/>
            <w:bottom w:w="0" w:type="dxa"/>
          </w:tblCellMar>
        </w:tblPrEx>
        <w:tc>
          <w:tcPr>
            <w:tcW w:w="3837" w:type="dxa"/>
            <w:tcBorders>
              <w:top w:val="nil"/>
              <w:left w:val="single" w:sz="4" w:space="0" w:color="auto"/>
              <w:bottom w:val="nil"/>
              <w:right w:val="single" w:sz="4" w:space="0" w:color="auto"/>
            </w:tcBorders>
          </w:tcPr>
          <w:p w:rsidR="00000000" w:rsidRDefault="00000000">
            <w:pPr>
              <w:pStyle w:val="a2"/>
              <w:spacing w:before="60" w:line="240" w:lineRule="auto"/>
              <w:ind w:left="170"/>
              <w:rPr>
                <w:rFonts w:hint="eastAsia"/>
              </w:rPr>
            </w:pPr>
            <w:r>
              <w:rPr>
                <w:rFonts w:hint="eastAsia"/>
              </w:rPr>
              <w:t>国家旅游业和古迹委员会</w:t>
            </w:r>
          </w:p>
        </w:tc>
        <w:tc>
          <w:tcPr>
            <w:tcW w:w="3828" w:type="dxa"/>
            <w:tcBorders>
              <w:top w:val="nil"/>
              <w:left w:val="single" w:sz="4" w:space="0" w:color="auto"/>
              <w:bottom w:val="nil"/>
              <w:right w:val="single" w:sz="4" w:space="0" w:color="auto"/>
            </w:tcBorders>
          </w:tcPr>
          <w:p w:rsidR="00000000" w:rsidRDefault="00000000">
            <w:pPr>
              <w:pStyle w:val="a2"/>
              <w:spacing w:before="60" w:line="240" w:lineRule="auto"/>
              <w:ind w:right="1985"/>
              <w:jc w:val="right"/>
              <w:rPr>
                <w:rFonts w:hint="eastAsia"/>
              </w:rPr>
            </w:pPr>
            <w:r>
              <w:rPr>
                <w:rFonts w:hint="eastAsia"/>
              </w:rPr>
              <w:t>12,078</w:t>
            </w:r>
          </w:p>
        </w:tc>
      </w:tr>
      <w:tr w:rsidR="00000000">
        <w:tblPrEx>
          <w:tblCellMar>
            <w:top w:w="0" w:type="dxa"/>
            <w:bottom w:w="0" w:type="dxa"/>
          </w:tblCellMar>
        </w:tblPrEx>
        <w:tc>
          <w:tcPr>
            <w:tcW w:w="3837" w:type="dxa"/>
            <w:tcBorders>
              <w:top w:val="nil"/>
              <w:left w:val="single" w:sz="4" w:space="0" w:color="auto"/>
              <w:bottom w:val="single" w:sz="4" w:space="0" w:color="auto"/>
              <w:right w:val="single" w:sz="4" w:space="0" w:color="auto"/>
            </w:tcBorders>
          </w:tcPr>
          <w:p w:rsidR="00000000" w:rsidRDefault="00000000">
            <w:pPr>
              <w:pStyle w:val="a2"/>
              <w:spacing w:before="60" w:after="120" w:line="240" w:lineRule="auto"/>
              <w:ind w:left="170"/>
              <w:rPr>
                <w:rFonts w:hint="eastAsia"/>
              </w:rPr>
            </w:pPr>
            <w:r>
              <w:rPr>
                <w:rFonts w:hint="eastAsia"/>
              </w:rPr>
              <w:t>创造性活动</w:t>
            </w:r>
          </w:p>
        </w:tc>
        <w:tc>
          <w:tcPr>
            <w:tcW w:w="3828" w:type="dxa"/>
            <w:tcBorders>
              <w:top w:val="nil"/>
              <w:left w:val="single" w:sz="4" w:space="0" w:color="auto"/>
              <w:bottom w:val="single" w:sz="4" w:space="0" w:color="auto"/>
              <w:right w:val="single" w:sz="4" w:space="0" w:color="auto"/>
            </w:tcBorders>
          </w:tcPr>
          <w:p w:rsidR="00000000" w:rsidRDefault="00000000">
            <w:pPr>
              <w:pStyle w:val="a2"/>
              <w:spacing w:before="60" w:after="120" w:line="240" w:lineRule="auto"/>
              <w:ind w:right="1985"/>
              <w:jc w:val="right"/>
              <w:rPr>
                <w:rFonts w:hint="eastAsia"/>
              </w:rPr>
            </w:pPr>
            <w:r>
              <w:rPr>
                <w:rFonts w:hint="eastAsia"/>
              </w:rPr>
              <w:t>1,985</w:t>
            </w:r>
          </w:p>
        </w:tc>
      </w:tr>
    </w:tbl>
    <w:p w:rsidR="00000000" w:rsidRDefault="00000000">
      <w:pPr>
        <w:pStyle w:val="Heading4"/>
        <w:spacing w:before="320"/>
        <w:rPr>
          <w:rFonts w:hint="eastAsia"/>
        </w:rPr>
      </w:pPr>
      <w:r>
        <w:rPr>
          <w:rFonts w:hint="eastAsia"/>
        </w:rPr>
        <w:t>(</w:t>
      </w:r>
      <w:r>
        <w:t>b</w:t>
      </w:r>
      <w:r>
        <w:rPr>
          <w:rFonts w:hint="eastAsia"/>
        </w:rPr>
        <w:t xml:space="preserve">) </w:t>
      </w:r>
      <w:r>
        <w:rPr>
          <w:rFonts w:hint="eastAsia"/>
        </w:rPr>
        <w:t>分段</w:t>
      </w:r>
    </w:p>
    <w:p w:rsidR="00000000" w:rsidRDefault="00000000">
      <w:pPr>
        <w:spacing w:after="320"/>
        <w:rPr>
          <w:rFonts w:hint="eastAsia"/>
        </w:rPr>
      </w:pPr>
      <w:r>
        <w:rPr>
          <w:rFonts w:hint="eastAsia"/>
        </w:rPr>
        <w:tab/>
        <w:t xml:space="preserve">123.  </w:t>
      </w:r>
      <w:r>
        <w:rPr>
          <w:rFonts w:hint="eastAsia"/>
        </w:rPr>
        <w:t>利比亚民众国拥有相当发达的旨在推动文化发展和人民参加文化生活的基础设施。在所有城市中心和农村地区都建立了文化中心，学校都配有图书馆。在利比亚有许多博物馆、公共图书馆、展览馆以及互联网中心。有一项关于推动传统艺术和手工艺的专门政策，还有旨在保护手工艺者权益的艺术和手工艺专业会议。为保护传统艺术和手工艺，已经启动了的黎波里老城项目，目前传统艺术和手工艺正在发生重大复兴。</w:t>
      </w:r>
    </w:p>
    <w:p w:rsidR="00000000" w:rsidRDefault="00000000">
      <w:pPr>
        <w:pStyle w:val="Heading4"/>
        <w:rPr>
          <w:rFonts w:hint="eastAsia"/>
        </w:rPr>
      </w:pPr>
      <w:r>
        <w:rPr>
          <w:rFonts w:hint="eastAsia"/>
        </w:rPr>
        <w:t>(</w:t>
      </w:r>
      <w:r>
        <w:t>c</w:t>
      </w:r>
      <w:r>
        <w:rPr>
          <w:rFonts w:hint="eastAsia"/>
        </w:rPr>
        <w:t xml:space="preserve">) </w:t>
      </w:r>
      <w:r>
        <w:rPr>
          <w:rFonts w:hint="eastAsia"/>
        </w:rPr>
        <w:t>分段</w:t>
      </w:r>
    </w:p>
    <w:p w:rsidR="00000000" w:rsidRDefault="00000000">
      <w:pPr>
        <w:spacing w:after="320"/>
        <w:rPr>
          <w:rFonts w:hint="eastAsia"/>
        </w:rPr>
      </w:pPr>
      <w:r>
        <w:rPr>
          <w:rFonts w:hint="eastAsia"/>
        </w:rPr>
        <w:tab/>
        <w:t xml:space="preserve">124.  </w:t>
      </w:r>
      <w:r>
        <w:rPr>
          <w:rFonts w:hint="eastAsia"/>
        </w:rPr>
        <w:t>阿拉伯利比亚民众国提倡一种对其他文化持开放态度和加强各国人民之间联系的文化特性。利比亚支持成立各种旨在加强利比亚人民和其他国家人民之间友谊的协会。全国人民代表大会秘书处的一个办公室负责监测这项政策的实施。</w:t>
      </w:r>
    </w:p>
    <w:p w:rsidR="00000000" w:rsidRDefault="00000000">
      <w:pPr>
        <w:pStyle w:val="Heading4"/>
        <w:rPr>
          <w:rFonts w:hint="eastAsia"/>
        </w:rPr>
      </w:pPr>
      <w:r>
        <w:rPr>
          <w:rFonts w:hint="eastAsia"/>
        </w:rPr>
        <w:t>(</w:t>
      </w:r>
      <w:r>
        <w:t>d</w:t>
      </w:r>
      <w:r>
        <w:rPr>
          <w:rFonts w:hint="eastAsia"/>
        </w:rPr>
        <w:t xml:space="preserve">) </w:t>
      </w:r>
      <w:r>
        <w:rPr>
          <w:rFonts w:hint="eastAsia"/>
        </w:rPr>
        <w:t>分段</w:t>
      </w:r>
    </w:p>
    <w:p w:rsidR="00000000" w:rsidRDefault="00000000">
      <w:pPr>
        <w:spacing w:after="320"/>
        <w:rPr>
          <w:rFonts w:hint="eastAsia"/>
        </w:rPr>
      </w:pPr>
      <w:r>
        <w:rPr>
          <w:rFonts w:hint="eastAsia"/>
        </w:rPr>
        <w:tab/>
        <w:t xml:space="preserve">125.  </w:t>
      </w:r>
      <w:r>
        <w:rPr>
          <w:rFonts w:hint="eastAsia"/>
        </w:rPr>
        <w:t>利比亚的文化政策认识到全国各个地区存在的明显的文化差异，致力于推动对于文化传统多样性的认识。</w:t>
      </w:r>
    </w:p>
    <w:p w:rsidR="00000000" w:rsidRDefault="00000000">
      <w:pPr>
        <w:pStyle w:val="Heading4"/>
        <w:spacing w:after="180"/>
        <w:rPr>
          <w:rFonts w:hint="eastAsia"/>
        </w:rPr>
      </w:pPr>
      <w:r>
        <w:rPr>
          <w:rFonts w:hint="eastAsia"/>
        </w:rPr>
        <w:t>(</w:t>
      </w:r>
      <w:r>
        <w:t>e</w:t>
      </w:r>
      <w:r>
        <w:rPr>
          <w:rFonts w:hint="eastAsia"/>
        </w:rPr>
        <w:t xml:space="preserve">) </w:t>
      </w:r>
      <w:r>
        <w:rPr>
          <w:rFonts w:hint="eastAsia"/>
        </w:rPr>
        <w:t>分段</w:t>
      </w:r>
    </w:p>
    <w:p w:rsidR="00000000" w:rsidRDefault="00000000">
      <w:pPr>
        <w:spacing w:after="120"/>
        <w:rPr>
          <w:rFonts w:hint="eastAsia"/>
        </w:rPr>
      </w:pPr>
      <w:r>
        <w:rPr>
          <w:rFonts w:hint="eastAsia"/>
        </w:rPr>
        <w:tab/>
        <w:t xml:space="preserve">126.  </w:t>
      </w:r>
      <w:r>
        <w:rPr>
          <w:rFonts w:hint="eastAsia"/>
        </w:rPr>
        <w:t>大众传媒和通信传媒根据其各自的任务推动人们参加文化生活。国家文献和信息处所公布的报告</w:t>
      </w:r>
      <w:r>
        <w:rPr>
          <w:rFonts w:hint="eastAsia"/>
        </w:rPr>
        <w:t>(</w:t>
      </w:r>
      <w:r>
        <w:rPr>
          <w:rFonts w:hint="eastAsia"/>
        </w:rPr>
        <w:t>也载于《统计年鉴》</w:t>
      </w:r>
      <w:r>
        <w:rPr>
          <w:rFonts w:hint="eastAsia"/>
        </w:rPr>
        <w:t>)</w:t>
      </w:r>
      <w:r>
        <w:rPr>
          <w:rFonts w:hint="eastAsia"/>
        </w:rPr>
        <w:t>载有关于文化生活的数据，特别是有关文化机构和文化活动的数据。</w:t>
      </w:r>
    </w:p>
    <w:p w:rsidR="00000000" w:rsidRDefault="00000000">
      <w:pPr>
        <w:pStyle w:val="Heading4"/>
        <w:spacing w:after="180"/>
        <w:rPr>
          <w:rFonts w:hint="eastAsia"/>
        </w:rPr>
      </w:pPr>
      <w:r>
        <w:rPr>
          <w:rFonts w:hint="eastAsia"/>
        </w:rPr>
        <w:t>(</w:t>
      </w:r>
      <w:r>
        <w:t>f</w:t>
      </w:r>
      <w:r>
        <w:rPr>
          <w:rFonts w:hint="eastAsia"/>
        </w:rPr>
        <w:t xml:space="preserve">) </w:t>
      </w:r>
      <w:r>
        <w:rPr>
          <w:rFonts w:hint="eastAsia"/>
        </w:rPr>
        <w:t>分段</w:t>
      </w:r>
    </w:p>
    <w:p w:rsidR="00000000" w:rsidRDefault="00000000">
      <w:pPr>
        <w:spacing w:after="120"/>
        <w:rPr>
          <w:rFonts w:hint="eastAsia"/>
        </w:rPr>
      </w:pPr>
      <w:r>
        <w:rPr>
          <w:rFonts w:hint="eastAsia"/>
        </w:rPr>
        <w:tab/>
        <w:t xml:space="preserve">127.  </w:t>
      </w:r>
      <w:r>
        <w:rPr>
          <w:rFonts w:hint="eastAsia"/>
        </w:rPr>
        <w:t>利比亚的文化遗产是人类遗产的一部分。在的黎波里博物馆中可见一斑。</w:t>
      </w:r>
    </w:p>
    <w:p w:rsidR="00000000" w:rsidRDefault="00000000">
      <w:pPr>
        <w:pStyle w:val="Heading4"/>
        <w:spacing w:after="180"/>
        <w:rPr>
          <w:rFonts w:hint="eastAsia"/>
        </w:rPr>
      </w:pPr>
      <w:r>
        <w:rPr>
          <w:rFonts w:hint="eastAsia"/>
        </w:rPr>
        <w:t>(</w:t>
      </w:r>
      <w:r>
        <w:t>g</w:t>
      </w:r>
      <w:r>
        <w:rPr>
          <w:rFonts w:hint="eastAsia"/>
        </w:rPr>
        <w:t xml:space="preserve">) </w:t>
      </w:r>
      <w:r>
        <w:rPr>
          <w:rFonts w:hint="eastAsia"/>
        </w:rPr>
        <w:t>分段</w:t>
      </w:r>
    </w:p>
    <w:p w:rsidR="00000000" w:rsidRDefault="00000000">
      <w:pPr>
        <w:spacing w:after="120"/>
        <w:rPr>
          <w:rFonts w:hint="eastAsia"/>
        </w:rPr>
      </w:pPr>
      <w:r>
        <w:rPr>
          <w:rFonts w:hint="eastAsia"/>
        </w:rPr>
        <w:tab/>
        <w:t xml:space="preserve">128.  </w:t>
      </w:r>
      <w:r>
        <w:rPr>
          <w:rFonts w:hint="eastAsia"/>
        </w:rPr>
        <w:t>在上文中已对这个问题作出了回答。</w:t>
      </w:r>
    </w:p>
    <w:p w:rsidR="00000000" w:rsidRDefault="00000000">
      <w:pPr>
        <w:pStyle w:val="Heading4"/>
        <w:spacing w:after="180"/>
        <w:rPr>
          <w:rFonts w:hint="eastAsia"/>
        </w:rPr>
      </w:pPr>
      <w:r>
        <w:rPr>
          <w:rFonts w:hint="eastAsia"/>
        </w:rPr>
        <w:t>(</w:t>
      </w:r>
      <w:r>
        <w:t>h</w:t>
      </w:r>
      <w:r>
        <w:rPr>
          <w:rFonts w:hint="eastAsia"/>
        </w:rPr>
        <w:t xml:space="preserve">) </w:t>
      </w:r>
      <w:r>
        <w:rPr>
          <w:rFonts w:hint="eastAsia"/>
        </w:rPr>
        <w:t>分段</w:t>
      </w:r>
    </w:p>
    <w:p w:rsidR="00000000" w:rsidRDefault="00000000">
      <w:pPr>
        <w:spacing w:after="120"/>
        <w:rPr>
          <w:rFonts w:hint="eastAsia"/>
        </w:rPr>
      </w:pPr>
      <w:r>
        <w:rPr>
          <w:rFonts w:hint="eastAsia"/>
        </w:rPr>
        <w:tab/>
        <w:t xml:space="preserve">129.  </w:t>
      </w:r>
      <w:r>
        <w:rPr>
          <w:rFonts w:hint="eastAsia"/>
        </w:rPr>
        <w:t>艺术和音乐系及其下属机构提供文化和艺术领域中的高等教育。</w:t>
      </w:r>
    </w:p>
    <w:p w:rsidR="00000000" w:rsidRDefault="00000000">
      <w:pPr>
        <w:pStyle w:val="Heading4"/>
        <w:spacing w:after="180"/>
      </w:pPr>
      <w:r>
        <w:rPr>
          <w:rFonts w:hint="eastAsia"/>
        </w:rPr>
        <w:t>(</w:t>
      </w:r>
      <w:r>
        <w:t>i</w:t>
      </w:r>
      <w:r>
        <w:rPr>
          <w:rFonts w:hint="eastAsia"/>
        </w:rPr>
        <w:t xml:space="preserve">) </w:t>
      </w:r>
      <w:r>
        <w:rPr>
          <w:rFonts w:hint="eastAsia"/>
        </w:rPr>
        <w:t>分段</w:t>
      </w:r>
    </w:p>
    <w:p w:rsidR="00000000" w:rsidRDefault="00000000">
      <w:pPr>
        <w:rPr>
          <w:rFonts w:hint="eastAsia"/>
        </w:rPr>
      </w:pPr>
      <w:r>
        <w:tab/>
        <w:t xml:space="preserve">130.  </w:t>
      </w:r>
      <w:r>
        <w:rPr>
          <w:rFonts w:hint="eastAsia"/>
        </w:rPr>
        <w:t>每年举行民间艺术节，并且鼓励苏菲人群体保存其知识遗产和宗教遗产。组织诗歌、小说、绘画、音乐以及歌咏比赛，为致力于发扬文学、艺术以及其他文化遗产的民间团体提供支助。</w:t>
      </w:r>
    </w:p>
    <w:p w:rsidR="00000000" w:rsidRDefault="00000000">
      <w:pPr>
        <w:spacing w:after="120"/>
        <w:rPr>
          <w:rFonts w:hint="eastAsia"/>
        </w:rPr>
      </w:pPr>
      <w:r>
        <w:rPr>
          <w:rFonts w:hint="eastAsia"/>
        </w:rPr>
        <w:tab/>
        <w:t xml:space="preserve">131.  </w:t>
      </w:r>
      <w:r>
        <w:rPr>
          <w:rFonts w:hint="eastAsia"/>
        </w:rPr>
        <w:t>关于面临的困难，我们想提到由于全球化和大众传媒的扩张，通过卫星电视发动的文化侵略现象。</w:t>
      </w:r>
    </w:p>
    <w:p w:rsidR="00000000" w:rsidRDefault="00000000">
      <w:pPr>
        <w:pStyle w:val="Heading4"/>
        <w:spacing w:after="180"/>
        <w:rPr>
          <w:rFonts w:hint="eastAsia"/>
        </w:rPr>
      </w:pPr>
      <w:r>
        <w:rPr>
          <w:rFonts w:hint="eastAsia"/>
        </w:rPr>
        <w:t>第</w:t>
      </w:r>
      <w:r>
        <w:rPr>
          <w:rFonts w:hint="eastAsia"/>
        </w:rPr>
        <w:t>2</w:t>
      </w:r>
      <w:r>
        <w:rPr>
          <w:rFonts w:hint="eastAsia"/>
        </w:rPr>
        <w:t>段</w:t>
      </w:r>
      <w:r>
        <w:rPr>
          <w:rFonts w:hint="eastAsia"/>
        </w:rPr>
        <w:t>(</w:t>
      </w:r>
      <w:r>
        <w:t>a</w:t>
      </w:r>
      <w:r>
        <w:rPr>
          <w:rFonts w:hint="eastAsia"/>
        </w:rPr>
        <w:t>)</w:t>
      </w:r>
      <w:r>
        <w:rPr>
          <w:rFonts w:hint="eastAsia"/>
        </w:rPr>
        <w:t>分段</w:t>
      </w:r>
    </w:p>
    <w:p w:rsidR="00000000" w:rsidRDefault="00000000">
      <w:pPr>
        <w:spacing w:after="120"/>
        <w:rPr>
          <w:rFonts w:hint="eastAsia"/>
        </w:rPr>
      </w:pPr>
      <w:r>
        <w:rPr>
          <w:rFonts w:hint="eastAsia"/>
        </w:rPr>
        <w:tab/>
        <w:t xml:space="preserve">132.  </w:t>
      </w:r>
      <w:r>
        <w:rPr>
          <w:rFonts w:hint="eastAsia"/>
        </w:rPr>
        <w:t>现已生效的法律强调必须确保科学进步的应用符合所有人的利益，特别是在卫生、教育、工业、农业、渔业、畜牧业、信息以及文化等领域中。</w:t>
      </w:r>
    </w:p>
    <w:p w:rsidR="00000000" w:rsidRDefault="00000000">
      <w:pPr>
        <w:pStyle w:val="Heading4"/>
        <w:spacing w:after="180"/>
      </w:pPr>
      <w:r>
        <w:rPr>
          <w:rFonts w:hint="eastAsia"/>
        </w:rPr>
        <w:t>(</w:t>
      </w:r>
      <w:r>
        <w:t>b</w:t>
      </w:r>
      <w:r>
        <w:rPr>
          <w:rFonts w:hint="eastAsia"/>
        </w:rPr>
        <w:t xml:space="preserve">) </w:t>
      </w:r>
      <w:r>
        <w:rPr>
          <w:rFonts w:hint="eastAsia"/>
        </w:rPr>
        <w:t>分段</w:t>
      </w:r>
    </w:p>
    <w:p w:rsidR="00000000" w:rsidRDefault="00000000">
      <w:pPr>
        <w:spacing w:after="120"/>
        <w:rPr>
          <w:rFonts w:hint="eastAsia"/>
        </w:rPr>
      </w:pPr>
      <w:r>
        <w:tab/>
        <w:t xml:space="preserve">133.  </w:t>
      </w:r>
      <w:r>
        <w:rPr>
          <w:rFonts w:hint="eastAsia"/>
        </w:rPr>
        <w:t>国家文献和信息处、国家科学研究办公室、国家广播公司以及国家科学、教育、文化委员会传播有关科学进步的信息，并且推广科学和文化成果。在利比亚民众国各地成立的互联网中心，人们可以进行网上交流。上网</w:t>
      </w:r>
      <w:r>
        <w:rPr>
          <w:rFonts w:hint="eastAsia"/>
        </w:rPr>
        <w:t>1</w:t>
      </w:r>
      <w:r>
        <w:rPr>
          <w:rFonts w:hint="eastAsia"/>
        </w:rPr>
        <w:t>小时的费用还不到半美元。</w:t>
      </w:r>
    </w:p>
    <w:p w:rsidR="00000000" w:rsidRDefault="00000000">
      <w:pPr>
        <w:pStyle w:val="Heading4"/>
        <w:rPr>
          <w:rFonts w:hint="eastAsia"/>
        </w:rPr>
      </w:pPr>
      <w:r>
        <w:rPr>
          <w:rFonts w:hint="eastAsia"/>
        </w:rPr>
        <w:t>(</w:t>
      </w:r>
      <w:r>
        <w:t>c</w:t>
      </w:r>
      <w:r>
        <w:rPr>
          <w:rFonts w:hint="eastAsia"/>
        </w:rPr>
        <w:t xml:space="preserve">) </w:t>
      </w:r>
      <w:r>
        <w:rPr>
          <w:rFonts w:hint="eastAsia"/>
        </w:rPr>
        <w:t>分段</w:t>
      </w:r>
    </w:p>
    <w:p w:rsidR="00000000" w:rsidRDefault="00000000">
      <w:pPr>
        <w:spacing w:after="320"/>
        <w:rPr>
          <w:rFonts w:hint="eastAsia"/>
        </w:rPr>
      </w:pPr>
      <w:r>
        <w:rPr>
          <w:rFonts w:hint="eastAsia"/>
        </w:rPr>
        <w:tab/>
        <w:t xml:space="preserve">134.  </w:t>
      </w:r>
      <w:r>
        <w:rPr>
          <w:rFonts w:hint="eastAsia"/>
        </w:rPr>
        <w:t>《利比亚刑法》禁止将科学和技术进步的成果用于阻碍享受诸如生命权、健康权、人身自由权以及隐私权等人权之目的。</w:t>
      </w:r>
    </w:p>
    <w:p w:rsidR="00000000" w:rsidRDefault="00000000">
      <w:pPr>
        <w:pStyle w:val="Heading4"/>
        <w:rPr>
          <w:rFonts w:hint="eastAsia"/>
        </w:rPr>
      </w:pPr>
      <w:r>
        <w:rPr>
          <w:rFonts w:hint="eastAsia"/>
        </w:rPr>
        <w:t>(</w:t>
      </w:r>
      <w:r>
        <w:t>d</w:t>
      </w:r>
      <w:r>
        <w:rPr>
          <w:rFonts w:hint="eastAsia"/>
        </w:rPr>
        <w:t xml:space="preserve">) </w:t>
      </w:r>
      <w:r>
        <w:rPr>
          <w:rFonts w:hint="eastAsia"/>
        </w:rPr>
        <w:t>分段</w:t>
      </w:r>
    </w:p>
    <w:p w:rsidR="00000000" w:rsidRDefault="00000000">
      <w:pPr>
        <w:rPr>
          <w:rFonts w:hint="eastAsia"/>
        </w:rPr>
      </w:pPr>
      <w:r>
        <w:rPr>
          <w:rFonts w:hint="eastAsia"/>
        </w:rPr>
        <w:tab/>
        <w:t xml:space="preserve">135.  </w:t>
      </w:r>
      <w:r>
        <w:rPr>
          <w:rFonts w:hint="eastAsia"/>
        </w:rPr>
        <w:t>除了在国家安全与和平遭到威胁或者他人权利可能会遭到侵犯的情况下，对于行使这项权利没有规定任何限制。</w:t>
      </w:r>
    </w:p>
    <w:p w:rsidR="00000000" w:rsidRDefault="00000000">
      <w:pPr>
        <w:rPr>
          <w:rFonts w:hint="eastAsia"/>
        </w:rPr>
      </w:pPr>
      <w:r>
        <w:rPr>
          <w:rFonts w:hint="eastAsia"/>
        </w:rPr>
        <w:tab/>
        <w:t xml:space="preserve">136.  </w:t>
      </w:r>
      <w:r>
        <w:rPr>
          <w:rFonts w:hint="eastAsia"/>
        </w:rPr>
        <w:t>阿拉伯利比亚民众国已经采取措施拨出必要的资金和资源，以便改善公民的文化生活和保存其文化遗产和历史。</w:t>
      </w:r>
      <w:r>
        <w:rPr>
          <w:rFonts w:hint="eastAsia"/>
        </w:rPr>
        <w:t>2002</w:t>
      </w:r>
      <w:r>
        <w:rPr>
          <w:rFonts w:hint="eastAsia"/>
        </w:rPr>
        <w:t>年的国家预算拨出</w:t>
      </w:r>
      <w:r>
        <w:rPr>
          <w:rFonts w:hint="eastAsia"/>
        </w:rPr>
        <w:t>201,228,000,000</w:t>
      </w:r>
      <w:r>
        <w:rPr>
          <w:rFonts w:hint="eastAsia"/>
        </w:rPr>
        <w:t>第纳尔用于人力资源开发，</w:t>
      </w:r>
      <w:r>
        <w:rPr>
          <w:rFonts w:hint="eastAsia"/>
        </w:rPr>
        <w:t xml:space="preserve"> 54,239,000,000</w:t>
      </w:r>
      <w:r>
        <w:rPr>
          <w:rFonts w:hint="eastAsia"/>
        </w:rPr>
        <w:t>第纳尔用于研究，</w:t>
      </w:r>
      <w:r>
        <w:rPr>
          <w:rFonts w:hint="eastAsia"/>
        </w:rPr>
        <w:t xml:space="preserve"> 17,003,000,000</w:t>
      </w:r>
      <w:r>
        <w:rPr>
          <w:rFonts w:hint="eastAsia"/>
        </w:rPr>
        <w:t>第纳尔用于利比亚媒体研究所及其附属机构，</w:t>
      </w:r>
      <w:r>
        <w:rPr>
          <w:rFonts w:hint="eastAsia"/>
        </w:rPr>
        <w:t xml:space="preserve"> 25,666,000,000</w:t>
      </w:r>
      <w:r>
        <w:rPr>
          <w:rFonts w:hint="eastAsia"/>
        </w:rPr>
        <w:t>第纳尔用于国家科学研究办公室，以及</w:t>
      </w:r>
      <w:r>
        <w:rPr>
          <w:rFonts w:hint="eastAsia"/>
        </w:rPr>
        <w:t>12,078,000,000</w:t>
      </w:r>
      <w:r>
        <w:rPr>
          <w:rFonts w:hint="eastAsia"/>
        </w:rPr>
        <w:t>第纳尔用于国家旅游业和古迹委员会。</w:t>
      </w:r>
    </w:p>
    <w:p w:rsidR="00000000" w:rsidRDefault="00000000">
      <w:pPr>
        <w:rPr>
          <w:rFonts w:hint="eastAsia"/>
        </w:rPr>
      </w:pPr>
      <w:r>
        <w:rPr>
          <w:rFonts w:hint="eastAsia"/>
        </w:rPr>
        <w:tab/>
        <w:t xml:space="preserve">137.  </w:t>
      </w:r>
      <w:r>
        <w:rPr>
          <w:rFonts w:hint="eastAsia"/>
        </w:rPr>
        <w:t>国家旅游业和古迹委员会、利比亚媒体研究所以及国家科学研究办公室的活动预算分别为：</w:t>
      </w:r>
      <w:r>
        <w:rPr>
          <w:rFonts w:hint="eastAsia"/>
        </w:rPr>
        <w:t>300</w:t>
      </w:r>
      <w:r>
        <w:rPr>
          <w:rFonts w:hint="eastAsia"/>
        </w:rPr>
        <w:t>万第纳尔、</w:t>
      </w:r>
      <w:r>
        <w:rPr>
          <w:rFonts w:hint="eastAsia"/>
        </w:rPr>
        <w:t>100</w:t>
      </w:r>
      <w:r>
        <w:rPr>
          <w:rFonts w:hint="eastAsia"/>
        </w:rPr>
        <w:t>万第纳尔以及</w:t>
      </w:r>
      <w:r>
        <w:rPr>
          <w:rFonts w:hint="eastAsia"/>
        </w:rPr>
        <w:t>600</w:t>
      </w:r>
      <w:r>
        <w:rPr>
          <w:rFonts w:hint="eastAsia"/>
        </w:rPr>
        <w:t>万第纳尔。促进文化委员会的拨款为</w:t>
      </w:r>
      <w:r>
        <w:rPr>
          <w:rFonts w:hint="eastAsia"/>
        </w:rPr>
        <w:t>1,985,000</w:t>
      </w:r>
      <w:r>
        <w:rPr>
          <w:rFonts w:hint="eastAsia"/>
        </w:rPr>
        <w:t>第纳尔，国家电台</w:t>
      </w:r>
      <w:r>
        <w:rPr>
          <w:rFonts w:hint="eastAsia"/>
        </w:rPr>
        <w:t>(</w:t>
      </w:r>
      <w:r>
        <w:rPr>
          <w:rFonts w:hint="eastAsia"/>
        </w:rPr>
        <w:t>非洲之声</w:t>
      </w:r>
      <w:r>
        <w:rPr>
          <w:rFonts w:hint="eastAsia"/>
        </w:rPr>
        <w:t>)</w:t>
      </w:r>
      <w:r>
        <w:rPr>
          <w:rFonts w:hint="eastAsia"/>
        </w:rPr>
        <w:t>的拨款为</w:t>
      </w:r>
      <w:r>
        <w:rPr>
          <w:rFonts w:hint="eastAsia"/>
        </w:rPr>
        <w:t>1,515,000</w:t>
      </w:r>
      <w:r>
        <w:rPr>
          <w:rFonts w:hint="eastAsia"/>
        </w:rPr>
        <w:t>第纳尔，利比亚新闻社的拨款为</w:t>
      </w:r>
      <w:r>
        <w:rPr>
          <w:rFonts w:hint="eastAsia"/>
        </w:rPr>
        <w:t>2,287,000</w:t>
      </w:r>
      <w:r>
        <w:rPr>
          <w:rFonts w:hint="eastAsia"/>
        </w:rPr>
        <w:t>第纳尔，国家广播公司的拨款为</w:t>
      </w:r>
      <w:r>
        <w:rPr>
          <w:rFonts w:hint="eastAsia"/>
        </w:rPr>
        <w:t>28,001,000</w:t>
      </w:r>
      <w:r>
        <w:rPr>
          <w:rFonts w:hint="eastAsia"/>
        </w:rPr>
        <w:t>第纳尔，利比亚媒体研究所的拨款为</w:t>
      </w:r>
      <w:r>
        <w:rPr>
          <w:rFonts w:hint="eastAsia"/>
        </w:rPr>
        <w:t>70</w:t>
      </w:r>
      <w:r>
        <w:rPr>
          <w:rFonts w:hint="eastAsia"/>
        </w:rPr>
        <w:t>万第纳尔，文化遗物局的拨款为</w:t>
      </w:r>
      <w:r>
        <w:rPr>
          <w:rFonts w:hint="eastAsia"/>
        </w:rPr>
        <w:t>2,757,000</w:t>
      </w:r>
      <w:r>
        <w:rPr>
          <w:rFonts w:hint="eastAsia"/>
        </w:rPr>
        <w:t>第纳尔，国家教育、科学和文化委员会的拨款为</w:t>
      </w:r>
      <w:r>
        <w:rPr>
          <w:rFonts w:hint="eastAsia"/>
        </w:rPr>
        <w:t>453,000</w:t>
      </w:r>
      <w:r>
        <w:rPr>
          <w:rFonts w:hint="eastAsia"/>
        </w:rPr>
        <w:t>第纳尔。</w:t>
      </w:r>
    </w:p>
    <w:p w:rsidR="00000000" w:rsidRDefault="00000000">
      <w:pPr>
        <w:rPr>
          <w:rFonts w:hint="eastAsia"/>
        </w:rPr>
      </w:pPr>
      <w:r>
        <w:rPr>
          <w:rFonts w:hint="eastAsia"/>
        </w:rPr>
        <w:tab/>
        <w:t xml:space="preserve">138.  </w:t>
      </w:r>
      <w:r>
        <w:rPr>
          <w:rFonts w:hint="eastAsia"/>
        </w:rPr>
        <w:t>拨出这些款项的目的是要通过扩大支助结构并使之多样化，以便促进文化发展和人民参加文化生活。与此同时，也为确保文化权利制定了法律，例如，制定了有关保护古迹、博物馆、旧城以及有历史意义的建筑物的</w:t>
      </w:r>
      <w:r>
        <w:rPr>
          <w:rFonts w:hint="eastAsia"/>
        </w:rPr>
        <w:t>1995</w:t>
      </w:r>
      <w:r>
        <w:rPr>
          <w:rFonts w:hint="eastAsia"/>
        </w:rPr>
        <w:t>年第</w:t>
      </w:r>
      <w:r>
        <w:rPr>
          <w:rFonts w:hint="eastAsia"/>
        </w:rPr>
        <w:t>3</w:t>
      </w:r>
      <w:r>
        <w:rPr>
          <w:rFonts w:hint="eastAsia"/>
        </w:rPr>
        <w:t>号法令，以便保护在利比亚的世界人类遗产的遗址和禁止采取任何可能会引起这项法令所界定的损害的行动。根据</w:t>
      </w:r>
      <w:r>
        <w:rPr>
          <w:rFonts w:hint="eastAsia"/>
        </w:rPr>
        <w:t>2000</w:t>
      </w:r>
      <w:r>
        <w:rPr>
          <w:rFonts w:hint="eastAsia"/>
        </w:rPr>
        <w:t>年第</w:t>
      </w:r>
      <w:r>
        <w:rPr>
          <w:rFonts w:hint="eastAsia"/>
        </w:rPr>
        <w:t>471</w:t>
      </w:r>
      <w:r>
        <w:rPr>
          <w:rFonts w:hint="eastAsia"/>
        </w:rPr>
        <w:t>号法令设立了国家旅游业和古迹委员会。根据这项法令，该委员会的一些工作人员拥有调查权，并且可就违法行为提出起诉。该委员会开展各种活动，旨在发展和促进旅游业，向公民宣传其文化遗产并且为经济、社会和文化发展作出贡献。</w:t>
      </w:r>
    </w:p>
    <w:p w:rsidR="00000000" w:rsidRDefault="00000000">
      <w:pPr>
        <w:rPr>
          <w:rFonts w:hint="eastAsia"/>
        </w:rPr>
      </w:pPr>
      <w:r>
        <w:rPr>
          <w:rFonts w:hint="eastAsia"/>
        </w:rPr>
        <w:tab/>
        <w:t xml:space="preserve">139.  </w:t>
      </w:r>
      <w:r>
        <w:rPr>
          <w:rFonts w:hint="eastAsia"/>
        </w:rPr>
        <w:t>利比亚深信所有个人都有权自由选择自己所需要的知识，并从自己的创造能力获益。利比亚制定了一项特别法律，以便保护知识产权并且防止任何种类、形式或者目的的文学、艺术或者科学作品的作者遭到任何欺诈或者其作品遭到滥用。为了实施这项法律，利比亚颁布了</w:t>
      </w:r>
      <w:r>
        <w:rPr>
          <w:rFonts w:hint="eastAsia"/>
        </w:rPr>
        <w:t>1985</w:t>
      </w:r>
      <w:r>
        <w:rPr>
          <w:rFonts w:hint="eastAsia"/>
        </w:rPr>
        <w:t>年第</w:t>
      </w:r>
      <w:r>
        <w:rPr>
          <w:rFonts w:hint="eastAsia"/>
        </w:rPr>
        <w:t>114</w:t>
      </w:r>
      <w:r>
        <w:rPr>
          <w:rFonts w:hint="eastAsia"/>
        </w:rPr>
        <w:t>号法令，就大专院校的写作、翻译、编辑和出版问题作出了规定。</w:t>
      </w:r>
      <w:r>
        <w:rPr>
          <w:rFonts w:hint="eastAsia"/>
        </w:rPr>
        <w:t>1992</w:t>
      </w:r>
      <w:r>
        <w:rPr>
          <w:rFonts w:hint="eastAsia"/>
        </w:rPr>
        <w:t>年第</w:t>
      </w:r>
      <w:r>
        <w:rPr>
          <w:rFonts w:hint="eastAsia"/>
        </w:rPr>
        <w:t>348</w:t>
      </w:r>
      <w:r>
        <w:rPr>
          <w:rFonts w:hint="eastAsia"/>
        </w:rPr>
        <w:t>号《写作、翻译、编辑和出版条例》为保护知识产权规定了准则。为了鼓励创造性劳动，利比亚设立了国家促进文化委员会，鼓励公民以创造性的方式表达思想，发展其才能，特别是要帮助那些有真才实学之人，以便提高全国的文化水准。该委员会在全国各级组织艺术节和学术讨论会。</w:t>
      </w:r>
    </w:p>
    <w:p w:rsidR="00000000" w:rsidRDefault="00000000">
      <w:r>
        <w:rPr>
          <w:rFonts w:hint="eastAsia"/>
        </w:rPr>
        <w:tab/>
        <w:t xml:space="preserve">140.  </w:t>
      </w:r>
      <w:r>
        <w:rPr>
          <w:rFonts w:hint="eastAsia"/>
        </w:rPr>
        <w:t>全国人民代表大会秘书处为提高文化水准和扶植本国人才而采取的措施之一是通过了有关重新组织促进创造性作品基金的</w:t>
      </w:r>
      <w:r>
        <w:rPr>
          <w:rFonts w:hint="eastAsia"/>
        </w:rPr>
        <w:t>2002</w:t>
      </w:r>
      <w:r>
        <w:rPr>
          <w:rFonts w:hint="eastAsia"/>
        </w:rPr>
        <w:t>年第</w:t>
      </w:r>
      <w:r>
        <w:rPr>
          <w:rFonts w:hint="eastAsia"/>
        </w:rPr>
        <w:t>166</w:t>
      </w:r>
      <w:r>
        <w:rPr>
          <w:rFonts w:hint="eastAsia"/>
        </w:rPr>
        <w:t>号法令，其中规定为特别有价值的创造性作品颁奖和采取其他奖励措施，并且赞助艺术家和作家。</w:t>
      </w:r>
    </w:p>
    <w:p w:rsidR="00000000" w:rsidRDefault="00000000">
      <w:pPr>
        <w:rPr>
          <w:rFonts w:hint="eastAsia"/>
        </w:rPr>
      </w:pPr>
      <w:r>
        <w:rPr>
          <w:rFonts w:hint="eastAsia"/>
        </w:rPr>
        <w:tab/>
        <w:t xml:space="preserve">141.  </w:t>
      </w:r>
      <w:r>
        <w:rPr>
          <w:rFonts w:hint="eastAsia"/>
        </w:rPr>
        <w:t>一个重要的文化媒介是广播和电视。正如上文所指出，国家拨出巨额款项使得广播和电视在传播文化方面发挥作用。这些机构包括：利比亚媒体研究所和国家广播公司。在建立了一些地方电台</w:t>
      </w:r>
      <w:r>
        <w:rPr>
          <w:rFonts w:hint="eastAsia"/>
        </w:rPr>
        <w:t>(</w:t>
      </w:r>
      <w:r>
        <w:t>Tripoli</w:t>
      </w:r>
      <w:r>
        <w:rPr>
          <w:rFonts w:hint="eastAsia"/>
        </w:rPr>
        <w:t>电台、</w:t>
      </w:r>
      <w:r>
        <w:t>Benghazi</w:t>
      </w:r>
      <w:r>
        <w:rPr>
          <w:rFonts w:hint="eastAsia"/>
        </w:rPr>
        <w:t>电台、</w:t>
      </w:r>
      <w:r>
        <w:t xml:space="preserve">Al-Zawiya </w:t>
      </w:r>
      <w:r>
        <w:rPr>
          <w:rFonts w:hint="eastAsia"/>
        </w:rPr>
        <w:t>电台、</w:t>
      </w:r>
      <w:r>
        <w:t>Jabal al-Gharb</w:t>
      </w:r>
      <w:r>
        <w:rPr>
          <w:rFonts w:hint="eastAsia"/>
        </w:rPr>
        <w:t>电台、</w:t>
      </w:r>
      <w:r>
        <w:t>Sirt</w:t>
      </w:r>
      <w:r>
        <w:rPr>
          <w:rFonts w:hint="eastAsia"/>
        </w:rPr>
        <w:t>电台等等</w:t>
      </w:r>
      <w:r>
        <w:rPr>
          <w:rFonts w:hint="eastAsia"/>
        </w:rPr>
        <w:t>)</w:t>
      </w:r>
      <w:r>
        <w:rPr>
          <w:rFonts w:hint="eastAsia"/>
        </w:rPr>
        <w:t>之后，这两个机构已经不属于中央政府管理。地方电台致力于保存本地的文化特点，提高人们对于文化遗产的认识和欣赏。</w:t>
      </w:r>
    </w:p>
    <w:p w:rsidR="00000000" w:rsidRDefault="00000000">
      <w:pPr>
        <w:rPr>
          <w:rFonts w:hint="eastAsia"/>
        </w:rPr>
      </w:pPr>
      <w:r>
        <w:rPr>
          <w:rFonts w:hint="eastAsia"/>
        </w:rPr>
        <w:tab/>
        <w:t xml:space="preserve">142.  </w:t>
      </w:r>
      <w:r>
        <w:rPr>
          <w:rFonts w:hint="eastAsia"/>
        </w:rPr>
        <w:t>当代文化的另外一个重要媒介是报刊杂志。国家新闻管理局以及那些希望发表观点、讨论当前问题以及提出意见的私人实体</w:t>
      </w:r>
      <w:r>
        <w:rPr>
          <w:rFonts w:hint="eastAsia"/>
        </w:rPr>
        <w:t>/</w:t>
      </w:r>
      <w:r>
        <w:rPr>
          <w:rFonts w:hint="eastAsia"/>
        </w:rPr>
        <w:t>协会或者工会所办的报纸拥有广大的读者。这些报纸包括：在的黎波里的海岸报、的黎波里作家俱乐部的机关报</w:t>
      </w:r>
      <w:r>
        <w:rPr>
          <w:rFonts w:hint="eastAsia"/>
        </w:rPr>
        <w:t>(</w:t>
      </w:r>
      <w:r>
        <w:rPr>
          <w:rFonts w:hint="eastAsia"/>
        </w:rPr>
        <w:t>全景报</w:t>
      </w:r>
      <w:r>
        <w:rPr>
          <w:rFonts w:hint="eastAsia"/>
        </w:rPr>
        <w:t>)</w:t>
      </w:r>
      <w:r>
        <w:rPr>
          <w:rFonts w:hint="eastAsia"/>
        </w:rPr>
        <w:t>、生产者报、学生报、教师报以及律师报。所有这些出版物都为对文化感兴趣的群体提供了发表意见和与人交流的机会。</w:t>
      </w:r>
    </w:p>
    <w:p w:rsidR="00000000" w:rsidRDefault="00000000">
      <w:pPr>
        <w:rPr>
          <w:rFonts w:hint="eastAsia"/>
        </w:rPr>
      </w:pPr>
      <w:r>
        <w:rPr>
          <w:rFonts w:hint="eastAsia"/>
        </w:rPr>
        <w:tab/>
        <w:t xml:space="preserve">143.  </w:t>
      </w:r>
      <w:r>
        <w:rPr>
          <w:rFonts w:hint="eastAsia"/>
        </w:rPr>
        <w:t>在阿拉伯利比亚民众国有一个很出名的说法：人们只能通过其艺术和文化遗产相互结合。因此，设立了用于专门目的的中心，让人们有机会发挥自己的才能。这些中心包括：</w:t>
      </w:r>
      <w:r>
        <w:t>Jamal al-Din al-Miladi</w:t>
      </w:r>
      <w:r>
        <w:rPr>
          <w:rFonts w:hint="eastAsia"/>
        </w:rPr>
        <w:t>音乐中心、美术中心、国家阿拉伯音乐研究中心以及国家民间艺术中心。为保存文化遗产和文化特性而成立的许多私人协会也可发挥积极作用。</w:t>
      </w:r>
    </w:p>
    <w:p w:rsidR="00000000" w:rsidRDefault="00000000">
      <w:pPr>
        <w:rPr>
          <w:rFonts w:hint="eastAsia"/>
        </w:rPr>
      </w:pPr>
      <w:r>
        <w:rPr>
          <w:rFonts w:hint="eastAsia"/>
        </w:rPr>
        <w:tab/>
        <w:t xml:space="preserve">144.  </w:t>
      </w:r>
      <w:r>
        <w:rPr>
          <w:rFonts w:hint="eastAsia"/>
        </w:rPr>
        <w:t>应当赞扬教科文组织为促进包括阿拉伯利比亚民众国人民在内的各国人民的文化权利而开展的各项工作。该组织帮助了利比亚保存其古迹，并且提供了它所需要的专家咨询和专门技术知识。国家教育、科学和文化委员会的设立大大加强了利比亚同该组织以及其他有关国际组织的合作。</w:t>
      </w:r>
    </w:p>
    <w:p w:rsidR="00000000" w:rsidRDefault="00000000">
      <w:pPr>
        <w:rPr>
          <w:rFonts w:hint="eastAsia"/>
        </w:rPr>
      </w:pPr>
      <w:r>
        <w:rPr>
          <w:rFonts w:hint="eastAsia"/>
        </w:rPr>
        <w:tab/>
        <w:t xml:space="preserve">145.  </w:t>
      </w:r>
      <w:r>
        <w:rPr>
          <w:rFonts w:hint="eastAsia"/>
        </w:rPr>
        <w:t>利比亚认识到加强各国人民之间联系的重要性，因此派出特别代表以加强同其他国家的联系和文化交流。在世界各地共有</w:t>
      </w:r>
      <w:r>
        <w:rPr>
          <w:rFonts w:hint="eastAsia"/>
        </w:rPr>
        <w:t>21</w:t>
      </w:r>
      <w:r>
        <w:rPr>
          <w:rFonts w:hint="eastAsia"/>
        </w:rPr>
        <w:t>个利比亚文化中心</w:t>
      </w:r>
      <w:r>
        <w:rPr>
          <w:rFonts w:hint="eastAsia"/>
        </w:rPr>
        <w:t>(16</w:t>
      </w:r>
      <w:r>
        <w:rPr>
          <w:rFonts w:hint="eastAsia"/>
        </w:rPr>
        <w:t>个在非洲</w:t>
      </w:r>
      <w:r>
        <w:rPr>
          <w:rFonts w:hint="eastAsia"/>
        </w:rPr>
        <w:t>)</w:t>
      </w:r>
      <w:r>
        <w:rPr>
          <w:rFonts w:hint="eastAsia"/>
        </w:rPr>
        <w:t>。这些中心传播文化和知识，教授阿拉伯语和伊斯兰教规，并且提供职业培训和电脑课程。</w:t>
      </w:r>
    </w:p>
    <w:p w:rsidR="00000000" w:rsidRDefault="00000000">
      <w:pPr>
        <w:rPr>
          <w:rFonts w:hint="eastAsia"/>
        </w:rPr>
      </w:pPr>
    </w:p>
    <w:p w:rsidR="00000000" w:rsidRDefault="00000000">
      <w:pPr>
        <w:pStyle w:val="Heading3"/>
        <w:spacing w:before="300"/>
        <w:rPr>
          <w:rFonts w:hint="eastAsia"/>
        </w:rPr>
      </w:pPr>
      <w:r>
        <w:rPr>
          <w:rFonts w:hint="eastAsia"/>
        </w:rPr>
        <w:t>注</w:t>
      </w:r>
    </w:p>
    <w:p w:rsidR="00000000" w:rsidRDefault="00000000">
      <w:pPr>
        <w:pStyle w:val="EndnoteText"/>
        <w:rPr>
          <w:rFonts w:hint="eastAsia"/>
        </w:rPr>
      </w:pPr>
      <w:r>
        <w:rPr>
          <w:rFonts w:hint="eastAsia"/>
          <w:vertAlign w:val="superscript"/>
        </w:rPr>
        <w:t>1</w:t>
      </w:r>
      <w:r>
        <w:rPr>
          <w:rFonts w:hint="eastAsia"/>
        </w:rPr>
        <w:t xml:space="preserve">   1998</w:t>
      </w:r>
      <w:r>
        <w:rPr>
          <w:rFonts w:hint="eastAsia"/>
        </w:rPr>
        <w:t>年《阿拉伯经济综合报告》。</w:t>
      </w:r>
    </w:p>
    <w:p w:rsidR="00000000" w:rsidRDefault="00000000">
      <w:pPr>
        <w:pStyle w:val="EndnoteText"/>
        <w:rPr>
          <w:rFonts w:hint="eastAsia"/>
        </w:rPr>
      </w:pPr>
      <w:r>
        <w:rPr>
          <w:rFonts w:hint="eastAsia"/>
          <w:vertAlign w:val="superscript"/>
        </w:rPr>
        <w:t>2</w:t>
      </w:r>
      <w:r>
        <w:rPr>
          <w:rFonts w:hint="eastAsia"/>
        </w:rPr>
        <w:t xml:space="preserve">   </w:t>
      </w:r>
      <w:r>
        <w:rPr>
          <w:rFonts w:hint="eastAsia"/>
        </w:rPr>
        <w:t>国家文献和信息处，《</w:t>
      </w:r>
      <w:r>
        <w:rPr>
          <w:rFonts w:hint="eastAsia"/>
        </w:rPr>
        <w:t>2002</w:t>
      </w:r>
      <w:r>
        <w:rPr>
          <w:rFonts w:hint="eastAsia"/>
        </w:rPr>
        <w:t>年统计年鉴》，第</w:t>
      </w:r>
      <w:r>
        <w:rPr>
          <w:rFonts w:hint="eastAsia"/>
        </w:rPr>
        <w:t>28</w:t>
      </w:r>
      <w:r>
        <w:rPr>
          <w:rFonts w:hint="eastAsia"/>
        </w:rPr>
        <w:t>页。</w:t>
      </w:r>
    </w:p>
    <w:p w:rsidR="00000000" w:rsidRDefault="00000000">
      <w:pPr>
        <w:pStyle w:val="EndnoteText"/>
        <w:rPr>
          <w:rFonts w:hint="eastAsia"/>
        </w:rPr>
      </w:pPr>
      <w:r>
        <w:rPr>
          <w:rFonts w:hint="eastAsia"/>
          <w:vertAlign w:val="superscript"/>
        </w:rPr>
        <w:t>3</w:t>
      </w:r>
      <w:r>
        <w:rPr>
          <w:rFonts w:hint="eastAsia"/>
        </w:rPr>
        <w:t xml:space="preserve">   </w:t>
      </w:r>
      <w:r>
        <w:rPr>
          <w:rFonts w:hint="eastAsia"/>
        </w:rPr>
        <w:t>资料来源：国家文献和信息处，《</w:t>
      </w:r>
      <w:r>
        <w:rPr>
          <w:rFonts w:hint="eastAsia"/>
        </w:rPr>
        <w:t>1999</w:t>
      </w:r>
      <w:r>
        <w:rPr>
          <w:rFonts w:hint="eastAsia"/>
        </w:rPr>
        <w:t>年人类发展报告》。</w:t>
      </w:r>
    </w:p>
    <w:p w:rsidR="00000000" w:rsidRDefault="00000000">
      <w:pPr>
        <w:pStyle w:val="EndnoteText"/>
        <w:rPr>
          <w:rFonts w:hint="eastAsia"/>
        </w:rPr>
      </w:pPr>
      <w:r>
        <w:rPr>
          <w:rFonts w:hint="eastAsia"/>
          <w:vertAlign w:val="superscript"/>
        </w:rPr>
        <w:t>4</w:t>
      </w:r>
      <w:r>
        <w:rPr>
          <w:rFonts w:hint="eastAsia"/>
        </w:rPr>
        <w:t xml:space="preserve">   </w:t>
      </w:r>
      <w:r>
        <w:rPr>
          <w:rFonts w:hint="eastAsia"/>
        </w:rPr>
        <w:t>特别请看执行国际劳工组织公约和建议的专家委员会的报告。</w:t>
      </w:r>
    </w:p>
    <w:p w:rsidR="00000000" w:rsidRDefault="00000000">
      <w:pPr>
        <w:pStyle w:val="EndnoteText"/>
        <w:rPr>
          <w:rFonts w:hint="eastAsia"/>
        </w:rPr>
      </w:pPr>
      <w:r>
        <w:rPr>
          <w:rFonts w:hint="eastAsia"/>
          <w:vertAlign w:val="superscript"/>
        </w:rPr>
        <w:t>5</w:t>
      </w:r>
      <w:r>
        <w:rPr>
          <w:rFonts w:hint="eastAsia"/>
        </w:rPr>
        <w:t xml:space="preserve">   </w:t>
      </w:r>
      <w:r>
        <w:rPr>
          <w:rFonts w:hint="eastAsia"/>
        </w:rPr>
        <w:t>见阿拉伯利比亚民众国有关《消除一切形式歧视妇女公约》第</w:t>
      </w:r>
      <w:r>
        <w:rPr>
          <w:rFonts w:hint="eastAsia"/>
        </w:rPr>
        <w:t>11</w:t>
      </w:r>
      <w:r>
        <w:rPr>
          <w:rFonts w:hint="eastAsia"/>
        </w:rPr>
        <w:t>条的报告。</w:t>
      </w:r>
    </w:p>
    <w:p w:rsidR="00000000" w:rsidRDefault="00000000">
      <w:pPr>
        <w:pStyle w:val="EndnoteText"/>
        <w:rPr>
          <w:rFonts w:hint="eastAsia"/>
        </w:rPr>
      </w:pPr>
      <w:r>
        <w:rPr>
          <w:rFonts w:hint="eastAsia"/>
          <w:vertAlign w:val="superscript"/>
        </w:rPr>
        <w:t>6</w:t>
      </w:r>
      <w:r>
        <w:rPr>
          <w:rFonts w:hint="eastAsia"/>
        </w:rPr>
        <w:t xml:space="preserve">   </w:t>
      </w:r>
      <w:r>
        <w:rPr>
          <w:rFonts w:hint="eastAsia"/>
        </w:rPr>
        <w:t>关于进一步的信息，请看阿拉伯利比亚民众国于</w:t>
      </w:r>
      <w:r>
        <w:rPr>
          <w:rFonts w:hint="eastAsia"/>
        </w:rPr>
        <w:t>2000</w:t>
      </w:r>
      <w:r>
        <w:rPr>
          <w:rFonts w:hint="eastAsia"/>
        </w:rPr>
        <w:t>年</w:t>
      </w:r>
      <w:r>
        <w:rPr>
          <w:rFonts w:hint="eastAsia"/>
        </w:rPr>
        <w:t>5</w:t>
      </w:r>
      <w:r>
        <w:rPr>
          <w:rFonts w:hint="eastAsia"/>
        </w:rPr>
        <w:t>月</w:t>
      </w:r>
      <w:r>
        <w:rPr>
          <w:rFonts w:hint="eastAsia"/>
        </w:rPr>
        <w:t>27</w:t>
      </w:r>
      <w:r>
        <w:rPr>
          <w:rFonts w:hint="eastAsia"/>
        </w:rPr>
        <w:t>日向劳工组织专家委员会提交的答复。</w:t>
      </w:r>
    </w:p>
    <w:p w:rsidR="00000000" w:rsidRDefault="00000000">
      <w:pPr>
        <w:pStyle w:val="EndnoteText"/>
        <w:rPr>
          <w:rFonts w:hint="eastAsia"/>
        </w:rPr>
      </w:pPr>
      <w:r>
        <w:rPr>
          <w:rFonts w:hint="eastAsia"/>
          <w:vertAlign w:val="superscript"/>
        </w:rPr>
        <w:t>7</w:t>
      </w:r>
      <w:r>
        <w:rPr>
          <w:rFonts w:hint="eastAsia"/>
        </w:rPr>
        <w:t xml:space="preserve">   </w:t>
      </w:r>
      <w:r>
        <w:rPr>
          <w:rFonts w:hint="eastAsia"/>
        </w:rPr>
        <w:t>关于进一步的信息，请看阿拉伯利比亚民众国于</w:t>
      </w:r>
      <w:r>
        <w:rPr>
          <w:rFonts w:hint="eastAsia"/>
        </w:rPr>
        <w:t>2000</w:t>
      </w:r>
      <w:r>
        <w:rPr>
          <w:rFonts w:hint="eastAsia"/>
        </w:rPr>
        <w:t>年就劳工组织专家委员会的意见向技术委员会提交的答复。</w:t>
      </w:r>
    </w:p>
    <w:p w:rsidR="00000000" w:rsidRDefault="00000000">
      <w:pPr>
        <w:pStyle w:val="EndnoteText"/>
        <w:rPr>
          <w:rFonts w:hint="eastAsia"/>
        </w:rPr>
      </w:pPr>
      <w:r>
        <w:rPr>
          <w:rFonts w:hint="eastAsia"/>
          <w:vertAlign w:val="superscript"/>
        </w:rPr>
        <w:t>8</w:t>
      </w:r>
      <w:r>
        <w:rPr>
          <w:rFonts w:hint="eastAsia"/>
        </w:rPr>
        <w:t xml:space="preserve">   </w:t>
      </w:r>
      <w:r>
        <w:rPr>
          <w:rFonts w:hint="eastAsia"/>
        </w:rPr>
        <w:t>联合国开发计划署，《</w:t>
      </w:r>
      <w:r>
        <w:rPr>
          <w:rFonts w:hint="eastAsia"/>
        </w:rPr>
        <w:t>2000</w:t>
      </w:r>
      <w:r>
        <w:rPr>
          <w:rFonts w:hint="eastAsia"/>
        </w:rPr>
        <w:t>年人类发展报告》，第</w:t>
      </w:r>
      <w:r>
        <w:rPr>
          <w:rFonts w:hint="eastAsia"/>
        </w:rPr>
        <w:t>169</w:t>
      </w:r>
      <w:r>
        <w:rPr>
          <w:rFonts w:hint="eastAsia"/>
        </w:rPr>
        <w:t>页，表</w:t>
      </w:r>
      <w:r>
        <w:rPr>
          <w:rFonts w:hint="eastAsia"/>
        </w:rPr>
        <w:t>4 (</w:t>
      </w:r>
      <w:r>
        <w:rPr>
          <w:rFonts w:hint="eastAsia"/>
        </w:rPr>
        <w:t>人类的贫困</w:t>
      </w:r>
      <w:r>
        <w:rPr>
          <w:rFonts w:hint="eastAsia"/>
        </w:rPr>
        <w:t>)</w:t>
      </w:r>
      <w:r>
        <w:rPr>
          <w:rFonts w:hint="eastAsia"/>
        </w:rPr>
        <w:t>。</w:t>
      </w:r>
    </w:p>
    <w:p w:rsidR="00000000" w:rsidRDefault="00000000">
      <w:pPr>
        <w:pStyle w:val="EndnoteText"/>
        <w:rPr>
          <w:rFonts w:hint="eastAsia"/>
        </w:rPr>
      </w:pPr>
      <w:r>
        <w:rPr>
          <w:rFonts w:hint="eastAsia"/>
          <w:vertAlign w:val="superscript"/>
        </w:rPr>
        <w:t>9</w:t>
      </w:r>
      <w:r>
        <w:rPr>
          <w:rFonts w:hint="eastAsia"/>
        </w:rPr>
        <w:t xml:space="preserve">   </w:t>
      </w:r>
      <w:r>
        <w:rPr>
          <w:rFonts w:hint="eastAsia"/>
        </w:rPr>
        <w:t>国家文献和信息处，《</w:t>
      </w:r>
      <w:r>
        <w:rPr>
          <w:rFonts w:hint="eastAsia"/>
        </w:rPr>
        <w:t>2002</w:t>
      </w:r>
      <w:r>
        <w:rPr>
          <w:rFonts w:hint="eastAsia"/>
        </w:rPr>
        <w:t>年统计年鉴》。</w:t>
      </w:r>
    </w:p>
    <w:p w:rsidR="00000000" w:rsidRDefault="00000000">
      <w:pPr>
        <w:pStyle w:val="EndnoteText"/>
        <w:rPr>
          <w:rFonts w:hint="eastAsia"/>
        </w:rPr>
      </w:pPr>
      <w:r>
        <w:rPr>
          <w:rFonts w:hint="eastAsia"/>
          <w:vertAlign w:val="superscript"/>
        </w:rPr>
        <w:t>10</w:t>
      </w:r>
      <w:r>
        <w:rPr>
          <w:rFonts w:hint="eastAsia"/>
        </w:rPr>
        <w:t xml:space="preserve">  </w:t>
      </w:r>
      <w:r>
        <w:rPr>
          <w:rFonts w:hint="eastAsia"/>
        </w:rPr>
        <w:t>联合国开发计划署，《</w:t>
      </w:r>
      <w:r>
        <w:rPr>
          <w:rFonts w:hint="eastAsia"/>
        </w:rPr>
        <w:t>2000</w:t>
      </w:r>
      <w:r>
        <w:rPr>
          <w:rFonts w:hint="eastAsia"/>
        </w:rPr>
        <w:t>年人类发展报告》，第</w:t>
      </w:r>
      <w:r>
        <w:rPr>
          <w:rFonts w:hint="eastAsia"/>
        </w:rPr>
        <w:t>158</w:t>
      </w:r>
      <w:r>
        <w:rPr>
          <w:rFonts w:hint="eastAsia"/>
        </w:rPr>
        <w:t>页，表</w:t>
      </w:r>
      <w:r>
        <w:rPr>
          <w:rFonts w:hint="eastAsia"/>
        </w:rPr>
        <w:t>1</w:t>
      </w:r>
      <w:r>
        <w:rPr>
          <w:rFonts w:hint="eastAsia"/>
        </w:rPr>
        <w:t>：人类贫困指数。</w:t>
      </w:r>
    </w:p>
    <w:p w:rsidR="00000000" w:rsidRDefault="00000000">
      <w:pPr>
        <w:pStyle w:val="EndnoteText"/>
        <w:rPr>
          <w:rFonts w:hint="eastAsia"/>
        </w:rPr>
      </w:pPr>
      <w:r>
        <w:rPr>
          <w:rFonts w:hint="eastAsia"/>
          <w:vertAlign w:val="superscript"/>
        </w:rPr>
        <w:t>11</w:t>
      </w:r>
      <w:r>
        <w:rPr>
          <w:rFonts w:hint="eastAsia"/>
        </w:rPr>
        <w:t xml:space="preserve">  </w:t>
      </w:r>
      <w:r>
        <w:rPr>
          <w:rFonts w:hint="eastAsia"/>
        </w:rPr>
        <w:t>全国人民卫生和医疗保险委员会，《健康和社会服务》，</w:t>
      </w:r>
      <w:r>
        <w:rPr>
          <w:rFonts w:hint="eastAsia"/>
        </w:rPr>
        <w:t>1969</w:t>
      </w:r>
      <w:r>
        <w:rPr>
          <w:rFonts w:hint="eastAsia"/>
        </w:rPr>
        <w:t>年至</w:t>
      </w:r>
      <w:r>
        <w:rPr>
          <w:rFonts w:hint="eastAsia"/>
        </w:rPr>
        <w:t>1999</w:t>
      </w:r>
      <w:r>
        <w:rPr>
          <w:rFonts w:hint="eastAsia"/>
        </w:rPr>
        <w:t>年，第</w:t>
      </w:r>
      <w:r>
        <w:rPr>
          <w:rFonts w:hint="eastAsia"/>
        </w:rPr>
        <w:t>65</w:t>
      </w:r>
      <w:r>
        <w:rPr>
          <w:rFonts w:hint="eastAsia"/>
        </w:rPr>
        <w:t>页。</w:t>
      </w:r>
    </w:p>
    <w:p w:rsidR="00000000" w:rsidRDefault="00000000">
      <w:pPr>
        <w:pStyle w:val="Heading3"/>
        <w:rPr>
          <w:rFonts w:hint="eastAsia"/>
        </w:rPr>
      </w:pPr>
      <w:r>
        <w:br w:type="page"/>
      </w:r>
      <w:r>
        <w:rPr>
          <w:rFonts w:hint="eastAsia"/>
        </w:rPr>
        <w:t>在编写本报告时所使用的资料来源</w:t>
      </w:r>
    </w:p>
    <w:p w:rsidR="00000000" w:rsidRDefault="00000000">
      <w:pPr>
        <w:rPr>
          <w:rFonts w:hint="eastAsia"/>
        </w:rPr>
      </w:pPr>
      <w:r>
        <w:rPr>
          <w:rFonts w:hint="eastAsia"/>
        </w:rPr>
        <w:tab/>
        <w:t xml:space="preserve">1.  </w:t>
      </w:r>
      <w:r>
        <w:rPr>
          <w:rFonts w:hint="eastAsia"/>
        </w:rPr>
        <w:t>国家文献和信息处，《</w:t>
      </w:r>
      <w:r>
        <w:rPr>
          <w:rFonts w:hint="eastAsia"/>
        </w:rPr>
        <w:t>1999</w:t>
      </w:r>
      <w:r>
        <w:rPr>
          <w:rFonts w:hint="eastAsia"/>
        </w:rPr>
        <w:t>年人类发展报告》。</w:t>
      </w:r>
    </w:p>
    <w:p w:rsidR="00000000" w:rsidRDefault="00000000">
      <w:pPr>
        <w:rPr>
          <w:rFonts w:hint="eastAsia"/>
        </w:rPr>
      </w:pPr>
      <w:r>
        <w:rPr>
          <w:rFonts w:hint="eastAsia"/>
        </w:rPr>
        <w:tab/>
        <w:t xml:space="preserve">2.  </w:t>
      </w:r>
      <w:r>
        <w:rPr>
          <w:rFonts w:hint="eastAsia"/>
        </w:rPr>
        <w:t>国家文献和信息处，《</w:t>
      </w:r>
      <w:r>
        <w:rPr>
          <w:rFonts w:hint="eastAsia"/>
        </w:rPr>
        <w:t>2002</w:t>
      </w:r>
      <w:r>
        <w:rPr>
          <w:rFonts w:hint="eastAsia"/>
        </w:rPr>
        <w:t>年统计年鉴》。</w:t>
      </w:r>
    </w:p>
    <w:p w:rsidR="00000000" w:rsidRDefault="00000000">
      <w:pPr>
        <w:rPr>
          <w:rFonts w:hint="eastAsia"/>
        </w:rPr>
      </w:pPr>
      <w:r>
        <w:rPr>
          <w:rFonts w:hint="eastAsia"/>
        </w:rPr>
        <w:tab/>
        <w:t xml:space="preserve">3.  </w:t>
      </w:r>
      <w:r>
        <w:rPr>
          <w:rFonts w:hint="eastAsia"/>
        </w:rPr>
        <w:t>全国人民教育和职业培训委员会，《大利比亚民众国到</w:t>
      </w:r>
      <w:r>
        <w:rPr>
          <w:rFonts w:hint="eastAsia"/>
        </w:rPr>
        <w:t>2000</w:t>
      </w:r>
      <w:r>
        <w:rPr>
          <w:rFonts w:hint="eastAsia"/>
        </w:rPr>
        <w:t>年为止的国家普及教育报告》。</w:t>
      </w:r>
    </w:p>
    <w:p w:rsidR="00000000" w:rsidRDefault="00000000">
      <w:pPr>
        <w:rPr>
          <w:rFonts w:hint="eastAsia"/>
        </w:rPr>
      </w:pPr>
      <w:r>
        <w:rPr>
          <w:rFonts w:hint="eastAsia"/>
        </w:rPr>
        <w:tab/>
        <w:t xml:space="preserve">4.  </w:t>
      </w:r>
      <w:r>
        <w:rPr>
          <w:rFonts w:hint="eastAsia"/>
        </w:rPr>
        <w:t>全国人民教育和职业培训委员会，《</w:t>
      </w:r>
      <w:r>
        <w:rPr>
          <w:rFonts w:hint="eastAsia"/>
        </w:rPr>
        <w:t>1969</w:t>
      </w:r>
      <w:r>
        <w:rPr>
          <w:rFonts w:hint="eastAsia"/>
        </w:rPr>
        <w:t>年至</w:t>
      </w:r>
      <w:r>
        <w:rPr>
          <w:rFonts w:hint="eastAsia"/>
        </w:rPr>
        <w:t>1999</w:t>
      </w:r>
      <w:r>
        <w:rPr>
          <w:rFonts w:hint="eastAsia"/>
        </w:rPr>
        <w:t>年利比亚民众国的教育和培训趋势》。</w:t>
      </w:r>
    </w:p>
    <w:p w:rsidR="00000000" w:rsidRDefault="00000000">
      <w:pPr>
        <w:rPr>
          <w:rFonts w:hint="eastAsia"/>
        </w:rPr>
      </w:pPr>
      <w:r>
        <w:rPr>
          <w:rFonts w:hint="eastAsia"/>
        </w:rPr>
        <w:tab/>
        <w:t xml:space="preserve">5.  </w:t>
      </w:r>
      <w:r>
        <w:rPr>
          <w:rFonts w:hint="eastAsia"/>
        </w:rPr>
        <w:t>全国人民健康和社会保障委员会，《健康和社会服务</w:t>
      </w:r>
      <w:r>
        <w:rPr>
          <w:rFonts w:hint="eastAsia"/>
        </w:rPr>
        <w:t>30</w:t>
      </w:r>
      <w:r>
        <w:rPr>
          <w:rFonts w:hint="eastAsia"/>
        </w:rPr>
        <w:t>年，</w:t>
      </w:r>
      <w:r>
        <w:rPr>
          <w:rFonts w:hint="eastAsia"/>
        </w:rPr>
        <w:t>1969</w:t>
      </w:r>
      <w:r>
        <w:rPr>
          <w:rFonts w:hint="eastAsia"/>
        </w:rPr>
        <w:t>年至</w:t>
      </w:r>
      <w:r>
        <w:rPr>
          <w:rFonts w:hint="eastAsia"/>
        </w:rPr>
        <w:t>1999</w:t>
      </w:r>
      <w:r>
        <w:rPr>
          <w:rFonts w:hint="eastAsia"/>
        </w:rPr>
        <w:t>年》。</w:t>
      </w:r>
    </w:p>
    <w:p w:rsidR="00000000" w:rsidRDefault="00000000">
      <w:pPr>
        <w:rPr>
          <w:rFonts w:hint="eastAsia"/>
        </w:rPr>
      </w:pPr>
      <w:r>
        <w:rPr>
          <w:rFonts w:hint="eastAsia"/>
        </w:rPr>
        <w:tab/>
        <w:t xml:space="preserve">6.  </w:t>
      </w:r>
      <w:r>
        <w:rPr>
          <w:rFonts w:hint="eastAsia"/>
        </w:rPr>
        <w:t>儿童事务高级委员会和儿童基金会，有关《儿童权利公约》和利比亚立法比较研究的摘录。</w:t>
      </w:r>
    </w:p>
    <w:p w:rsidR="00000000" w:rsidRDefault="00000000">
      <w:pPr>
        <w:rPr>
          <w:rFonts w:hint="eastAsia"/>
        </w:rPr>
      </w:pPr>
      <w:r>
        <w:rPr>
          <w:rFonts w:hint="eastAsia"/>
        </w:rPr>
        <w:tab/>
        <w:t xml:space="preserve">7.  </w:t>
      </w:r>
      <w:r>
        <w:rPr>
          <w:rFonts w:hint="eastAsia"/>
        </w:rPr>
        <w:t>国家教育、科学和文化委员会，《大利比亚民众国的教育趋势》，提交于</w:t>
      </w:r>
      <w:r>
        <w:rPr>
          <w:rFonts w:hint="eastAsia"/>
        </w:rPr>
        <w:t>2001</w:t>
      </w:r>
      <w:r>
        <w:rPr>
          <w:rFonts w:hint="eastAsia"/>
        </w:rPr>
        <w:t>年在日内瓦举行的国际教育会议的国家报告。</w:t>
      </w:r>
    </w:p>
    <w:p w:rsidR="00000000" w:rsidRDefault="00000000">
      <w:pPr>
        <w:pStyle w:val="Heading3"/>
      </w:pPr>
      <w:r>
        <w:br w:type="page"/>
      </w:r>
      <w:r>
        <w:rPr>
          <w:rFonts w:hint="eastAsia"/>
        </w:rPr>
        <w:t>筹备委员会的成员</w:t>
      </w:r>
    </w:p>
    <w:tbl>
      <w:tblPr>
        <w:tblW w:w="0" w:type="auto"/>
        <w:tblCellMar>
          <w:left w:w="28" w:type="dxa"/>
          <w:right w:w="28" w:type="dxa"/>
        </w:tblCellMar>
        <w:tblLook w:val="0000" w:firstRow="0" w:lastRow="0" w:firstColumn="0" w:lastColumn="0" w:noHBand="0" w:noVBand="0"/>
      </w:tblPr>
      <w:tblGrid>
        <w:gridCol w:w="4448"/>
        <w:gridCol w:w="4962"/>
      </w:tblGrid>
      <w:tr w:rsidR="00000000">
        <w:tblPrEx>
          <w:tblCellMar>
            <w:top w:w="0" w:type="dxa"/>
            <w:bottom w:w="0" w:type="dxa"/>
          </w:tblCellMar>
        </w:tblPrEx>
        <w:tc>
          <w:tcPr>
            <w:tcW w:w="4448" w:type="dxa"/>
          </w:tcPr>
          <w:p w:rsidR="00000000" w:rsidRDefault="00000000">
            <w:pPr>
              <w:spacing w:after="80"/>
            </w:pPr>
            <w:r>
              <w:t xml:space="preserve">1. </w:t>
            </w:r>
            <w:r>
              <w:rPr>
                <w:rFonts w:hint="eastAsia"/>
              </w:rPr>
              <w:t xml:space="preserve"> </w:t>
            </w:r>
            <w:r>
              <w:t>Juma`a Ibrahim Al-Farjani</w:t>
            </w:r>
          </w:p>
        </w:tc>
        <w:tc>
          <w:tcPr>
            <w:tcW w:w="4962" w:type="dxa"/>
          </w:tcPr>
          <w:p w:rsidR="00000000" w:rsidRDefault="00000000">
            <w:pPr>
              <w:spacing w:after="80"/>
              <w:rPr>
                <w:rFonts w:hint="eastAsia"/>
              </w:rPr>
            </w:pPr>
            <w:r>
              <w:rPr>
                <w:rFonts w:hint="eastAsia"/>
              </w:rPr>
              <w:t>全国人民对外联络和国际合作委员会，国际组织司司长</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2.  </w:t>
            </w:r>
            <w:r>
              <w:t>Abdul Salam Al-Duwibi</w:t>
            </w:r>
          </w:p>
        </w:tc>
        <w:tc>
          <w:tcPr>
            <w:tcW w:w="4962" w:type="dxa"/>
          </w:tcPr>
          <w:p w:rsidR="00000000" w:rsidRDefault="00000000">
            <w:pPr>
              <w:spacing w:after="80"/>
              <w:rPr>
                <w:rFonts w:hint="eastAsia"/>
              </w:rPr>
            </w:pPr>
            <w:r>
              <w:rPr>
                <w:rFonts w:hint="eastAsia"/>
              </w:rPr>
              <w:t>儿童事务高级委员会</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3.  </w:t>
            </w:r>
            <w:r>
              <w:t>Faiza Younis Al-Basha</w:t>
            </w:r>
          </w:p>
        </w:tc>
        <w:tc>
          <w:tcPr>
            <w:tcW w:w="4962" w:type="dxa"/>
          </w:tcPr>
          <w:p w:rsidR="00000000" w:rsidRDefault="00000000">
            <w:pPr>
              <w:spacing w:after="80"/>
              <w:rPr>
                <w:rFonts w:hint="eastAsia"/>
              </w:rPr>
            </w:pPr>
            <w:r>
              <w:rPr>
                <w:rFonts w:hint="eastAsia"/>
              </w:rPr>
              <w:t>全国人民代表大会社会事务秘书处的代表</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4. </w:t>
            </w:r>
            <w:r>
              <w:t xml:space="preserve"> Khalid Mohammed Al-Jamal</w:t>
            </w:r>
          </w:p>
        </w:tc>
        <w:tc>
          <w:tcPr>
            <w:tcW w:w="4962" w:type="dxa"/>
          </w:tcPr>
          <w:p w:rsidR="00000000" w:rsidRDefault="00000000">
            <w:pPr>
              <w:spacing w:after="80"/>
              <w:rPr>
                <w:rFonts w:hint="eastAsia"/>
              </w:rPr>
            </w:pPr>
            <w:r>
              <w:rPr>
                <w:rFonts w:hint="eastAsia"/>
              </w:rPr>
              <w:t>全国人民服务委员会</w:t>
            </w:r>
          </w:p>
        </w:tc>
      </w:tr>
      <w:tr w:rsidR="00000000">
        <w:tblPrEx>
          <w:tblCellMar>
            <w:top w:w="0" w:type="dxa"/>
            <w:bottom w:w="0" w:type="dxa"/>
          </w:tblCellMar>
        </w:tblPrEx>
        <w:tc>
          <w:tcPr>
            <w:tcW w:w="4448" w:type="dxa"/>
          </w:tcPr>
          <w:p w:rsidR="00000000" w:rsidRDefault="00000000">
            <w:pPr>
              <w:spacing w:after="80"/>
            </w:pPr>
            <w:r>
              <w:rPr>
                <w:rFonts w:hint="eastAsia"/>
              </w:rPr>
              <w:t xml:space="preserve">5. </w:t>
            </w:r>
            <w:r>
              <w:t xml:space="preserve"> Abdul Rahman Barshan</w:t>
            </w:r>
          </w:p>
        </w:tc>
        <w:tc>
          <w:tcPr>
            <w:tcW w:w="4962" w:type="dxa"/>
          </w:tcPr>
          <w:p w:rsidR="00000000" w:rsidRDefault="00000000">
            <w:pPr>
              <w:spacing w:after="80"/>
              <w:rPr>
                <w:rFonts w:hint="eastAsia"/>
              </w:rPr>
            </w:pPr>
            <w:r>
              <w:rPr>
                <w:rFonts w:hint="eastAsia"/>
              </w:rPr>
              <w:t>全国人民司法和公共安全委员会</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6.  </w:t>
            </w:r>
            <w:r>
              <w:t>Bahlul Al-Shatiwi</w:t>
            </w:r>
          </w:p>
        </w:tc>
        <w:tc>
          <w:tcPr>
            <w:tcW w:w="4962" w:type="dxa"/>
          </w:tcPr>
          <w:p w:rsidR="00000000" w:rsidRDefault="00000000">
            <w:pPr>
              <w:spacing w:after="80"/>
            </w:pPr>
            <w:r>
              <w:rPr>
                <w:rFonts w:hint="eastAsia"/>
              </w:rPr>
              <w:t>全国人民经济和贸易委员会</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7.  </w:t>
            </w:r>
            <w:r>
              <w:t>Hasaniya Milud Markous</w:t>
            </w:r>
          </w:p>
        </w:tc>
        <w:tc>
          <w:tcPr>
            <w:tcW w:w="4962" w:type="dxa"/>
          </w:tcPr>
          <w:p w:rsidR="00000000" w:rsidRDefault="00000000">
            <w:pPr>
              <w:spacing w:after="80"/>
            </w:pPr>
            <w:r>
              <w:rPr>
                <w:rFonts w:hint="eastAsia"/>
              </w:rPr>
              <w:t>全国人民对外联络和国际合作委员会，</w:t>
            </w:r>
            <w:r>
              <w:br/>
            </w:r>
            <w:r>
              <w:rPr>
                <w:rFonts w:hint="eastAsia"/>
              </w:rPr>
              <w:t>国际组织司</w:t>
            </w:r>
          </w:p>
        </w:tc>
      </w:tr>
      <w:tr w:rsidR="00000000">
        <w:tblPrEx>
          <w:tblCellMar>
            <w:top w:w="0" w:type="dxa"/>
            <w:bottom w:w="0" w:type="dxa"/>
          </w:tblCellMar>
        </w:tblPrEx>
        <w:tc>
          <w:tcPr>
            <w:tcW w:w="4448" w:type="dxa"/>
          </w:tcPr>
          <w:p w:rsidR="00000000" w:rsidRDefault="00000000">
            <w:pPr>
              <w:spacing w:after="80"/>
              <w:rPr>
                <w:rFonts w:hint="eastAsia"/>
              </w:rPr>
            </w:pPr>
            <w:r>
              <w:rPr>
                <w:rFonts w:hint="eastAsia"/>
              </w:rPr>
              <w:t xml:space="preserve">8.  </w:t>
            </w:r>
            <w:r>
              <w:t>Mohammed Mu`ammar Al-Shridi</w:t>
            </w:r>
          </w:p>
        </w:tc>
        <w:tc>
          <w:tcPr>
            <w:tcW w:w="4962" w:type="dxa"/>
          </w:tcPr>
          <w:p w:rsidR="00000000" w:rsidRDefault="00000000">
            <w:pPr>
              <w:spacing w:after="320"/>
            </w:pPr>
            <w:r>
              <w:rPr>
                <w:rFonts w:hint="eastAsia"/>
              </w:rPr>
              <w:t>全国人民对外联络和国际合作委员会，</w:t>
            </w:r>
            <w:r>
              <w:br/>
            </w:r>
            <w:r>
              <w:rPr>
                <w:rFonts w:hint="eastAsia"/>
              </w:rPr>
              <w:t>条约和法律事务司</w:t>
            </w:r>
          </w:p>
        </w:tc>
      </w:tr>
      <w:tr w:rsidR="00000000">
        <w:tblPrEx>
          <w:tblCellMar>
            <w:top w:w="0" w:type="dxa"/>
            <w:bottom w:w="0" w:type="dxa"/>
          </w:tblCellMar>
        </w:tblPrEx>
        <w:tc>
          <w:tcPr>
            <w:tcW w:w="4448" w:type="dxa"/>
          </w:tcPr>
          <w:p w:rsidR="00000000" w:rsidRDefault="00000000">
            <w:pPr>
              <w:pStyle w:val="Heading4"/>
              <w:rPr>
                <w:rFonts w:hint="eastAsia"/>
              </w:rPr>
            </w:pPr>
            <w:r>
              <w:rPr>
                <w:rFonts w:hint="eastAsia"/>
              </w:rPr>
              <w:t>起草委员会的成员如下</w:t>
            </w:r>
            <w:r>
              <w:rPr>
                <w:rFonts w:hint="eastAsia"/>
                <w:u w:val="none"/>
              </w:rPr>
              <w:t>：</w:t>
            </w:r>
          </w:p>
        </w:tc>
        <w:tc>
          <w:tcPr>
            <w:tcW w:w="4962" w:type="dxa"/>
          </w:tcPr>
          <w:p w:rsidR="00000000" w:rsidRDefault="00000000">
            <w:pPr>
              <w:pStyle w:val="Heading3"/>
              <w:spacing w:after="80"/>
              <w:rPr>
                <w:rFonts w:hint="eastAsia"/>
              </w:rPr>
            </w:pPr>
          </w:p>
        </w:tc>
      </w:tr>
      <w:tr w:rsidR="00000000">
        <w:tblPrEx>
          <w:tblCellMar>
            <w:top w:w="0" w:type="dxa"/>
            <w:bottom w:w="0" w:type="dxa"/>
          </w:tblCellMar>
        </w:tblPrEx>
        <w:tc>
          <w:tcPr>
            <w:tcW w:w="4448" w:type="dxa"/>
          </w:tcPr>
          <w:p w:rsidR="00000000" w:rsidRDefault="00000000">
            <w:pPr>
              <w:pStyle w:val="Heading3"/>
              <w:spacing w:after="80"/>
              <w:jc w:val="both"/>
              <w:rPr>
                <w:rFonts w:hint="eastAsia"/>
                <w:u w:val="none"/>
              </w:rPr>
            </w:pPr>
            <w:r>
              <w:rPr>
                <w:u w:val="none"/>
              </w:rPr>
              <w:t>1.</w:t>
            </w:r>
            <w:r>
              <w:rPr>
                <w:rFonts w:hint="eastAsia"/>
                <w:u w:val="none"/>
              </w:rPr>
              <w:t xml:space="preserve">  </w:t>
            </w:r>
            <w:r>
              <w:rPr>
                <w:u w:val="none"/>
              </w:rPr>
              <w:t>Faiza Younis Al-Basha</w:t>
            </w:r>
          </w:p>
        </w:tc>
        <w:tc>
          <w:tcPr>
            <w:tcW w:w="4962" w:type="dxa"/>
          </w:tcPr>
          <w:p w:rsidR="00000000" w:rsidRDefault="00000000">
            <w:pPr>
              <w:spacing w:after="80"/>
              <w:rPr>
                <w:rFonts w:hint="eastAsia"/>
              </w:rPr>
            </w:pPr>
            <w:r>
              <w:rPr>
                <w:rFonts w:hint="eastAsia"/>
              </w:rPr>
              <w:t>全国人民代表大会社会事务秘书处的代表</w:t>
            </w:r>
            <w:r>
              <w:rPr>
                <w:rFonts w:hint="eastAsia"/>
              </w:rPr>
              <w:t>(</w:t>
            </w:r>
            <w:r>
              <w:rPr>
                <w:rFonts w:hint="eastAsia"/>
              </w:rPr>
              <w:t>主席</w:t>
            </w:r>
            <w:r>
              <w:rPr>
                <w:rFonts w:hint="eastAsia"/>
              </w:rPr>
              <w:t>)</w:t>
            </w:r>
          </w:p>
        </w:tc>
      </w:tr>
      <w:tr w:rsidR="00000000">
        <w:tblPrEx>
          <w:tblCellMar>
            <w:top w:w="0" w:type="dxa"/>
            <w:bottom w:w="0" w:type="dxa"/>
          </w:tblCellMar>
        </w:tblPrEx>
        <w:tc>
          <w:tcPr>
            <w:tcW w:w="4448" w:type="dxa"/>
          </w:tcPr>
          <w:p w:rsidR="00000000" w:rsidRDefault="00000000">
            <w:pPr>
              <w:spacing w:after="80"/>
              <w:rPr>
                <w:rFonts w:hint="eastAsia"/>
              </w:rPr>
            </w:pPr>
            <w:r>
              <w:t>2.</w:t>
            </w:r>
            <w:r>
              <w:rPr>
                <w:rFonts w:hint="eastAsia"/>
              </w:rPr>
              <w:t xml:space="preserve">  </w:t>
            </w:r>
            <w:r>
              <w:t>Abdul Rahman Barshan</w:t>
            </w:r>
          </w:p>
        </w:tc>
        <w:tc>
          <w:tcPr>
            <w:tcW w:w="4962" w:type="dxa"/>
          </w:tcPr>
          <w:p w:rsidR="00000000" w:rsidRDefault="00000000">
            <w:pPr>
              <w:spacing w:after="80"/>
              <w:rPr>
                <w:rFonts w:hint="eastAsia"/>
              </w:rPr>
            </w:pPr>
            <w:r>
              <w:rPr>
                <w:rFonts w:hint="eastAsia"/>
              </w:rPr>
              <w:t>全国人民司法和公共安全委员会</w:t>
            </w:r>
            <w:r>
              <w:rPr>
                <w:rFonts w:hint="eastAsia"/>
              </w:rPr>
              <w:t>(</w:t>
            </w:r>
            <w:r>
              <w:rPr>
                <w:rFonts w:hint="eastAsia"/>
              </w:rPr>
              <w:t>成员</w:t>
            </w:r>
            <w:r>
              <w:rPr>
                <w:rFonts w:hint="eastAsia"/>
              </w:rPr>
              <w:t>)</w:t>
            </w:r>
          </w:p>
        </w:tc>
      </w:tr>
      <w:tr w:rsidR="00000000">
        <w:tblPrEx>
          <w:tblCellMar>
            <w:top w:w="0" w:type="dxa"/>
            <w:bottom w:w="0" w:type="dxa"/>
          </w:tblCellMar>
        </w:tblPrEx>
        <w:tc>
          <w:tcPr>
            <w:tcW w:w="4448" w:type="dxa"/>
          </w:tcPr>
          <w:p w:rsidR="00000000" w:rsidRDefault="00000000">
            <w:pPr>
              <w:spacing w:after="80"/>
              <w:rPr>
                <w:rFonts w:hint="eastAsia"/>
              </w:rPr>
            </w:pPr>
            <w:r>
              <w:t>3.</w:t>
            </w:r>
            <w:r>
              <w:rPr>
                <w:rFonts w:hint="eastAsia"/>
              </w:rPr>
              <w:t xml:space="preserve">  </w:t>
            </w:r>
            <w:r>
              <w:t>Hasaniya Milud Markous</w:t>
            </w:r>
          </w:p>
        </w:tc>
        <w:tc>
          <w:tcPr>
            <w:tcW w:w="4962" w:type="dxa"/>
          </w:tcPr>
          <w:p w:rsidR="00000000" w:rsidRDefault="00000000">
            <w:pPr>
              <w:spacing w:after="80"/>
              <w:rPr>
                <w:rFonts w:hint="eastAsia"/>
              </w:rPr>
            </w:pPr>
            <w:r>
              <w:rPr>
                <w:rFonts w:hint="eastAsia"/>
              </w:rPr>
              <w:t>全国人民对外联络和国际合作委员会，国际组织司</w:t>
            </w:r>
            <w:r>
              <w:rPr>
                <w:rFonts w:hint="eastAsia"/>
              </w:rPr>
              <w:t>(</w:t>
            </w:r>
            <w:r>
              <w:rPr>
                <w:rFonts w:hint="eastAsia"/>
              </w:rPr>
              <w:t>成员</w:t>
            </w:r>
            <w:r>
              <w:rPr>
                <w:rFonts w:hint="eastAsia"/>
              </w:rPr>
              <w:t>)</w:t>
            </w:r>
          </w:p>
        </w:tc>
      </w:tr>
      <w:tr w:rsidR="00000000">
        <w:tblPrEx>
          <w:tblCellMar>
            <w:top w:w="0" w:type="dxa"/>
            <w:bottom w:w="0" w:type="dxa"/>
          </w:tblCellMar>
        </w:tblPrEx>
        <w:tc>
          <w:tcPr>
            <w:tcW w:w="4448" w:type="dxa"/>
          </w:tcPr>
          <w:p w:rsidR="00000000" w:rsidRDefault="00000000">
            <w:pPr>
              <w:spacing w:after="80"/>
              <w:rPr>
                <w:rFonts w:hint="eastAsia"/>
              </w:rPr>
            </w:pPr>
            <w:r>
              <w:t>4.</w:t>
            </w:r>
            <w:r>
              <w:rPr>
                <w:rFonts w:hint="eastAsia"/>
              </w:rPr>
              <w:t xml:space="preserve">  </w:t>
            </w:r>
            <w:r>
              <w:t>Mohammed Mu`ammar Al-Shridi</w:t>
            </w:r>
          </w:p>
        </w:tc>
        <w:tc>
          <w:tcPr>
            <w:tcW w:w="4962" w:type="dxa"/>
          </w:tcPr>
          <w:p w:rsidR="00000000" w:rsidRDefault="00000000">
            <w:pPr>
              <w:spacing w:after="80"/>
              <w:rPr>
                <w:rFonts w:hint="eastAsia"/>
              </w:rPr>
            </w:pPr>
            <w:r>
              <w:rPr>
                <w:rFonts w:hint="eastAsia"/>
              </w:rPr>
              <w:t>全国人民对外联络和国际合作委员会，条约和法律事务司</w:t>
            </w:r>
            <w:r>
              <w:rPr>
                <w:rFonts w:hint="eastAsia"/>
              </w:rPr>
              <w:t>(</w:t>
            </w:r>
            <w:r>
              <w:rPr>
                <w:rFonts w:hint="eastAsia"/>
              </w:rPr>
              <w:t>成员</w:t>
            </w:r>
            <w:r>
              <w:rPr>
                <w:rFonts w:hint="eastAsia"/>
              </w:rPr>
              <w:t>)</w:t>
            </w:r>
          </w:p>
        </w:tc>
      </w:tr>
    </w:tbl>
    <w:p w:rsidR="00000000" w:rsidRDefault="00000000">
      <w:pPr>
        <w:pStyle w:val="Heading3"/>
        <w:rPr>
          <w:rFonts w:hint="eastAsia"/>
        </w:rPr>
      </w:pPr>
    </w:p>
    <w:p w:rsidR="00000000" w:rsidRDefault="00000000">
      <w:pPr>
        <w:jc w:val="center"/>
        <w:rPr>
          <w:rFonts w:hint="eastAsia"/>
        </w:rPr>
      </w:pPr>
      <w:r>
        <w:t>--  --  --  --  --</w:t>
      </w: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05-40411 (C)</w:t>
          </w:r>
        </w:p>
      </w:tc>
      <w:tc>
        <w:tcPr>
          <w:tcW w:w="1050" w:type="dxa"/>
        </w:tcPr>
        <w:p w:rsidR="00000000" w:rsidRDefault="00000000">
          <w:pPr>
            <w:pStyle w:val="Footer"/>
          </w:pPr>
          <w:r>
            <w:t>270505</w:t>
          </w:r>
        </w:p>
      </w:tc>
      <w:tc>
        <w:tcPr>
          <w:tcW w:w="6061" w:type="dxa"/>
        </w:tcPr>
        <w:p w:rsidR="00000000" w:rsidRDefault="00000000">
          <w:pPr>
            <w:pStyle w:val="Footer"/>
          </w:pPr>
          <w:r>
            <w:rPr>
              <w:rFonts w:hint="eastAsia"/>
            </w:rPr>
            <w:t>31</w:t>
          </w:r>
          <w:r>
            <w:t>0505</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vertAlign w:val="baseline"/>
        </w:rPr>
        <w:t>*</w:t>
      </w:r>
      <w:r>
        <w:tab/>
      </w:r>
      <w:r>
        <w:rPr>
          <w:rFonts w:hint="eastAsia"/>
        </w:rPr>
        <w:t>阿拉伯利比亚民众国提交的初次报告</w:t>
      </w:r>
      <w:r>
        <w:rPr>
          <w:rFonts w:hint="eastAsia"/>
        </w:rPr>
        <w:t>(E/1990/5/A</w:t>
      </w:r>
      <w:r>
        <w:t>dd.26</w:t>
      </w:r>
      <w:r>
        <w:rPr>
          <w:rFonts w:hint="eastAsia"/>
        </w:rPr>
        <w:t>)</w:t>
      </w:r>
      <w:r>
        <w:rPr>
          <w:rFonts w:hint="eastAsia"/>
        </w:rPr>
        <w:t>于</w:t>
      </w:r>
      <w:r>
        <w:rPr>
          <w:rFonts w:hint="eastAsia"/>
        </w:rPr>
        <w:t>1997</w:t>
      </w:r>
      <w:r>
        <w:rPr>
          <w:rFonts w:hint="eastAsia"/>
        </w:rPr>
        <w:t>年由经济、社会、文化权利委员会第十六届会议作了审议</w:t>
      </w:r>
      <w:r>
        <w:rPr>
          <w:rFonts w:hint="eastAsia"/>
        </w:rPr>
        <w:t>(</w:t>
      </w:r>
      <w:r>
        <w:rPr>
          <w:rFonts w:hint="eastAsia"/>
        </w:rPr>
        <w:t>见</w:t>
      </w:r>
      <w:r>
        <w:rPr>
          <w:rFonts w:hint="eastAsia"/>
        </w:rPr>
        <w:t>E/C.12/1997/SR.20-21</w:t>
      </w:r>
      <w:r>
        <w:rPr>
          <w:rFonts w:hint="eastAsia"/>
        </w:rPr>
        <w:t>；和结论性意见</w:t>
      </w:r>
      <w:r>
        <w:rPr>
          <w:rFonts w:hint="eastAsia"/>
        </w:rPr>
        <w:t>E/C.12/1/A</w:t>
      </w:r>
      <w:r>
        <w:t>dd.15</w:t>
      </w:r>
      <w:r>
        <w:rPr>
          <w:rFonts w:hint="eastAsia"/>
        </w:rPr>
        <w:t>)</w:t>
      </w:r>
      <w:r>
        <w:rPr>
          <w:rFonts w:hint="eastAsia"/>
        </w:rPr>
        <w:t>。</w:t>
      </w:r>
    </w:p>
    <w:p w:rsidR="00000000" w:rsidRDefault="00000000">
      <w:pPr>
        <w:pStyle w:val="FootnoteText"/>
        <w:rPr>
          <w:rFonts w:hint="eastAsia"/>
        </w:rPr>
      </w:pPr>
      <w:r>
        <w:rPr>
          <w:rFonts w:hint="eastAsia"/>
        </w:rPr>
        <w:tab/>
      </w:r>
      <w:r>
        <w:rPr>
          <w:rFonts w:hint="eastAsia"/>
        </w:rPr>
        <w:t>阿拉伯利比亚民众国按照关于缔约国报告初次部分的准则提交的资料载于核心文件</w:t>
      </w:r>
      <w:r>
        <w:rPr>
          <w:rFonts w:hint="eastAsia"/>
        </w:rPr>
        <w:t>(HRI/CORE/1/A</w:t>
      </w:r>
      <w:r>
        <w:t>dd.77</w:t>
      </w:r>
      <w:r>
        <w:rPr>
          <w:rFonts w:hint="eastAsia"/>
        </w:rPr>
        <w:t>)</w:t>
      </w:r>
      <w:r>
        <w:rPr>
          <w:rFonts w:hint="eastAsia"/>
        </w:rPr>
        <w:t>。</w:t>
      </w:r>
    </w:p>
    <w:p w:rsidR="00000000" w:rsidRDefault="00000000">
      <w:pPr>
        <w:pStyle w:val="FootnoteText"/>
        <w:rPr>
          <w:rFonts w:hint="eastAsia"/>
        </w:rPr>
      </w:pPr>
    </w:p>
  </w:footnote>
  <w:footnote w:id="2">
    <w:p w:rsidR="00000000" w:rsidRDefault="00000000">
      <w:pPr>
        <w:pStyle w:val="FootnoteText"/>
        <w:rPr>
          <w:rFonts w:hint="eastAsia"/>
        </w:rPr>
      </w:pPr>
      <w:r>
        <w:rPr>
          <w:rStyle w:val="FootnoteReference"/>
        </w:rPr>
        <w:t>*</w:t>
      </w:r>
      <w:r>
        <w:t xml:space="preserve"> </w:t>
      </w:r>
      <w:r>
        <w:rPr>
          <w:rFonts w:hint="eastAsia"/>
        </w:rPr>
        <w:tab/>
      </w:r>
      <w:r>
        <w:rPr>
          <w:rFonts w:hint="eastAsia"/>
        </w:rPr>
        <w:t>翻译注意：编写以下一节的依据是经过修订的经济、社会和文化权利委员会分发的有关缔约国报告的形式和内容的准则</w:t>
      </w:r>
      <w:r>
        <w:rPr>
          <w:rFonts w:hint="eastAsia"/>
        </w:rPr>
        <w:t>(</w:t>
      </w:r>
      <w:r>
        <w:rPr>
          <w:rFonts w:hint="eastAsia"/>
        </w:rPr>
        <w:t>文件</w:t>
      </w:r>
      <w:r>
        <w:rPr>
          <w:rFonts w:hint="eastAsia"/>
        </w:rPr>
        <w:t>E/C.12/1991/1)</w:t>
      </w:r>
      <w:r>
        <w:rPr>
          <w:rFonts w:hint="eastAsia"/>
        </w:rPr>
        <w:t>。</w:t>
      </w:r>
    </w:p>
  </w:footnote>
  <w:footnote w:id="3">
    <w:p w:rsidR="00000000" w:rsidRDefault="00000000">
      <w:pPr>
        <w:pStyle w:val="FootnoteText"/>
        <w:rPr>
          <w:rFonts w:hint="eastAsia"/>
        </w:rPr>
      </w:pPr>
      <w:r>
        <w:rPr>
          <w:rStyle w:val="FootnoteReference"/>
          <w:b w:val="0"/>
          <w:bCs/>
        </w:rPr>
        <w:t>*</w:t>
      </w:r>
      <w:r>
        <w:t xml:space="preserve"> </w:t>
      </w:r>
      <w:r>
        <w:rPr>
          <w:rFonts w:hint="eastAsia"/>
        </w:rPr>
        <w:t xml:space="preserve"> </w:t>
      </w:r>
      <w:r>
        <w:rPr>
          <w:rFonts w:hint="eastAsia"/>
        </w:rPr>
        <w:t>翻译注</w:t>
      </w:r>
      <w:r>
        <w:rPr>
          <w:rFonts w:hint="eastAsia"/>
        </w:rPr>
        <w:t xml:space="preserve">: </w:t>
      </w:r>
      <w:r>
        <w:rPr>
          <w:rFonts w:hint="eastAsia"/>
        </w:rPr>
        <w:t>本段中所载的信息涉及《公约》第十二条。</w:t>
      </w:r>
    </w:p>
  </w:footnote>
  <w:footnote w:id="4">
    <w:p w:rsidR="00000000" w:rsidRDefault="00000000">
      <w:pPr>
        <w:pStyle w:val="FootnoteText"/>
        <w:rPr>
          <w:rFonts w:hint="eastAsia"/>
        </w:rPr>
      </w:pPr>
      <w:r>
        <w:rPr>
          <w:rStyle w:val="FootnoteReference"/>
          <w:b w:val="0"/>
          <w:bCs/>
        </w:rPr>
        <w:t>*</w:t>
      </w:r>
      <w:r>
        <w:t xml:space="preserve"> </w:t>
      </w:r>
      <w:r>
        <w:rPr>
          <w:rFonts w:hint="eastAsia"/>
        </w:rPr>
        <w:t xml:space="preserve"> </w:t>
      </w:r>
      <w:r>
        <w:rPr>
          <w:rFonts w:hint="eastAsia"/>
        </w:rPr>
        <w:t>见《公约》第十一条。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E/1990/6/Add.38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E/1990/6/Add.38</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E/1990/6/Add.38</w:t>
                </w:r>
              </w:p>
              <w:p w:rsidR="00000000" w:rsidRDefault="00000000">
                <w:pPr>
                  <w:pStyle w:val="Header"/>
                </w:pPr>
                <w:r>
                  <w:t>15 February 2005</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3E504AE"/>
    <w:multiLevelType w:val="hybridMultilevel"/>
    <w:tmpl w:val="62A00ED8"/>
    <w:lvl w:ilvl="0" w:tplc="EF0C281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5">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6">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9">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F950444"/>
    <w:multiLevelType w:val="hybridMultilevel"/>
    <w:tmpl w:val="9C4476FA"/>
    <w:lvl w:ilvl="0" w:tplc="3AD6A128">
      <w:start w:val="1"/>
      <w:numFmt w:val="decimal"/>
      <w:lvlRestart w:val="0"/>
      <w:lvlText w:val="%1"/>
      <w:lvlJc w:val="right"/>
      <w:pPr>
        <w:tabs>
          <w:tab w:val="num" w:pos="2571"/>
        </w:tabs>
        <w:ind w:left="2571" w:hanging="227"/>
      </w:pPr>
      <w:rPr>
        <w:rFonts w:ascii="Times New Roman" w:hAnsi="Times New Roman" w:hint="default"/>
        <w:b w:val="0"/>
        <w:i w:val="0"/>
        <w:sz w:val="24"/>
      </w:rPr>
    </w:lvl>
    <w:lvl w:ilvl="1" w:tplc="99362F9E">
      <w:start w:val="1"/>
      <w:numFmt w:val="decimal"/>
      <w:lvlRestart w:val="0"/>
      <w:lvlText w:val="%2"/>
      <w:lvlJc w:val="right"/>
      <w:pPr>
        <w:tabs>
          <w:tab w:val="num" w:pos="707"/>
        </w:tabs>
        <w:ind w:left="707" w:hanging="227"/>
      </w:pPr>
      <w:rPr>
        <w:rFonts w:ascii="Times New Roman" w:hAnsi="Times New Roman" w:hint="default"/>
        <w:b w:val="0"/>
        <w:i w:val="0"/>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4">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5">
    <w:nsid w:val="16376976"/>
    <w:multiLevelType w:val="hybridMultilevel"/>
    <w:tmpl w:val="AF060C64"/>
    <w:lvl w:ilvl="0" w:tplc="C9729EC4">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D6D674D6">
      <w:start w:val="1"/>
      <w:numFmt w:val="decimal"/>
      <w:lvlText w:val="%2."/>
      <w:lvlJc w:val="left"/>
      <w:pPr>
        <w:tabs>
          <w:tab w:val="num" w:pos="975"/>
        </w:tabs>
        <w:ind w:left="975" w:hanging="49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7">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22">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3">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32E65F4"/>
    <w:multiLevelType w:val="hybridMultilevel"/>
    <w:tmpl w:val="FACA9B80"/>
    <w:lvl w:ilvl="0" w:tplc="C9729EC4">
      <w:start w:val="1"/>
      <w:numFmt w:val="lowerLetter"/>
      <w:lvlRestart w:val="0"/>
      <w:lvlText w:val="(%1)"/>
      <w:lvlJc w:val="right"/>
      <w:pPr>
        <w:tabs>
          <w:tab w:val="num" w:pos="1531"/>
        </w:tabs>
        <w:ind w:left="1531" w:hanging="227"/>
      </w:pPr>
      <w:rPr>
        <w:rFonts w:ascii="Times New Roman" w:hAnsi="Times New Roman" w:hint="default"/>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6">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3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33">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4">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6">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7">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8">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9">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40">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3">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5">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7">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50">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51">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52">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3">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4">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6">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7">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8">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9">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62">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3">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4">
    <w:nsid w:val="62C327A6"/>
    <w:multiLevelType w:val="hybridMultilevel"/>
    <w:tmpl w:val="7E88C142"/>
    <w:lvl w:ilvl="0" w:tplc="3DA426F4">
      <w:start w:val="1"/>
      <w:numFmt w:val="chineseCountingThousand"/>
      <w:lvlRestart w:val="0"/>
      <w:lvlText w:val="(%1)"/>
      <w:lvlJc w:val="right"/>
      <w:pPr>
        <w:tabs>
          <w:tab w:val="num" w:pos="1531"/>
        </w:tabs>
        <w:ind w:left="1531" w:hanging="170"/>
      </w:pPr>
      <w:rPr>
        <w:rFonts w:ascii="Times New Roman" w:eastAsia="SimSun" w:hAnsi="Times New Roman" w:hint="eastAsia"/>
        <w:b w:val="0"/>
        <w:i w:val="0"/>
        <w:sz w:val="20"/>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6">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7">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9">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70">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2">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3">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5">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6">
    <w:nsid w:val="7622354D"/>
    <w:multiLevelType w:val="hybridMultilevel"/>
    <w:tmpl w:val="FFB2069E"/>
    <w:lvl w:ilvl="0" w:tplc="597AFA0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9">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80">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81">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82">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3">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9"/>
  </w:num>
  <w:num w:numId="2">
    <w:abstractNumId w:val="33"/>
  </w:num>
  <w:num w:numId="3">
    <w:abstractNumId w:val="24"/>
  </w:num>
  <w:num w:numId="4">
    <w:abstractNumId w:val="15"/>
  </w:num>
  <w:num w:numId="5">
    <w:abstractNumId w:val="11"/>
  </w:num>
  <w:num w:numId="6">
    <w:abstractNumId w:val="28"/>
  </w:num>
  <w:num w:numId="7">
    <w:abstractNumId w:val="29"/>
  </w:num>
  <w:num w:numId="8">
    <w:abstractNumId w:val="78"/>
  </w:num>
  <w:num w:numId="9">
    <w:abstractNumId w:val="0"/>
  </w:num>
  <w:num w:numId="10">
    <w:abstractNumId w:val="42"/>
  </w:num>
  <w:num w:numId="11">
    <w:abstractNumId w:val="26"/>
  </w:num>
  <w:num w:numId="12">
    <w:abstractNumId w:val="9"/>
  </w:num>
  <w:num w:numId="13">
    <w:abstractNumId w:val="16"/>
  </w:num>
  <w:num w:numId="14">
    <w:abstractNumId w:val="71"/>
  </w:num>
  <w:num w:numId="15">
    <w:abstractNumId w:val="19"/>
  </w:num>
  <w:num w:numId="16">
    <w:abstractNumId w:val="75"/>
  </w:num>
  <w:num w:numId="17">
    <w:abstractNumId w:val="46"/>
  </w:num>
  <w:num w:numId="18">
    <w:abstractNumId w:val="50"/>
  </w:num>
  <w:num w:numId="19">
    <w:abstractNumId w:val="5"/>
  </w:num>
  <w:num w:numId="20">
    <w:abstractNumId w:val="82"/>
  </w:num>
  <w:num w:numId="21">
    <w:abstractNumId w:val="70"/>
  </w:num>
  <w:num w:numId="22">
    <w:abstractNumId w:val="67"/>
  </w:num>
  <w:num w:numId="23">
    <w:abstractNumId w:val="7"/>
  </w:num>
  <w:num w:numId="24">
    <w:abstractNumId w:val="48"/>
  </w:num>
  <w:num w:numId="25">
    <w:abstractNumId w:val="52"/>
  </w:num>
  <w:num w:numId="26">
    <w:abstractNumId w:val="80"/>
  </w:num>
  <w:num w:numId="27">
    <w:abstractNumId w:val="60"/>
  </w:num>
  <w:num w:numId="28">
    <w:abstractNumId w:val="58"/>
  </w:num>
  <w:num w:numId="29">
    <w:abstractNumId w:val="41"/>
  </w:num>
  <w:num w:numId="30">
    <w:abstractNumId w:val="12"/>
  </w:num>
  <w:num w:numId="31">
    <w:abstractNumId w:val="8"/>
  </w:num>
  <w:num w:numId="32">
    <w:abstractNumId w:val="83"/>
  </w:num>
  <w:num w:numId="33">
    <w:abstractNumId w:val="1"/>
  </w:num>
  <w:num w:numId="34">
    <w:abstractNumId w:val="18"/>
  </w:num>
  <w:num w:numId="35">
    <w:abstractNumId w:val="74"/>
  </w:num>
  <w:num w:numId="36">
    <w:abstractNumId w:val="27"/>
  </w:num>
  <w:num w:numId="37">
    <w:abstractNumId w:val="66"/>
  </w:num>
  <w:num w:numId="38">
    <w:abstractNumId w:val="65"/>
  </w:num>
  <w:num w:numId="39">
    <w:abstractNumId w:val="34"/>
  </w:num>
  <w:num w:numId="40">
    <w:abstractNumId w:val="53"/>
  </w:num>
  <w:num w:numId="41">
    <w:abstractNumId w:val="57"/>
  </w:num>
  <w:num w:numId="42">
    <w:abstractNumId w:val="72"/>
  </w:num>
  <w:num w:numId="43">
    <w:abstractNumId w:val="6"/>
  </w:num>
  <w:num w:numId="44">
    <w:abstractNumId w:val="31"/>
  </w:num>
  <w:num w:numId="45">
    <w:abstractNumId w:val="81"/>
  </w:num>
  <w:num w:numId="46">
    <w:abstractNumId w:val="56"/>
  </w:num>
  <w:num w:numId="47">
    <w:abstractNumId w:val="68"/>
  </w:num>
  <w:num w:numId="48">
    <w:abstractNumId w:val="25"/>
  </w:num>
  <w:num w:numId="49">
    <w:abstractNumId w:val="32"/>
  </w:num>
  <w:num w:numId="50">
    <w:abstractNumId w:val="14"/>
  </w:num>
  <w:num w:numId="51">
    <w:abstractNumId w:val="61"/>
  </w:num>
  <w:num w:numId="52">
    <w:abstractNumId w:val="54"/>
  </w:num>
  <w:num w:numId="53">
    <w:abstractNumId w:val="36"/>
  </w:num>
  <w:num w:numId="54">
    <w:abstractNumId w:val="17"/>
  </w:num>
  <w:num w:numId="55">
    <w:abstractNumId w:val="55"/>
  </w:num>
  <w:num w:numId="56">
    <w:abstractNumId w:val="13"/>
  </w:num>
  <w:num w:numId="57">
    <w:abstractNumId w:val="35"/>
  </w:num>
  <w:num w:numId="58">
    <w:abstractNumId w:val="44"/>
  </w:num>
  <w:num w:numId="59">
    <w:abstractNumId w:val="79"/>
  </w:num>
  <w:num w:numId="60">
    <w:abstractNumId w:val="51"/>
  </w:num>
  <w:num w:numId="61">
    <w:abstractNumId w:val="37"/>
  </w:num>
  <w:num w:numId="62">
    <w:abstractNumId w:val="30"/>
  </w:num>
  <w:num w:numId="63">
    <w:abstractNumId w:val="4"/>
  </w:num>
  <w:num w:numId="64">
    <w:abstractNumId w:val="45"/>
  </w:num>
  <w:num w:numId="65">
    <w:abstractNumId w:val="21"/>
  </w:num>
  <w:num w:numId="66">
    <w:abstractNumId w:val="63"/>
  </w:num>
  <w:num w:numId="67">
    <w:abstractNumId w:val="62"/>
  </w:num>
  <w:num w:numId="68">
    <w:abstractNumId w:val="2"/>
  </w:num>
  <w:num w:numId="69">
    <w:abstractNumId w:val="47"/>
  </w:num>
  <w:num w:numId="70">
    <w:abstractNumId w:val="20"/>
  </w:num>
  <w:num w:numId="71">
    <w:abstractNumId w:val="43"/>
  </w:num>
  <w:num w:numId="72">
    <w:abstractNumId w:val="10"/>
  </w:num>
  <w:num w:numId="73">
    <w:abstractNumId w:val="59"/>
  </w:num>
  <w:num w:numId="74">
    <w:abstractNumId w:val="40"/>
  </w:num>
  <w:num w:numId="75">
    <w:abstractNumId w:val="73"/>
  </w:num>
  <w:num w:numId="76">
    <w:abstractNumId w:val="69"/>
  </w:num>
  <w:num w:numId="77">
    <w:abstractNumId w:val="22"/>
  </w:num>
  <w:num w:numId="78">
    <w:abstractNumId w:val="38"/>
  </w:num>
  <w:num w:numId="79">
    <w:abstractNumId w:val="39"/>
  </w:num>
  <w:num w:numId="80">
    <w:abstractNumId w:val="23"/>
  </w:num>
  <w:num w:numId="81">
    <w:abstractNumId w:val="77"/>
  </w:num>
  <w:num w:numId="82">
    <w:abstractNumId w:val="49"/>
  </w:num>
  <w:num w:numId="83">
    <w:abstractNumId w:val="49"/>
  </w:num>
  <w:num w:numId="84">
    <w:abstractNumId w:val="49"/>
  </w:num>
  <w:num w:numId="85">
    <w:abstractNumId w:val="49"/>
  </w:num>
  <w:num w:numId="86">
    <w:abstractNumId w:val="49"/>
  </w:num>
  <w:num w:numId="87">
    <w:abstractNumId w:val="76"/>
  </w:num>
  <w:num w:numId="88">
    <w:abstractNumId w:val="3"/>
  </w:num>
  <w:num w:numId="89">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39</Pages>
  <Words>3957</Words>
  <Characters>22556</Characters>
  <Application>Microsoft Office Word</Application>
  <DocSecurity>4</DocSecurity>
  <Lines>187</Lines>
  <Paragraphs>45</Paragraphs>
  <ScaleCrop>false</ScaleCrop>
  <HeadingPairs>
    <vt:vector size="4" baseType="variant">
      <vt:variant>
        <vt:lpstr>题目</vt:lpstr>
      </vt:variant>
      <vt:variant>
        <vt:i4>1</vt:i4>
      </vt:variant>
      <vt:variant>
        <vt:lpstr>标题</vt:lpstr>
      </vt:variant>
      <vt:variant>
        <vt:i4>35</vt:i4>
      </vt:variant>
    </vt:vector>
  </HeadingPairs>
  <TitlesOfParts>
    <vt:vector size="36" baseType="lpstr">
      <vt:lpstr>2005年实质性会议</vt:lpstr>
      <vt:lpstr>    《经济、社会、文化权利国际公约》的执行情况</vt:lpstr>
      <vt:lpstr>        缔约国根据《公约》第十六条和 第十七条提交的第二次定期报告</vt:lpstr>
      <vt:lpstr>        增  编</vt:lpstr>
      <vt:lpstr>        阿拉伯利比亚民众国*</vt:lpstr>
      <vt:lpstr>    导  言</vt:lpstr>
      <vt:lpstr>    一、一般性信息</vt:lpstr>
      <vt:lpstr>        A.  地理和人口特点</vt:lpstr>
      <vt:lpstr>        B.  政治制度</vt:lpstr>
      <vt:lpstr>        C.  经济特点</vt:lpstr>
      <vt:lpstr>    二、《公约》的执行情况</vt:lpstr>
      <vt:lpstr>        第一条  自决权</vt:lpstr>
      <vt:lpstr>        第二条  公民和非公民的权利</vt:lpstr>
      <vt:lpstr>        第三条  男女平等</vt:lpstr>
      <vt:lpstr>        第四条  享受所有基本权利</vt:lpstr>
      <vt:lpstr>        第五条  国际法规定的首要地位</vt:lpstr>
      <vt:lpstr>        第六条  劳动的权利</vt:lpstr>
      <vt:lpstr>        第七条  获得公平报酬的权利</vt:lpstr>
      <vt:lpstr>        第八条  组织工会和工会联合会的权利</vt:lpstr>
      <vt:lpstr>        第九条  获得社会保障的权利</vt:lpstr>
      <vt:lpstr>        第十条  保护家庭、母亲和子女的权利</vt:lpstr>
      <vt:lpstr>        第十一条  获得食物、衣服和住房的权利 (适足生活水准权)</vt:lpstr>
      <vt:lpstr>        人均收入和国民生产总值的趋势</vt:lpstr>
      <vt:lpstr>        第十二条  享有尽可能高的身体健康和精神健康水平的权利</vt:lpstr>
      <vt:lpstr>        医疗机构和医务人员的数目(1997年至2001年)</vt:lpstr>
      <vt:lpstr>        医院统计数字，1996年至2001年</vt:lpstr>
      <vt:lpstr>        为每1,000名居民服务的专业人员和辅助医务人员的数目(1999年/2001年)</vt:lpstr>
      <vt:lpstr>        按地区分列的预防接种数据</vt:lpstr>
      <vt:lpstr>        私人医疗机构</vt:lpstr>
      <vt:lpstr>        第十三条  受教育权</vt:lpstr>
      <vt:lpstr>        第十四条  受教育权</vt:lpstr>
      <vt:lpstr>        第十五条  参加文化生活的权利</vt:lpstr>
      <vt:lpstr>        注</vt:lpstr>
      <vt:lpstr>        在编写本报告时所使用的资料来源</vt:lpstr>
      <vt:lpstr>        筹备委员会的成员</vt:lpstr>
      <vt:lpstr>        </vt:lpstr>
    </vt:vector>
  </TitlesOfParts>
  <Company>Chinese Unit - GE</Company>
  <LinksUpToDate>false</LinksUpToDate>
  <CharactersWithSpaces>27700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2005年实质性会议</dc:title>
  <dc:subject/>
  <dc:creator>CSD</dc:creator>
  <cp:keywords/>
  <dc:description>经济及社会理事会</dc:description>
  <cp:lastModifiedBy>niu</cp:lastModifiedBy>
  <cp:revision>2</cp:revision>
  <cp:lastPrinted>2005-05-31T08:12:00Z</cp:lastPrinted>
  <dcterms:created xsi:type="dcterms:W3CDTF">2005-05-31T08:17:00Z</dcterms:created>
  <dcterms:modified xsi:type="dcterms:W3CDTF">2005-05-31T08:17:00Z</dcterms:modified>
  <cp:category>E</cp:category>
</cp:coreProperties>
</file>