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/C/SR.1919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24 de junio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spacing w:after="120"/>
        <w:rPr>
          <w:b/>
        </w:rPr>
      </w:pPr>
      <w:r>
        <w:rPr>
          <w:b/>
        </w:rPr>
        <w:t>74º período de sesiones</w:t>
      </w:r>
    </w:p>
    <w:p w:rsidR="00000000" w:rsidRDefault="00000000">
      <w:pPr>
        <w:rPr>
          <w:b/>
        </w:rPr>
      </w:pPr>
      <w:r>
        <w:rPr>
          <w:b/>
        </w:rPr>
        <w:t>Acta resumida de la 1919ª sesión</w:t>
      </w:r>
    </w:p>
    <w:p w:rsidR="00000000" w:rsidRDefault="00000000">
      <w:r>
        <w:t xml:space="preserve">Celebrada en el Palais Wilson, Ginebra, el jueves 26 de febrero de </w:t>
      </w:r>
      <w:smartTag w:uri="urn:schemas-microsoft-com:office:smarttags" w:element="metricconverter">
        <w:smartTagPr>
          <w:attr w:name="ProductID" w:val="2009, a"/>
        </w:smartTagPr>
        <w:r>
          <w:t>2009, a</w:t>
        </w:r>
      </w:smartTag>
      <w:r>
        <w:t xml:space="preserve"> las 10.00 horas</w:t>
      </w:r>
    </w:p>
    <w:p w:rsidR="00000000" w:rsidRDefault="00000000">
      <w:pPr>
        <w:tabs>
          <w:tab w:val="right" w:pos="992"/>
          <w:tab w:val="left" w:pos="1134"/>
          <w:tab w:val="right" w:leader="dot" w:pos="8505"/>
        </w:tabs>
        <w:spacing w:before="120"/>
        <w:rPr>
          <w:lang w:val="es-ES_tradnl"/>
        </w:rPr>
      </w:pPr>
      <w:r>
        <w:rPr>
          <w:lang w:val="es-ES_tradnl"/>
        </w:rPr>
        <w:tab/>
      </w:r>
      <w:r>
        <w:rPr>
          <w:i/>
          <w:lang w:val="es-ES_tradnl"/>
        </w:rPr>
        <w:t>Presidenta:</w:t>
      </w:r>
      <w:r>
        <w:rPr>
          <w:lang w:val="es-ES_tradnl"/>
        </w:rPr>
        <w:tab/>
        <w:t>Sra. Dah</w:t>
      </w:r>
    </w:p>
    <w:p w:rsidR="00000000" w:rsidRDefault="00000000">
      <w:pPr>
        <w:pStyle w:val="HChG"/>
        <w:rPr>
          <w:b w:val="0"/>
        </w:rPr>
      </w:pPr>
      <w:r>
        <w:rPr>
          <w:b w:val="0"/>
        </w:rPr>
        <w:t>Sumario</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pPr>
      <w:r>
        <w:tab/>
      </w:r>
      <w:r>
        <w:rPr>
          <w:i/>
        </w:rPr>
        <w:t>Informes periódicos 17º a 19º de Finlandia</w:t>
      </w:r>
      <w:r>
        <w:t xml:space="preserve"> (continuación)</w:t>
      </w:r>
    </w:p>
    <w:p w:rsidR="00000000" w:rsidRDefault="00000000">
      <w:pPr>
        <w:pStyle w:val="SingleTxtG"/>
      </w:pPr>
      <w:r>
        <w:t>Procedimiento de seguimiento</w:t>
      </w:r>
    </w:p>
    <w:p w:rsidR="00000000" w:rsidRDefault="00000000">
      <w:pPr>
        <w:pStyle w:val="SingleTxtG"/>
        <w:rPr>
          <w:i/>
        </w:rPr>
      </w:pPr>
      <w:r>
        <w:tab/>
      </w:r>
      <w:r>
        <w:rPr>
          <w:i/>
        </w:rPr>
        <w:t>Bosnia y Herzegovina</w:t>
      </w:r>
    </w:p>
    <w:p w:rsidR="00000000" w:rsidRDefault="00000000">
      <w:pPr>
        <w:pStyle w:val="SingleTxtG"/>
        <w:rPr>
          <w:i/>
          <w:u w:val="single"/>
        </w:rPr>
      </w:pPr>
      <w:r>
        <w:tab/>
      </w:r>
      <w:r>
        <w:rPr>
          <w:i/>
        </w:rPr>
        <w:t>República de Corea</w:t>
      </w:r>
    </w:p>
    <w:p w:rsidR="00000000" w:rsidRDefault="00000000">
      <w:pPr>
        <w:pStyle w:val="SingleTxtG"/>
        <w:rPr>
          <w:i/>
        </w:rPr>
      </w:pPr>
      <w:r>
        <w:rPr>
          <w:u w:val="single"/>
        </w:rPr>
        <w:br w:type="page"/>
      </w:r>
      <w:r>
        <w:rPr>
          <w:i/>
        </w:rPr>
        <w:t>Se declara abierta la sesión a las 10.20 horas.</w:t>
      </w:r>
    </w:p>
    <w:p w:rsidR="00000000" w:rsidRDefault="00000000">
      <w:pPr>
        <w:pStyle w:val="H23G"/>
      </w:pPr>
      <w:r>
        <w:tab/>
      </w:r>
      <w:r>
        <w:tab/>
        <w:t xml:space="preserve">Examen de los informes, observaciones e información presentados por </w:t>
      </w:r>
      <w:r>
        <w:br/>
        <w:t xml:space="preserve">los Estados partes de conformidad con el artículo 9 de la Convención </w:t>
      </w:r>
      <w:r>
        <w:br/>
      </w:r>
      <w:r>
        <w:rPr>
          <w:b w:val="0"/>
        </w:rPr>
        <w:t xml:space="preserve">(tema 5 del programa) </w:t>
      </w:r>
      <w:r>
        <w:rPr>
          <w:b w:val="0"/>
          <w:i/>
        </w:rPr>
        <w:t>(continuación)</w:t>
      </w:r>
    </w:p>
    <w:p w:rsidR="00000000" w:rsidRDefault="00000000">
      <w:pPr>
        <w:pStyle w:val="H23G"/>
      </w:pPr>
      <w:r>
        <w:tab/>
      </w:r>
      <w:r>
        <w:tab/>
        <w:t xml:space="preserve">Informes periódicos 17º a 19º de Finlandia </w:t>
      </w:r>
      <w:r>
        <w:rPr>
          <w:b w:val="0"/>
        </w:rPr>
        <w:t>(CERD/C/FIN/19; HRI/CORE/1/</w:t>
      </w:r>
      <w:r>
        <w:rPr>
          <w:b w:val="0"/>
        </w:rPr>
        <w:br/>
        <w:t xml:space="preserve">Add.59/Rev.1; lista de cuestiones que han de abordarse, documento sin signatura distribuido durante la sesión, en inglés solamente) </w:t>
      </w:r>
      <w:r>
        <w:rPr>
          <w:b w:val="0"/>
          <w:i/>
        </w:rPr>
        <w:t>(continuación)</w:t>
      </w:r>
    </w:p>
    <w:p w:rsidR="00000000" w:rsidRDefault="00000000">
      <w:pPr>
        <w:pStyle w:val="SingleTxtG"/>
      </w:pPr>
      <w:r>
        <w:t>1.</w:t>
      </w:r>
      <w:r>
        <w:tab/>
      </w:r>
      <w:r>
        <w:rPr>
          <w:i/>
        </w:rPr>
        <w:t xml:space="preserve">Por invitación de </w:t>
      </w:r>
      <w:smartTag w:uri="urn:schemas-microsoft-com:office:smarttags" w:element="PersonName">
        <w:smartTagPr>
          <w:attr w:name="ProductID" w:val="ޖ枨ޖ㦹瓼⸲⸵⸴ㄳgġ✡谀&#10;la Presidenta㟠ޝī✡谀慠፷煨፷Õ✡蠀㬘͜+-格ޖ瓾瓾瓾ß✡輀搰ޖ桨ޖ㦹瓼⸲⸵⸴㜳&#10;Ù✡贀洰ޖ梘ޖ騂瓹敓楲污穩摥䐴üÃ✡耀et&#10;la ConvenciónÍ✡E谀&#10;LA CONVENTION憌ù÷✡谀&#10;La Turquía Lañ✡輀敐ޖ楘ޖ㦹瓼⸲⸵⸴㈳gû✡輀晰ޖ榈ޖ궇瓼⸲⸵㤲㠮䄼üå✡ʁ踀晀ޖ榸ޖ粰瓼⸲⸵㤲㌮7ꟼøï✡c踀无ޖ槨ޖ궇瓼⸲⸵㤲ㄮ8맬ùé✡踀榠ޖ樘ޖ竼瓼⸲⸵㤲㈮1&#10;✡耀Ĩetla Eliminación✡袶谀&#10;la Pr￩sidenteon✡踀汀ޖ檨ޖ쒕瓼⸲⸵㤲㈮8뤄û✡谀&#10;&#10;la R￩publique✡蠀µ✡踀儘ᚪ欸ޖ夃瓶⸲⸵㤲㈮7똜û¿✡輀掠ޖ歨ޖ㦹瓼⸲⸵⸴㤳&#10;¹✡t谀ᜌ烚浐ޚ㽠烚&#10;£✡褀洀ޖ毈ޖ먎瓶祓瑳浥敒楧瑳祲­✡言毸ޖ瓶瓾⸱⸳㐱㌮㈮㈮6ùW✡踀乀ᚪ氨ޖ蹫瓼⸲⸵㤲㌮2凬üQ✡踀冈ᚪ汘ޖ닣瓼⸲⸵㤲㌮0攬ù[✡踀戠ޖ沈ޖ娗瓶⸲⸵㤲㌮1ûE✡言咘ᚪ沸ޖ衤瓾⸱⸳㐱㌮㈮ㄮ2ùO✡踀到ᚪ注ޖ蠁瓼⸲⸵㤲㌮6䘼üI✡茚輀洘ޖ嶍瓻桐獹捩污谄ùs✡c贀殰ޖ浈ޖ댰瓷潃汬捥楴湯証ù}✡蠀垠׃ꀸ׃ݷݷ͜͜g✡蠀≓ၓ≓㰂a✡踀䴨ᚪ淘ޖ뷼瓼⸲⸵㤲㌮5&#10;k✡蠀耐&amp;糠&amp;ะ׀찺뒿䉌⦰螚䇆ᄀ猐ׂ✡蠀NT Authority\SYSTEM✡蠀†&amp;ኀ׀Ὀׂ薏幬ย䝠ﺚ㏪똗獱ᄀ澰ׂ✡踀凸ᚪ溘ޖ蓢瓼⸲⸵㤲㌮3ᢴþ✡캜言唈ᚪ滈ޖ諙瓾⸱⸳㐱㌮㈮ㄮ2ý&#10;✡蠀㜨͜+-滼ޖ瓾瓾瓾7✡蠀Ἐׂะ׀†&amp;ོ䤁䫌䢆퓕ы迯耀㥠ޔ鷣鍚혦ࠠ좐ޘ濸͝&#10;타뉉✳쭴蠀de뉔✳蠀la뉓✳蠀de뉞✳蠀de뉝✳蠀.뉘✳蠀El놧✳蠀ha놢✳蠀sido놡✳蠀por耀놬✳蠀de놫✳蠀sus놶✳蠀en놵✳蠀las놰✳蠀,ecla놿✳ 蠀ata l놺✳s蠀dea l놹✳ 蠀lahor놄✳.蠀gran놃✳蠀que놎✳蠀la농✳蠀del놈✳蠀al⟜耀놗✳蠀de높✳蠀y놑✳蠀el놜✳蠀que놛✳蠀para뇦✳蠀suL뇥✳嬌蠀&#10;labor뇠✳蠀&#10;posee뇯✳岌蠀el뇪✳蠀de뇩✳蠀la뇴✳蠀.뇳✳蠀&#10;㌹⟜耀뇾✳蠀.s뇽✳蠀es1뇸✳蠀La뇇✳蠀de뇂✳蠀que뇁✳蠀la鴣博풦ࠠ㛠ލﻘׄ 타侹✦蠀una侤✦蠀&#10;serie侣✦蠀de.侮✦蠀de侭✦蠀para侨✦蠀el佗✦蠀,佒✦蠀&#10;desde佑✦蠀su作✦蠀73佛✦蠀º但✦蠀de佅✦蠀,佀✦蠀en住✦蠀de佊✦蠀2008佉✦蠀,佴✦蠀la佳✦蠀Alta佾✦蠀que鵶ན푦 䶐֪儐ޏ麡퐳ఠḯ皫ਖ皫ẅ皫೶皤੆皢ൠ皢ὴ皢˪皢跉皢৸皢˴皢̒皢᪩皢̈皢ˈ皢譆皡磾皡箙皡˾皢䲫皡먝皡諱皡ˠ皢皡꣝皡皡̜皢䋗皥縂皡盖皡䋡皥䋫皥䋵皥䋿皥䌉皥㔧皥㢁皥䌓皥䌝皥䌧皥䌱皥䌻皥䍅皥㡭皥䍏皥䍙皥䍣皥䍭皥䍷皥䎁皥䎋皥䎕皥㢋皥䎟皥䎩皥䎳皥䎽皥䏇皥䏑皥㝇皥䏛皥䏥皥䏯皥㜽皥䏹皥䐃皥䐍皥䐗皥䐡皥㡏皥㫻皥㡣皥㡙皥䐫皥䐵皥䐿皥䑉皥䑓皥䑝皥䑧皥䑱皥䑻皥䒅皥䒏皥㡷皥䒙皥䒣皥䒭皥䒷皥䓁皥䓋皥䓕皥䓟皥䓩皥䓳皥䓽皥䔇皥䔑皥䔛皥䔥皥䔯皥䔹皥䕃皥䕍皥䕗皥䕡皥䕫皥䕵皥䕿皥䖉皥䖓皥䖝皥䖧皥䖱皥䖻皥䗅皥䗏皥䗙皥䗣皥䗭皥䗷皥䘁皥䘋皥䘕皥䘟皥䘩皥䘳皥䘽皥࿸࿸࿸࿸࿸࿸࿸࿸ ࿸$࿸(࿸,࿸0࿸4࿸8࿸&lt;࿸@࿸D࿸H࿸L࿸P࿸T࿸X࿸\࿸`࿸d࿸h࿸l࿸࿸࿸࿸࿸࿸࿸࿸ ࿸¤࿸¨࿸¬࿸°࿸´࿸¸࿸¼࿸À࿸Ä࿸È࿸Ì࿸Ð࿸Ô࿸Ø࿸Ü࿸à࿸ä࿸è࿸ì࿸ð࿸ô࿸ø࿸ü࿸Ā࿸Ą࿸Ĉ࿸Č࿸Đ࿸Ĕ࿸Ę࿸Ĝ࿸Ġ࿸Ĥ࿸Ĩ࿸Ĭ࿸İ࿸Ĵ࿸ĸ࿸ļ࿸ŀ࿸ń࿸ň࿸Ō࿸Ő࿸Ŕ࿸Ř࿸Ŝ࿸Š࿸Ÿ࿸ż࿸ƀ࿸Ƅ࿸ƈ࿸ƌ࿸Ɛ࿸Ɣ࿸Ƙ࿸Ɯ࿸Ơ࿸Ƥ࿸ƨ࿸Ƭ࿸ư࿸ƴ࿸Ƹ࿸Ƽ࿸ǀ࿸Ǆ࿸ǈ࿸ǌ࿸ǐ࿸ǔ࿸ǘ࿸ǜ࿸Ǡ࿸Ǥ࿸Ǩ࿸Ǭ࿸ǰ࿸Ǵ࿸Ǹ࿸Ǽ࿸Ȁ࿸Ȅ࿸Ȉ࿸Ȍ࿸Ȑ࿸Ȕ࿸Ș࿸Ȝ࿸Ƞ࿸Ȥ࿸Ȩ࿸Ȭ࿸Ȱ࿸ȴ࿸ȸ࿸ȼ࿸ɀ࿸Ʉ࿸Ɉ࿸Ɍ࿸ɐ࿸ɔ࿸ɬ࿸ɰ࿸ɴ࿸ɸ࿸ɼ࿸ʀ࿸ʄ࿸ʈ࿸ʌ࿸ʐ࿸ʔ࿸ʘ࿸ʜ࿸ʠ࿸ʤ࿸ʨ࿸ʬ࿸ʰ࿸ʴ࿸ʸ࿸ʼ࿸ˀ࿸˄࿸ˈ࿸ˌ࿸ː࿸˔࿸˘࿸˜࿸ˠ࿸ˤ࿸˨࿸ˬ࿸˰࿸˴࿸˸࿸˼࿸̀࿸̄࿸̈࿸̌࿸̐࿸̔࿸̘࿸̜࿸̠࿸̤࿸̨࿸̬࿸̰࿸̴࿸̸࿸̼࿸̀࿸̈́࿸͈࿸͠࿸ͤ࿸ͨ࿸ͬ࿸Ͱ࿸ʹ࿸͸࿸ͼ࿸΀࿸΄࿸Έ࿸Ό࿸ΐ࿸Δ࿸Θ࿸Μ࿸Π࿸Τ࿸Ψ࿸ά࿸ΰ࿸δ࿸θ࿸μ࿸π࿸τ࿸ψ࿸ό࿸ϐ࿸ϔ࿸Ϙ࿸Ϝ࿸Ϡ࿸Ϥ࿸Ϩ࿸Ϭ࿸ϰ࿸ϴ࿸ϸ࿸ϼ࿸Ѐ࿸Є࿸Ј࿸Ќ࿸А࿸Д࿸И࿸М࿸Р࿸Ф࿸Ш࿸Ь࿸а࿸д࿸и࿸м࿸є࿸ј࿸ќ࿸Ѡ࿸Ѥ࿸Ѩ࿸Ѭ࿸Ѱ࿸Ѵ࿸Ѹ࿸Ѽ࿸Ҁ࿸҄࿸҈࿸Ҍ࿸Ґ࿸Ҕ࿸Ҙ࿸Ҝ࿸Ҡ࿸Ҥ࿸Ҩ࿸Ҭ࿸Ұ࿸Ҵ࿸Ҹ࿸Ҽ࿸Ӏ࿸ӄ࿸ӈ࿸ӌ࿸Ӑ࿸Ӕ࿸Ә࿸Ӝ࿸Ӡ࿸Ӥ࿸Ө࿸Ӭ࿸Ӱ࿸Ӵ࿸Ӹ࿸Ӽ࿸Ԁ࿸Ԅ࿸Ԉ࿸Ԍ࿸Ԑ࿸Ԕ࿸Ԙ࿸Ԝ࿸Ԡ࿸Ԥ࿸Ԩ࿸Ԭ࿸԰࿸Ո࿸Ռ࿸Ր࿸Ք࿸՘࿸՜࿸ՠ࿸դ࿸ը࿸լ࿸հ࿸մ࿸ո࿸ռ࿸ր࿸ք࿸ֈ࿸֌࿸֐࿸֔࿸֘࿸֜࿸֠࿸֤࿸֨࿸֬࿸ְ࿸ִ࿸ָ࿸ּ࿸׀࿸ׄ࿸׈࿸׌࿸א࿸ה࿸ט࿸ל࿸נ࿸פ࿸ר࿸׬࿸װ࿸״࿸׸࿸׼࿸؀࿸؄࿸؈࿸،࿸ؐ࿸ؔ࿸ؘ࿸؜࿸ؠ࿸ؤ࿸ؼ࿸ـ࿸ل࿸و࿸ٌ࿸ِ࿸ٔ࿸٘࿸ٜ࿸٠࿸٤࿸٨࿸٬࿸ٰ࿸ٴ࿸ٸ࿸ټ࿸ڀ࿸ڄ࿸ڈ࿸ڌ࿸ڐ࿸ڔ࿸ژ࿸ڜ࿸ڠ࿸ڤ࿸ڨ࿸ڬ࿸ڰ࿸ڴ࿸ڸ࿸ڼ࿸ۀ࿸ۄ࿸ۈ࿸ی࿸ې࿸۔࿸ۘ࿸ۜ࿸۠࿸ۤ࿸ۨ࿸۬࿸۰࿸۴࿸۸࿸ۼ࿸܀࿸܄࿸܈࿸܌࿸ܐ࿸ܔ࿸ܘ࿸ܰ࿸ܴ࿸ܸ࿸ܼ࿸݀࿸݄࿸݈࿸݌࿸ݐ࿸ݔ࿸ݘ࿸ݜ࿸ݠ࿸ݤ࿸ݨ࿸ݬ࿸ݰ࿸ݴ࿸ݸ࿸ݼ࿸ހ࿸ބ࿸ވ࿸ތ࿸ސ࿸ޔ࿸ޘ࿸ޜ࿸ޠ࿸ޤ࿸ި࿸ެ࿸ް࿸޴࿸޸࿸޼࿸߀࿸߄࿸߈࿸ߌ࿸ߐ࿸ߔ࿸ߘ࿸ߜ࿸ߠ࿸ߤ࿸ߨ࿸߬࿸߰࿸ߴ࿸߸࿸߼࿸ࠀ࿸ࠄ࿸ࠈ࿸ࠌ࿸ࠤ࿸ࠨ࿸ࠬ࿸࠰࿸࠴࿸࠸࿸࠼࿸ࡀ࿸ࡄ࿸ࡈ࿸ࡌ࿸ࡐ࿸ࡔ࿸ࡘ࿸࡜࿸ࡠ࿸ࡤ࿸ࡨ࿸࡬࿸ࡰ࿸ࡴ࿸ࡸ࿸ࡼ࿸ࢀ࿸ࢄ࿸࢈࿸ࢌ࿸࢐࿸࢔࿸࢘࿸࢜࿸ࢠ࿸ࢤ࿸ࢨ࿸ࢬ࿸ࢰ࿸ࢴ࿸ࢸ࿸ࢼ࿸ࣀ࿸ࣄ࿸ࣈ࿸࣌࿸࣐࿸ࣔ࿸ࣘ࿸ࣜ࿸࣠࿸ࣤ࿸ࣨ࿸࣬࿸ࣰ࿸ࣴ࿸ࣸ࿸ࣼ࿸ऀ࿸घ࿸ज࿸ठ࿸त࿸न࿸ब࿸र࿸ऴ࿸स࿸़࿸ी࿸ॄ࿸ै࿸ौ࿸ॐ࿸॔࿸क़࿸ड़࿸ॠ࿸।࿸२࿸६࿸॰࿸ॴ࿸ॸ࿸ॼ࿸ঀ࿸঄࿸ঈ࿸ঌ࿸ঐ࿸ঔ࿸ঘ࿸জ࿸ঠ࿸ত࿸ন࿸ব࿸র࿸঴࿸স࿸়࿸ী࿸ৄ࿸ৈ࿸ৌ࿸৐࿸৔࿸৘࿸ড়࿸ৠ࿸৤࿸২࿸৬࿸ৰ࿸৴࿸਌࿸ਐ࿸ਔ࿸ਘ࿸ਜ࿸ਠ࿸ਤ࿸ਨ࿸ਬ࿸ਰ࿸਴࿸ਸ࿸਼࿸ੀ࿸੄࿸ੈ࿸ੌ࿸੐࿸੔࿸੘࿸ੜ࿸੠࿸੤࿸੨࿸੬࿸ੰ࿸ੴ࿸੸࿸੼࿸઀࿸઄࿸ઈ࿸ઌ࿸ઐ࿸ઔ࿸ઘ࿸જ࿸ઠ࿸ત࿸ન࿸બ࿸ર࿸઴࿸સ࿸઼࿸ી࿸ૄ࿸ૈ࿸ૌ࿸ૐ࿸૔࿸૘࿸૜࿸ૠ࿸૤࿸૨࿸଀࿸଄࿸ଈ࿸ଌ࿸ଐ࿸ଔ࿸ଘ࿸ଜ࿸ଠ࿸ତ࿸ନ࿸ବ࿸ର࿸଴࿸ସ࿸଼࿸ୀ࿸ୄ࿸ୈ࿸ୌ࿸୐࿸୔࿸୘࿸ଡ଼࿸ୠ࿸୤࿸୨࿸୬࿸୰࿸୴࿸୸࿸୼࿸஀࿸஄࿸ஈ࿸஌࿸ஐ࿸ஔ࿸஘࿸ஜ࿸஠࿸த࿸ந࿸஬࿸ர࿸ழ࿸ஸ࿸஼࿸ீ࿸௄࿸ை࿸ௌ࿸ௐ࿸௔࿸௘࿸௜࿸௴࿸௸࿸௼࿸ఀ࿸ఄ࿸ఈ࿸ఌ࿸ఐ࿸ఔ࿸ఘ࿸జ࿸ఠ࿸త࿸న࿸బ࿸ర࿸ఴ࿸స࿸఼࿸ీ࿸ౄ࿸ై࿸ౌ࿸౐࿸౔࿸ౘ࿸౜࿸ౠ࿸౤࿸౨࿸౬࿸౰࿸౴࿸౸࿸౼࿸ಀ࿸಄࿸ಈ࿸ಌ࿸ಐ࿸ಔ࿸ಘ࿸ಜ࿸ಠ࿸ತ࿸ನ࿸ಬ࿸ರ࿸಴࿸ಸ࿸಼࿸ೀ࿸ೄ࿸ೈ࿸ೌ࿸೐࿸೨࿸೬࿸೰࿸೴࿸೸࿸೼࿸ഀ࿸ഄ࿸ഈ࿸ഌ࿸ഐ࿸ഔ࿸ഘ࿸ജ࿸ഠ࿸ത࿸ന࿸ബ࿸ര࿸ഴ࿸സ࿸഼࿸ീ࿸ൄ࿸ൈ࿸ൌ࿸൐࿸ൔ࿸൘࿸൜࿸ൠ࿸൤࿸൨࿸൬࿸൰࿸൴࿸൸࿸ർ࿸඀࿸඄࿸ඈ࿸ඌ࿸ඐ࿸ඔ࿸඘࿸ග࿸ච࿸ඤ࿸ඨ࿸ඬ࿸ධ࿸ප࿸ම࿸඼࿸ව࿸හ࿸ො࿸෠࿸෤࿸෨࿸෬࿸෰࿸෴࿸෸࿸෼࿸฀࿸ค࿸จ࿸ฌ࿸ฐ࿸ด࿸ธ࿸ผ࿸ภ࿸ฤ࿸ศ࿸ฬ࿸ะ࿸ิ࿸ุ࿸฼࿸เ࿸ไ࿸่࿸์࿸๐࿸๔࿸๘࿸๜࿸๠࿸๤࿸๨࿸๬࿸๰࿸๴࿸๸࿸๼࿸຀࿸ຄ࿸ຈ࿸ຌ࿸ຐ࿸ດ࿸ຘ࿸ຜ࿸ຠ࿸຤࿸ຨ࿸ຬ࿸ະ࿸ິ࿸ຸ࿸໐࿸໔࿸໘࿸ໜ࿸໠࿸໤࿸໨࿸໬࿸໰࿸໴࿸໸࿸໼࿸ༀ࿸༄࿸༈࿸༌࿸༐࿸༔࿸༘࿸༜࿸༠࿸༤࿸༨࿸༬࿸༰࿸༴࿸༸࿸༼࿸ཀ࿸ང࿸཈࿸ཌ࿸ཐ࿸པ࿸མ࿸ཛྷ࿸འ࿸ཤ࿸ཨ࿸ཬ࿸཰࿸ུ࿸ླྀ࿸ོ࿸ྀ࿸྄࿸ྈ࿸ྌ࿸ྐ࿸ྔ࿸྘࿸ྜ࿸ྠ࿸ྤ࿸ྨ࿸ྫྷ࿸࿄࿸࿈࿸࿌࿸࿐࿸࿔࿸࿘࿸࿜࿸࿠࿸࿤࿸࿨࿸࿬࿸࿰࿸࿴࿸࿸࿸࿼࿸က࿸င࿸ဈ࿸ဌ࿸တ࿸န࿸ဘ࿸လ࿸ဠ࿸ဤ࿸ဨ࿸ာ࿸ူ࿸ဴ࿸း࿸ြ࿸၀࿸၄࿸၈࿸၌࿸ၐ࿸ၔ࿸ၘ࿸ၜ࿸ၠ࿸ၤ࿸ၨ࿸ၬ࿸ၰ࿸ၴ࿸ၸ࿸ၼ࿸ႀ࿸ႄ࿸ႈ࿸ႌ࿸႐࿸႔࿸႘࿸ႜ࿸Ⴀ࿸Ⴘ࿸Ⴜ࿸Ⴠ࿸Ⴤ࿸჈࿸჌࿸ა࿸ე࿸ი࿸ნ࿸რ࿸ფ࿸შ࿸წ࿸ჰ࿸ჴ࿸ჸ࿸ჼ࿸ᄀ࿸ᄄ࿸ᄈ࿸ᄌ࿸ᄐ࿸ᄔ࿸ᄘ࿸ᄜ࿸ᄠ࿸ᄤ࿸ᄨ࿸ᄬ࿸ᄰ࿸ᄴ࿸ᄸ࿸ᄼ࿸ᅀ࿸ᅄ࿸ᅈ࿸ᅌ࿸ᅐ࿸ᅔ࿸ᅘ࿸ᅜ࿸ᅠ࿸ᅤ࿸ᅨ࿸ᅬ࿸ᅰ࿸ᅴ࿸ᅸ࿸ᅼ࿸ᆀ࿸ᆄ࿸ᆈ࿸ᆌ࿸ᆐ࿸ᆔ࿸ᆬ࿸ᆰ࿸ᆴ࿸ᆸ࿸ᆼ࿸ᇀ࿸ᇄ࿸ᇈ࿸ᇌ࿸ᇐ࿸ᇔ࿸ᇘ࿸ᇜ࿸ᇠ࿸ᇤ࿸ᇨ࿸ᇬ࿸ᇰ࿸ᇴ࿸ᇸ࿸ᇼ࿸ሀ࿸ሄ࿸ለ࿸ሌ࿸ሐ࿸ሔ࿸መ࿸ሜ࿸ሠ࿸ሤ࿸ረ࿸ሬ࿸ሰ࿸ሴ࿸ሸ࿸ሼ࿸ቀ࿸ቄ࿸ቈ࿸ቌ࿸ቐ࿸ቔ࿸ቘ࿸ቜ࿸በ࿸ቤ࿸ቨ࿸ቬ࿸ተ࿸ቴ࿸ቸ࿸ቼ࿸ኀ࿸ኄ࿸ኈ࿸አ࿸ኤ࿸ከ࿸ኬ࿸ኰ࿸ኴ࿸ኸ࿸ኼ࿸ዀ࿸ዄ࿸ወ࿸ዌ࿸ዐ࿸ዔ࿸ዘ࿸ዜ࿸ዠ࿸ዤ࿸የ࿸ዬ࿸ደ࿸ዴ࿸ዸ࿸ዼ࿸ጀ࿸ጄ࿸ገ࿸ጌ࿸ጐ࿸ጔ࿸ጘ࿸ጜ࿸ጠ࿸ጤ࿸ጨ࿸ጬ࿸ጰ࿸ጴ࿸ጸ࿸ጼ࿸ፀ࿸ፄ࿸ፈ࿸ፌ࿸ፐ࿸ፔ࿸ፘ࿸፜࿸፠࿸፤࿸፨࿸፬࿸፰࿸፴࿸፸࿸፼࿸᎔࿸᎘࿸᎜࿸Ꭰ࿸Ꭴ࿸Ꭸ࿸Ꭼ࿸Ꮀ࿸Ꮄ࿸Ꮈ࿸Ꮌ࿸Ꮐ࿸Ꮔ࿸Ꮘ࿸Ꮜ࿸Ꮠ࿸Ꮤ࿸Ꮨ࿸Ꮬ࿸Ꮰ࿸Ꮴ࿸Ꮸ࿸Ꮼ࿸Ᏸ࿸Ᏼ࿸ᏸ࿸ᏼ࿸᐀࿸ᐄ࿸ᐈ࿸ᐌ࿸ᐐ࿸ᐔ࿸ᐘ࿸ᐜ࿸ᐠ࿸ᐤ࿸ᐨ࿸ᐬ࿸ᐰ࿸ᐴ࿸ᐸ࿸ᐼ࿸ᑀ࿸ᑄ࿸ᑈ࿸ᑌ࿸ᑐ࿸ᑔ࿸ᑘ࿸ᑜ࿸ᑠ࿸ᑤ࿸ᑨ࿸ᑬ࿸ᑰ࿸ᒈ࿸ᒌ࿸ᒐ࿸ᒔ࿸ᒘ࿸ᒜ࿸ᒠ࿸ᒤ࿸ᒨ࿸ᒬ࿸ᒰ࿸ᒴ࿸ᒸ࿸ᒼ࿸ᓀ࿸ᓄ࿸ᓈ࿸ᓌ࿸ᓐ࿸ᓔ࿸ᓘ࿸ᓜ࿸ᓠ࿸ᓤ࿸ᓨ࿸ᓬ࿸ᓰ࿸ᓴ࿸ᓸ࿸ᓼ࿸ᔀ࿸ᔄ࿸ᔈ࿸ᔌ࿸ᔐ࿸ᔔ࿸ᔘ࿸ᔜ࿸ᔠ࿸ᔤ࿸ᔨ࿸ᔬ࿸ᔰ࿸ᔴ࿸ᔸ࿸ᔼ࿸ᕀ࿸ᕄ࿸ᕈ࿸ᕌ࿸ᕐ࿸ᕔ࿸ᕘ࿸ᕜ࿸ᕠ࿸ᕤ࿸ᕼ࿸ᖀ࿸ᖄ࿸ᖈ࿸ᖌ࿸ᖐ࿸ᖔ࿸ᖘ࿸ᖜ࿸ᖠ࿸ᖤ࿸ᖨ࿸ᖬ࿸ᖰ࿸ᖴ࿸ᖸ࿸ᖼ࿸ᗀ࿸ᗄ࿸ᗈ࿸ᗌ࿸ᗐ࿸ᗔ࿸ᗘ࿸ᗜ࿸ᗠ࿸ᗤ࿸ᗨ࿸ᗬ࿸ᗰ࿸ᗴ࿸ᗸ࿸ᗼ࿸ᘀ࿸ᘄ࿸ᘈ࿸ᘌ࿸ᘐ࿸ᘔ࿸ᘘ࿸ᘜ࿸ᘠ࿸ᘤ࿸ᘨ࿸ᘬ࿸ᘰ࿸ᘴ࿸ᘸ࿸ᘼ࿸ᙀ࿸ᙄ࿸ᙈ࿸ᙌ࿸ᙐ࿸ᙔ࿸ᙘ࿸ᙰ࿸ᙴ࿸ᙸ࿸ᙼ࿸ ࿸ᚄ࿸ᚈ࿸ᚌ࿸ᚐ࿸ᚔ࿸ᚘ࿸᚜࿸ᚠ࿸ᚤ࿸ᚨ࿸ᚬ࿸ᚰ࿸ᚴ࿸ᚸ࿸ᚼ࿸ᛀ࿸ᛄ࿸ᛈ࿸ᛌ࿸ᛐ࿸ᛔ࿸ᛘ࿸ᛜ࿸ᛠ࿸ᛤ࿸ᛨ࿸᛬࿸ᛰ࿸ᛴ࿸ᛸ࿸᛼࿸ᜀ࿸ᜄ࿸ᜈ࿸ᜌ࿸ᜐ࿸᜔࿸᜘࿸᜜࿸ᜠ࿸ᜤ࿸ᜨ࿸ᜬ࿸ᜰ࿸᜴࿸᜸࿸᜼࿸ᝀ࿸ᝄ࿸ᝈ࿸ᝌ࿸ᝤ࿸ᝨ࿸ᝬ࿸ᝰ࿸᝴࿸᝸࿸᝼࿸ក࿸ង࿸ឈ࿸ឌ࿸ថ࿸ប࿸ម࿸វ࿸ហ࿸ឤ࿸ឨ࿸ឬ࿸ឰ࿸឴࿸ី࿸ូ࿸ៀ࿸ោ࿸ៈ࿸៌࿸័࿸។࿸៘࿸ៜ࿸០࿸៤࿸៨࿸៬࿸៰࿸៴࿸៸࿸៼࿸᠀࿸᠄࿸᠈࿸᠌࿸᠐࿸᠔࿸᠘࿸᠜࿸ᠠ࿸ᠤ࿸ᠨ࿸ᠬ࿸ᠰ࿸ᠴ࿸ᠸ࿸ᠼ࿸ᡀ࿸ᡘ࿸ᡜ࿸ᡠ࿸ᡤ࿸ᡨ࿸ᡬ࿸ᡰ࿸ᡴ࿸ᡸ࿸᡼࿸ᢀ࿸ᢄ࿸ᢈ࿸ᢌ࿸ᢐ࿸ᢔ࿸ᢘ࿸ᢜ࿸ᢠ࿸ᢤ࿸ᢨ࿸᢬࿸ᢰ࿸ᢴ࿸ᢸ࿸ᢼ࿸ᣀ࿸ᣄ࿸ᣈ࿸ᣌ࿸ᣐ࿸ᣔ࿸ᣘ࿸ᣜ࿸ᣠ࿸ᣤ࿸ᣨ࿸ᣬ࿸ᣰ࿸ᣴ࿸᣸࿸᣼࿸ᤀ࿸ᤄ࿸ᤈ࿸ᤌ࿸ᤐ࿸ᤔ࿸ᤘ࿸ᤜ࿸ᤠ࿸ᤤ࿸ᤨ࿸᤬࿸ᤰ࿸ᤴ࿸᥌࿸ᥐ࿸ᥔ࿸ᥘ࿸ᥜ࿸ᥠ࿸ᥤ࿸ᥨ࿸ᥬ࿸ᥰ࿸ᥴ࿸᥸࿸᥼࿸ᦀ࿸ᦄ࿸ᦈ࿸ᦌ࿸ᦐ࿸ᦔ࿸ᦘ࿸ᦜ࿸ᦠ࿸ᦤ࿸ᦨ࿸᦬࿸ᦰ࿸ᦴ࿸ᦸ࿸ᦼ࿸ᧀ࿸ᧄ࿸ᧈ࿸᧌࿸᧐࿸᧔࿸᧘࿸᧜࿸᧠࿸᧤࿸᧨࿸᧬࿸᧰࿸᧴࿸᧸࿸᧼࿸ᨀ࿸ᨄ࿸ᨈ࿸ᨌ࿸ᨐ࿸ᨔ࿸ᨘ࿸᨜࿸ᨠ࿸ᨤ࿸ᨨ࿸ᩀ࿸ᩄ࿸ᩈ࿸ᩌ࿸ᩐ࿸ᩔ࿸ᩘ࿸ᩜ࿸᩠࿸ᩤ࿸ᩨ࿸ᩬ࿸ᩰ࿸ᩴ࿸᩸࿸᩼࿸᪀࿸᪄࿸᪈࿸᪌࿸᪐࿸᪔࿸᪘࿸᪜࿸᪠࿸᪤࿸᪨࿸᪬࿸᪰࿸᪴࿸᪸࿸᪼࿸ᫀ࿸᫄࿸᫈࿸ᫌ࿸᫐࿸᫔࿸᫘࿸᫜࿸᫠࿸᫤࿸᫨࿸᫬࿸᫰࿸᫴࿸᫸࿸᫼࿸ᬀ࿸ᬄ࿸ᬈ࿸ᬌ࿸ᬐ࿸ᬔ࿸ᬘ࿸ᬜ࿸᬴࿸ᬸ࿸ᬼ࿸ᭀ࿸᭄࿸ᭈ࿸ᭌ࿸᭐࿸᭔࿸᭘࿸᭜࿸᭠࿸᭤࿸᭨࿸᭬࿸᭰࿸᭴࿸᭸࿸᭼࿸ᮀ࿸ᮄ࿸ᮈ࿸ᮌ࿸ᮐ࿸ᮔ࿸ᮘ࿸ᮜ࿸ᮠ࿸ᮤ࿸ᮨ࿸ᮬ࿸᮰࿸᮴࿸᮸࿸ᮼ࿸ᯀ࿸ᯄ࿸ᯈ࿸ᯌ࿸ᯐ࿸ᯔ࿸ᯘ࿸ᯜ࿸ᯠ࿸ᯤ࿸ᯨ࿸ᯬ࿸ᯰ࿸᯴࿸᯸࿸᯼࿸ᰀ࿸ᰄ࿸ᰈ࿸ᰌ࿸ᰐ࿸ᰨ࿸ᰬ࿸ᰰ࿸ᰴ࿸᰸࿸᰼࿸᱀࿸᱄࿸᱈࿸᱌࿸᱐࿸᱔࿸᱘࿸ᱜ࿸ᱠ࿸ᱤ࿸ᱨ࿸ᱬ࿸ᱰ࿸ᱴ࿸ᱸ࿸ᱼ࿸ᲀ࿸ᲄ࿸ᲈ࿸᲌࿸Ა࿸Ე࿸Ი࿸Ნ࿸Რ࿸Ფ࿸Შ࿸Წ࿸Ჰ࿸Ჴ࿸Ჸ࿸᲼࿸᳀࿸᳄࿸᳈࿸᳌࿸᳐࿸᳔࿸᳘࿸᳜࿸᳠࿸᳤࿸᳨࿸ᳬ࿸ᳰ࿸᳴࿸᳸࿸᳼࿸ᴀ࿸ᴄ࿸ᴜ࿸ᴠ࿸ᴤ࿸ᴨ࿸ᴬ࿸ᴰ࿸ᴴ࿸ᴸ࿸ᴼ࿸ᵀ࿸ᵄ࿸ᵈ࿸ᵌ࿸ᵐ࿸ᵔ࿸ᵘ࿸ᵜ࿸ᵠ࿸ᵤ࿸ᵨ࿸ᵬ࿸ᵰ࿸ᵴ࿸ᵸ࿸ᵼ࿸ᶀ࿸ᶄ࿸ᶈ࿸ᶌ࿸ᶐ࿸ᶔ࿸ᶘ࿸ᶜ࿸ᶠ࿸ᶤ࿸ᶨ࿸ᶬ࿸ᶰ࿸ᶴ࿸ᶸ࿸ᶼ࿸᷀࿸᷄࿸᷈࿸᷌࿸᷐࿸ᷔ࿸ᷘ࿸ᷜ࿸ᷠ࿸ᷤ࿸ᷨ࿸ᷬ࿸ᷰ࿸ᷴ࿸᷸࿸Ḑ࿸Ḕ࿸Ḙ࿸Ḝ࿸Ḡ࿸Ḥ࿸Ḩ࿸Ḭ࿸Ḱ࿸Ḵ࿸Ḹ࿸Ḽ࿸Ṁ࿸Ṅ࿸Ṉ࿸Ṍ࿸Ṑ࿸Ṕ࿸Ṙ࿸Ṝ࿸Ṡ࿸Ṥ࿸Ṩ࿸Ṭ࿸Ṱ࿸Ṵ࿸Ṹ࿸Ṽ࿸饣᝚ퟤࠠ쀠,濸͝&#10;타ꖐ₇蠀偆噄ø넀ސЀĀ翿&#10;ÿ䙨އÿ翿ꖰ₇耀b9◀᷄◨᷄☐᷄☸᷄♠᷄⚈᷄⛘᷄❐᷄➠᷄⟰᷄⡨᷄⢸᷄⤈᷄⦀᷄⧸᷄⩰᷄⫀᷄⬸᷄⮈᷄⯘᷄ⱐ᷄Ⲡ᷄⳰᷄ⵀ᷄ⶐ᷄ⷠ᷄⸰᷄⺨᷄⻸᷄⽈᷄⿀᷄〸᷄よ᷄㄀᷄ㅐ᷄㇈᷄㉀᷄㊐᷄㋠᷄㌰᷄㎀᷄㏐᷄㑈᷄㓀᷄㔐᷄㖈᷄㘀᷄㙐᷄㚠᷄㜘᷄㝨᷄㞸᷄㠈᷄㢀᷄㣐᷄㤠᷄㥰᷄杻᷃ꗐ₇.耀&quot;:◀᷄◨᷄☐᷄☸᷄♠᷄⚈᷄⛘᷄❐᷄➠᷄⟰᷄⡨᷄⢸᷄⤈᷄⦀᷄⧸᷄⩰᷄⫀᷄⬸᷄⮈᷄⯘᷄ⱐ᷄Ⲡ᷄⳰᷄ⵀ᷄ⶐ᷄ⷠ᷄⸰᷄⺨᷄⻸᷄⽈᷄⿀᷄〸᷄よ᷄㄀᷄ㅐ᷄㇈᷄㉀᷄㊐᷄㋠᷄㌰᷄㎀᷄㏐᷄㑈᷄㓀᷄㔐᷄㖈᷄㘀᷄㙐᷄㚠᷄㜘᷄㝨᷄㞸᷄㠈᷄㢀᷄㣐᷄㤠᷄㥰᷄㧀᷄ꗰ₇耀₇N耀Æ痷袠痷Ϩ鮨ֱ跼痷覈痷趨痷뮤痵믈痵踜痷믜痵뮴痵䑐㠹ٸ痵۞痵ꐐ₇耀¢ӘӘB⑍骓₇馛耀÷痷袠痷Ϩ娐ׄ跼痷覈痷趨痷뮤痵믈痵踜痷믜痵뮴痵䑐㠹ꐰ₇耀Â痵䐞痵.ӘӘꑐ₇耀â₇耀痷袠痷Ϩ鵀ֱ跼痷覈痷趨痷뮤痵믈痵踜痷믜痵뮴痵䑐㠹ٸ痵۞痵ꑰ₇耀Ăཔཔ₇耀Ĩ痷袠痷Ϩ尐ׄ跼痷覈痷趨痷뮤痵믈痵踜痷믜痵뮴痵䑐㠹꒐₇耀Ģ䎸痵䐞痵.པ꒰₇耀łosta₇d耀ř trabajoHꂞ흘䳑꠴ꞵ耿d₇耀ŪEstadoꓐ₇ 耀Ţovincia del trabajoI硿䑯Ⴤ䇋쒦͍啃霕dʡ₇耀ƊCalle del trabajoꓰ₇耀Ƃ₇耀ƗJ䘏삿䕓䌐逼낏dʡFax del trabajoꌐ₇耀Ƣ₇耀ƻK釯⸧䋊㺓饼뺟଱dʡPágina principal₇e耀Ǆtrabajoꌰ₇耀ǂLठ嘱⒑䤙캙暴닽dʡTeléfono del trabajo₇耀Ǭꍐ₇M耀Ǣ樕ਞ䳗₇즰耀ǱʡNúmero de devolución de llamadaN퇃뽓䧠使枅艚訝䋅dꍰ₇耀ȂTeléfono del automóvil₇耀ȝ₇耀ȞO淪远뤩䄫邺稹琥﹥dʡHijoꎐ₇耀ȢP霄푲軱䏯⒐팫ᢁ핿dʡTe₇f耀Ɏ₇ 耀ɋincipal de ꎰ₇ 耀ɂpresaQ薉恀䜽熱꡿➜dʡDepartamentoꏐ₇耀ɢ₇耀ɸ猆ﲟﾏ䵉뚟︿₇d耀ɿʡDirección de correo electrónicoꏰ₇耀ʂS羣턫䞅亊ᩩdʡCorreo electrónico 2₇耀ʥ₇耀ʰꈐ₇耀ʢ偣㢖䉨醄犷爱⧏dʡCorreo electrónico 3U㞴摍䮭馰籾阄쩪dꈰ₇ʡ耀˂₇耀˒ista de correos electrónicos₇耀ˡV蓘頝䒳ᖖ姇멭dʡNoꉐ₇r耀ˢpara mostrar de correo electrónico₇耀˿W伤챯悃䯔咇䵧롺dʡArchivo como₇耀ꉰ₇耀̂X䪧鲧䃶￹dʡNombre₇耀̬ꊐ₇耀̢Y硄ᒗ歉䪭ᒧ冤怄dʡ₇耀̓Nombre completoꊰ₇耀͂Z遑捞傥䮢큎읖陲d₇耀͙Sexoꋐ₇耀͢₇[耀ʹ㲌퓰䳹嚷嵎䐤쵻dʡNombre propio₇耀Ά\옼᝭⚈争䎁䞣ྀFꋰ₇耀΂Aficiones₇耀Υ]┿巂帑䫟ﺜඑỐ瀾dʡꄐ₇r耀΢ción partic₇a耀γ^荔飹慺䚸悅᭛뽤褟dʡCiudad del domicilꄰ₇耀ς₇耀_옼᝭⚈争₇ྀ耀ʡPaís o región del domicilioꅐ₇耀`媡ࢦ䏝㶣纎薭dʡApartado de correos del domicilioa掙箟ਿ䬒붉쥑꼘dʡCódigo postal del domicilio博퀦ࠠ唸׃鴀ޏ타㒈╨谀菱怬톔怤廊怬炘͜ᳬ怞늀׀㒁╨谀菱怬톔怤廊怬炘͜ᳬ怞닐׀㒖╨谀菱怬톔怤廊怬炘͜ᳬ怞댠׀㒯╨谀菱怬톔怤廊怬炘͜ᳬ怞데׀㒤╨谀菱怬톔怤廊怬炘͜ᳬ怞돨׀㒽╨谀菱怬톔怤廊怬炘͜ᳬ怞됸׀㒲╨谀菱怬톔怤廊怬炘͜ᳬ怞뒰׀㓋╨谀菱怬톔怤廊怬炘͜ᳬ怞딀׀㓀╨谀菱怬톔怤廊怬炘͜ᳬ怞땸׀㓙╨谀菱怬톔怤廊怬炘͜ᳬ怞뗈׀㓮╨谀菱怬톔怤廊怬炘͜ᳬ怞똘׀㓧╨谀菱怬톔怤廊怬炘͜ᳬ怞뙨׀㓼╨谀菱怬톔怤廊怬炘͜ᳬ怞뚸׀㓵╨谀菱怬톔怤廊怬炘͜ᳬ怞뜰׀㔊╨谀菱怬톔怤廊怬炘͜ᳬ怞램׀㔃╨谀菱怬톔怤廊怬炘͜ᳬ怞럸׀㔘╨谀菱怬톔怤廊怬炘͜ᳬ怞롰׀㔑╨谀菱怬톔怤廊怬炘͜ᳬ怞루׀㔦╨谀菱怬톔怤廊怬炘͜ᳬ怞뤸׀㔿╨谀菱怬톔怤廊怬炘͜ᳬ怞릈׀㔴╨谀菱怬톔怤廊怬炘͜ᳬ怞먀׀㕍╨谀菱怬톔怤廊怬炘͜ᳬ怞멐׀㕂╨谀菱怬톔怤廊怬炘͜ᳬ怞몠׀㕛╨谀菱怬톔怤廊怬炘͜ᳬ怞묘׀㕐╨谀菱怬톔怤廊怬炘͜ᳬ怞뭨׀㕩╨谀菱怬톔怤廊怬炘͜ᳬ怞뮸׀㕾╨谀菱怬톔怤廊怬炘͜ᳬ怞배׀㕷╨谀菱怬톔怤廊怬炘͜ᳬ怞벀׀㖌╨谀菱怬톔怤廊怬炘͜ᳬ怞본׀㖅╨谀菱怬톔怤廊怬炘͜ᳬ怞뵈׀㖚╨谀菱怬톔怤廊怬炘͜ᳬ怞뷀׀㖓╨谀菱怬톔怤廊怬炘͜ᳬ怞븐׀㖨╨谀菱怬톔怤廊怬炘͜ᳬ怞빠׀㖡╨谀菱怬톔怤廊怬炘͜ᳬ怞뺰׀㖶╨谀菱怬톔怤廊怬炘͜ᳬ怞뼨׀㗏╨谀菱怬톔怤廊怬炘͜ᳬ怞뽸׀㗄╨谀菱怬톔怤廊怬炘͜ᳬ怞뿈׀㗝╨谀菱怬톔怤廊怬炘͜ᳬ怞쀘׀㗒╨谀菱怬톔怤廊怬炘͜ᳬ怞쁨׀㗫╨谀菱怬톔怤廊怬炘͜ᳬ怞삸׀㗠╨谀菱怬톔怤廊怬炘͜ᳬ怞섈׀㗹╨谀菱怬톔怤廊怬炘͜ᳬ怞솀׀㨎╨谀菱怬톔怤廊怬炘͜ᳬ怞쇐׀㨇╨谀菱怬톔怤廊怬炘͜ᳬ怞술׀㨜╨谀菱怬톔怤廊怬炘͜ᳬ怞슘׀㨕╨谀菱怬톔怤廊怬炘͜ᳬ怞싨׀㨪╨谀菱怬톔怤廊怬炘͜ᳬ怞쌸׀㨣╨谀菱怬톔怤廊怬炘͜ᳬ怞쎰׀㨸╨谀菱怬톔怤廊怬炘͜ᳬ怞쐀׀㨱╨谀菱怬톔怤廊怬炘͜ᳬ怞쑸׀㩆╨谀菱怬톔怤廊怬炘͜ᳬ怞쓈׀㩟╨谀菱怬톔怤廊怬炘͜ᳬ怞씘׀㩔╨谀菱怬톔怤廊怬炘͜ᳬ怞얐׀㩭╨谀菱怬톔怤廊怬炘͜ᳬ怞엠׀㩢╨谀菱怬톔怤廊怬炘͜ᳬ怞옰׀㩻╨谀菱怬톔怤廊怬炘͜ᳬ怞욀׀㩰╨谀菱怬톔怤廊怬炘͜ᳬ怞웸׀㪉╨谀菱怬톔怤廊怬炘͜ᳬ怞읰׀㪞╨谀菱怬톔怤廊怬炘͜ᳬ怞쟀׀㪗╨谀菱怬톔怤廊怬炘͜ᳬ怞점׀㪬╨谀菱怬톔怤廊怬炘͜ᳬ怞좈׀㪥╨谀菱怬톔怤廊怬炘͜ᳬ怞죘׀㪺╨谀菱怬톔怤廊怬炘͜ᳬ怞쥐׀㪳╨谀菱怬톔怤廊怬炘͜ᳬ怞즠׀㫈╨谀菱怬톔怤廊怬炘͜ᳬ怞쨘׀㫁╨谀菱怬톔怤廊怬炘͜ᳬ怞쩨׀㫖╨谀菱怬톔怤廊怬炘͜ᳬ怞쪸׀㫯╨谀菱怬톔怤廊怬炘͜ᳬ怞쬈׀㫤╨谀菱怬톔怤廊怬炘͜ᳬ怞쭘׀㫽╨谀菱怬톔怤廊怬炘͜ᳬ怞쮨׀㫲╨谀菱怬톔怤廊怬炘͜ᳬ怞쯸׀㬋╨谀菱怬톔怤廊怬炘͜ᳬ怞챰׀㬀╨谀菱怬톔怤廊怬炘͜ᳬ怞쳀׀㬙╨谀菱怬톔怤廊怬炘͜ᳬ怞촐׀㬮╨谀菱怬톔怤廊怬炘͜ᳬ怞쵠׀㬧╨谀菱怬톔怤廊怬炘͜ᳬ怞췘׀㬼╨谀菱怬톔怤廊怬炘͜ᳬ怞츨׀㬵╨谀菱怬톔怤廊怬炘͜ᳬ怞칸׀㭊╨谀菱怬톔怤廊怬炘͜ᳬ怞컰׀㭃╨谀菱怬톔怤廊怬炘͜ᳬ怞콀׀㭘╨谀菱怬톔怤廊怬炘͜ᳬ怞쾐׀㭑╨谀菱怬톔怤廊怬炘͜ᳬ怞쿠׀㭦╨谀菱怬톔怤廊怬炘͜ᳬ怞큘׀㭿╨谀菱怬톔怤廊怬炘͜ᳬ怞탐׀㭴╨谀菱怬톔怤廊怬炘͜ᳬ怞턠׀㮍╨谀菱怬톔怤廊怬炘͜ᳬ怞텰׀㮂╨谀菱怬톔怤廊怬炘͜ᳬ怞퇀׀㮛╨谀菱怬톔怤廊怬炘͜ᳬ怞툸׀㮐╨谀菱怬톔怤廊怬炘͜ᳬ怞튈׀㮩╨谀菱怬톔怤廊怬炘͜ᳬ怞틘׀㮾╨谀菱怬톔怤廊怬炘͜ᳬ怞패׀㮷╨谀菱怬톔怤廊怬炘͜ᳬ怞퍸׀㯌╨谀菱怬톔怤廊怬炘͜ᳬ怞폈׀㯅╨谀菱怬톔怤廊怬炘͜ᳬ怞푀׀㯚╨谀菱怬톔怤廊怬炘͜ᳬ怞풐׀㯓╨谀菱怬톔怤廊怬炘͜ᳬ怞퓠׀㯨╨谀菱怬톔怤廊怬炘͜ᳬ怞픰׀㯡╨谀菱怬톔怤廊怬炘͜ᳬ怞햀׀㯶╨谀菱怬톔怤廊怬炘͜ᳬ怞헸׀㠏╨谀菱怬톔怤廊怬炘͜ᳬ怞홰׀㠄╨谀菱怬톔怤廊怬炘͜ᳬ怞훀׀㠝╨谀菱怬톔怤廊怬炘͜ᳬ怞휐׀㠒╨谀菱怬톔怤廊怬炘͜ᳬ怞히׀㠫╨谀菱怬톔怤廊怬炘͜ᳬ怞ퟘ׀㠠╨谀菱怬톔怤廊怬炘͜ᳬ怞׀㠹╨谀菱怬톔怤廊怬炘͜ᳬ怞׀㡎╨谀菱怬톔怤廊怬炘͜ᳬ怞׀㡇╨谀菱怬톔怤廊怬炘͜ᳬ怞׀㡜╨谀菱怬톔怤廊怬炘͜ᳬ怞׀㡕╨谀菱怬톔怤廊怬炘͜ᳬ怞׀㡪╨谀菱怬톔怤廊怬炘͜ᳬ怞׀㡣╨谀菱怬톔怤廊怬炘͜ᳬ怞׀㡸╨谀菱怬톔怤廊怬炘͜ᳬ怞׀㡱╨谀菱怬톔怤廊怬炘͜ᳬ怞׀㢆╨谀菱怬톔怤廊怬炘͜ᳬ怞׀㢟╨谀菱怬톔怤廊怬炘͜ᳬ怞׀㢔╨谀菱怬톔怤廊怬炘͜ᳬ怞׀㢭╨谀菱怬톔怤廊怬炘͜ᳬ怞׀㢢╨谀菱怬톔怤廊怬炘͜ᳬ怞׀㢻╨谀菱怬톔怤廊怬炘͜ᳬ怞׀㢰╨谀菱怬톔怤廊怬炘͜ᳬ怞׀㣉╨谀菱怬톔怤廊怬炘͜ᳬ怞׀㣞╨谀菱怬톔怤廊怬炘͜ᳬ怞׀㣗╨谀菱怬톔怤廊怬炘͜ᳬ怞׀㣬╨谀菱怬톔怤廊怬炘͜ᳬ怞׀㣥╨谀菱怬톔怤廊怬炘͜ᳬ怞׀㣺╨谀菱怬톔怤廊怬炘͜ᳬ怞׀㣳╨谀菱怬톔怤廊怬炘͜ᳬ怞׀㤈╨谀菱怬톔怤廊怬炘͜ᳬ怞׀㤁╨谀菱怬톔怤廊怬炘͜ᳬ怞׀㤖╨谀菱怬톔怤廊怬炘͜ᳬ怞׀㤯╨谀菱怬톔怤廊怬炘͜ᳬ怞׀㤤╨谀菱怬톔怤廊怬炘͜ᳬ怞׀㤽╨谀菱怬톔怤廊怬炘͜ᳬ怞׀㤲╨谀菱怬톔怤廊怬炘͜ᳬ怞׀㥋╨谀菱怬톔怤廊怬炘͜ᳬ怞׀㥀╨谀菱怬톔怤廊怬炘͜ᳬ怞׀㥙╨谀菱怬톔怤廊怬炘͜ᳬ怞׀㥮╨谀菱怬톔怤廊怬炘͜ᳬ怞׀㥧╨谀菱怬톔怤廊怬炘͜ᳬ怞׀㥼╨谀菱怬톔怤廊怬炘͜ᳬ怞׀㥵╨谀菱怬톔怤廊怬炘͜ᳬ怞׀㦊╨谀菱怬톔怤廊怬炘͜ᳬ怞׀㦃╨谀菱怬톔怤廊怬炘͜ᳬ怞׀㦘╨谀菱怬톔怤廊怬炘͜ᳬ怞׀㦑╨谀菱怬톔怤廊怬炘͜ᳬ怞׀㦦╨谀菱怬톔怤廊怬炘͜ᳬ怞׀㦿╨谀菱怬톔怤廊怬炘͜ᳬ怞׀㦴╨谀菱怬톔怤廊怬炘͜ᳬ怞׀㧍╨谀菱怬톔怤廊怬炘͜ᳬ怞׀㧂╨谀菱怬톔怤廊怬炘͜ᳬ怞׀㧛╨谀菱怬톔怤廊怬炘͜ᳬ怞׀㧐╨谀菱怬톔怤廊怬炘͜ᳬ怞׀㧩╨谀菱怬톔怤廊怬炘͜ᳬ怞׀㧾╨谀菱怬톔怤廊怬炘͜ᳬ怞׀㧷╨谀菱怬톔怤廊怬炘͜ᳬ怞׀㸌╨谀菱怬톔怤廊怬炘͜ᳬ怞׀㸅╨谀菱怬톔怤廊怬炘͜ᳬ怞׀㸚╨谀菱怬톔怤廊怬炘͜ᳬ怞׀㸓╨谀菱怬톔怤廊怬炘͜ᳬ怞׀㸨╨谀菱怬톔怤廊怬炘͜ᳬ怞׀㸡╨谀菱怬톔怤廊怬炘͜ᳬ怞׀㸶╨谀菱怬톔怤廊怬炘͜ᳬ怞׀㹏╨谀菱怬톔怤廊怬炘͜ᳬ怞׀㹄╨谀菱怬톔怤廊怬炘͜ᳬ怞׀㹝╨谀菱怬톔怤廊怬炘͜ᳬ怞׀㹒╨谀菱怬톔怤廊怬炘͜ᳬ怞׀㹫╨谀菱怬톔怤廊怬炘͜ᳬ怞׀㹠╨谀菱怬톔怤廊怬炘͜ᳬ怞׀㹹╨谀菱怬톔怤廊怬炘͜ᳬ怞׀㺎╨谀菱怬톔怤廊怬炘͜ᳬ怞׀㺇╨谀菱怬톔怤廊怬炘͜ᳬ怞׀㺜╨谀菱怬톔怤廊怬炘͜ᳬ怞׀㺕╨谀菱怬톔怤廊怬炘͜ᳬ怞׀㺪╨谀菱怬톔怤廊怬炘͜ᳬ怞׀㺣╨谀菱怬톔怤廊怬炘͜ᳬ怞׀㺸╨谀菱怬톔怤廊怬炘͜ᳬ怞׀㺱╨谀菱怬톔怤廊怬炘͜ᳬ怞׀㻆╨谀菱怬톔怤廊怬炘͜ᳬ怞׀㻟╨谀菱怬톔怤廊怬炘͜ᳬ怞׀㻔╨谀菱怬톔怤廊怬炘͜ᳬ怞鴘ޏ㻭╨谀菱怬톔怤廊怬炘͜ᳬ怞鶐ޏ㻢╨谀菱怬톔怤廊怬炘͜ᳬ怞鷠ޏ㻻╨谀菱怬톔怤廊怬炘͜ᳬ怞鸰ޏ㻰╨谀菱怬톔怤廊怬炘͜ᳬ怞麨ޏ㼉╨谀菱怬톔怤廊怬炘͜ᳬ怞黸ޏ㼞╨谀菱怬톔怤廊怬炘͜ᳬ怞齈ޏ㼗╨谀菱怬톔怤廊怬炘͜ᳬ怞鿀ޏ㼬╨谀菱怬톔怤廊怬炘͜ᳬ怞ꀸޏ㼥╨谀菱怬톔怤廊怬炘͜ᳬ怞ꂈޏ㼺╨谀菱怬톔怤廊怬炘͜ᳬ怞ꃘޏ㼳╨谀菱怬톔怤廊怬炘͜ᳬ怞ꅐޏ㽈╨谀菱怬톔怤廊怬炘͜ᳬ怞ꆠޏ㽁╨谀菱怬톔怤廊怬炘͜ᳬ怞ꈘޏ㽖╨谀菱怬톔怤廊怬炘͜ᳬ怞ꉨޏ㽯╨谀菱怬톔怤廊怬炘͜ᳬ怞ꊸޏ㽤╨谀菱怬톔怤廊怬炘͜ᳬ怞ꌰޏ㽽╨谀菱怬톔怤廊怬炘͜ᳬ怞ꎨޏ㽲╨谀菱怬톔怤廊怬炘͜ᳬ怞ꏸޏ㾋╨谀菱怬톔怤廊怬炘͜ᳬ怞ꑈޏ㾀╨谀菱怬톔怤廊怬炘͜ᳬ怞꓀ޏ㾙╨谀菱怬톔怤廊怬炘͜ᳬ怞ꔐޏ㾮╨谀菱怬톔怤廊怬炘͜ᳬ怞ꕠޏ㾧╨谀菱怬톔怤廊怬炘͜ᳬ怞ꗘޏ㾼╨谀菱怬톔怤廊怬炘͜ᳬ怞Ꙑޏ㾵╨谀菱怬톔怤廊怬炘͜ᳬ怞ꚠޏ㿊╨谀菱怬톔怤廊怬炘͜ᳬ怞꛰ޏ㿃╨谀菱怬톔怤廊怬炘͜ᳬ怞Ꝩޏ㿘╨谀菱怬톔怤廊怬炘͜ᳬ怞꟠ޏ㿑╨谀菱怬톔怤廊怬炘͜ᳬ怞ꡘޏ㿦╨谀菱怬톔怤廊怬炘͜ᳬ怞ꢨޏ㿿╨谀菱怬톔怤廊怬炘͜ᳬ怞ꤠޏ㿴╨谀菱怬톔怤廊怬炘͜ᳬ怞ꥰޏ㰍╨谀菱怬톔怤廊怬炘͜ᳬ怞ꧨޏ㰂╨谀菱怬톔怤廊怬炘͜ᳬ怞꨸ޏ㰛╨谀菱怬톔怤廊怬炘͜ᳬ怞ꪰޏ㰐╨谀菱怬톔怤廊怬炘͜ᳬ怞꬀ޏ㰩╨谀菱怬톔怤廊怬炘͜ᳬ怞ꭸޏ㰾╨谀菱怬톔怤廊怬炘͜ᳬ怞ꯈޏ㰷╨谀菱怬톔怤廊怬炘͜ᳬ怞걀ޏ㱌╨谀菱怬톔怤廊怬炘͜ᳬ怞겐ޏ㱅╨谀菱怬톔怤廊怬炘͜ᳬ怞고ޏ㱚╨谀菱怬톔怤廊怬炘͜ᳬ怞굘ޏ㱓╨谀菱怬톔怤廊怬炘͜ᳬ怞궨ޏ㱨╨谀菱怬톔怤廊怬炘͜ᳬ怞긠ޏ㱡╨谀菱怬톔怤廊怬炘͜ᳬ怞깰ޏ㱶╨谀菱怬톔怤廊怬炘͜ᳬ怞껀ޏ㲏╨谀菱怬톔怤廊怬炘͜ᳬ怞꼐ޏ㲄╨谀菱怬톔怤廊怬炘͜ᳬ怞꽠ޏ㲝╨谀菱怬톔怤廊怬炘͜ᳬ怞꾰ޏ㲒╨谀菱怬톔怤廊怬炘͜ᳬ怞뀨ޏ㲫╨谀菱怬톔怤廊怬炘͜ᳬ怞끸ޏ㲠╨谀菱怬톔怤廊怬炘͜ᳬ怞냰ޏ㲹╨谀菱怬톔怤廊怬炘͜ᳬ怞녀ޏ㳎╨谀菱怬톔怤廊怬炘͜ᳬ怞놐ޏ㳇╨谀菱怬톔怤廊怬炘͜ᳬ怞눈ޏ㳜╨谀菱怬톔怤廊怬炘͜ᳬ怞뉘ޏ㳕╨谀菱怬톔怤廊怬炘͜ᳬ怞닐ޏ㳪╨谀菱怬톔怤廊怬炘͜ᳬ怞댠ޏ㳣╨谀菱怬톔怤廊怬炘͜ᳬ怞됐ޏ㳸╨谀菱怬톔怤廊怬炘͜ᳬ怞둠ޏ㳱╨谀菱怬톔怤廊怬炘͜ᳬ怞뒰ޏ㴆╨谀菱怬톔怤廊怬炘͜ᳬ怞딀ޏ㴟╨谀菱怬톔怤廊怬炘͜ᳬ怞땐ޏ㴔╨谀菱怬톔怤廊怬炘͜ᳬ怞뗈ޏ㴭╨谀菱怬톔怤廊怬炘͜ᳬ怞똘ޏ㴢╨谀菱怬톔怤廊怬炘͜ᳬ怞뚐ޏ㴻╨谀菱怬톔怤廊怬炘͜ᳬ怞뛠ޏ㴰╨谀菱怬톔怤廊怬炘͜ᳬ怞뜰ޏ㵉╨谀菱怬톔怤廊怬炘͜ᳬ怞램ޏ㵞╨谀菱怬톔怤廊怬炘͜ᳬ怞렠ޏ㵗╨谀菱怬톔怤廊怬炘͜ᳬ怞롰ޏ㵬╨谀菱怬톔怤廊怬炘͜ᳬ怞룀ޏ㵥╨谀菱怬톔怤廊怬炘͜ᳬ怞뤸ޏ㵺╨谀菱怬톔怤廊怬炘͜ᳬ怞린ޏ㵳╨谀菱怬톔怤廊怬炘͜ᳬ怞먀ޏ㶈╨谀菱怬톔怤廊怬炘͜ᳬ怞멸ޏ㶁╨谀菱怬톔怤廊怬炘͜ᳬ怞뫰ޏ㶖╨谀菱怬톔怤廊怬炘͜ᳬ怞뭀ޏ㶯╨谀菱怬톔怤廊怬炘͜ᳬ怞뮐ޏ㶤╨谀菱怬톔怤廊怬炘͜ᳬ怞믠ޏ㶽╨谀菱怬톔怤廊怬炘͜ᳬ怞배ޏ㶲╨谀菱怬톔怤廊怬炘͜ᳬ怞벨ޏ㷋╨谀菱怬톔怤廊怬炘͜ᳬ怞본ޏ㷀╨谀菱怬톔怤廊怬炘͜ᳬ怞뵈ޏ㷙╨谀菱怬톔怤廊怬炘͜ᳬ怞뷀ޏ㷮╨谀菱怬톔怤廊怬炘͜ᳬ怞븸ޏ㷧╨谀菱怬톔怤廊怬炘͜ᳬ怞뺈ޏ㷼╨谀菱怬톔怤廊怬炘͜ᳬ怞뼀ޏ㷵╨谀菱怬톔怤廊怬炘͜ᳬ怞뽐ޏȊ╨谀菱怬톔怤廊怬炘͜ᳬ怞뿈ޏȃ╨谀菱怬톔怤廊怬炘͜ᳬ怞쀘ޏȘ╨谀菱怬톔怤廊怬炘͜ᳬ怞삐ޏȑ╨谀菱怬톔怤廊怬炘͜ᳬ怞섈ޏȦ╨谀菱怬톔怤廊怬炘͜ᳬ怞션ޏȿ╨谀菱怬톔怤廊怬炘͜ᳬ怞쇐ޏȴ╨谀菱怬톔怤廊怬炘͜ᳬ怞쉈ޏɍ╨谀菱怬톔怤廊怬炘͜ᳬ怞싀ޏɂ╨谀菱怬톔怤廊怬炘͜ᳬ怞쌐ޏɛ╨谀菱怬톔怤廊怬炘͜ᳬ怞쎈ޏɐ╨谀菱怬톔怤廊怬炘͜ᳬ怞쏘ޏɩ╨谀菱怬톔怤廊怬炘͜ᳬ怞쐨ޏɾ╨谀菱怬톔怤廊怬炘͜ᳬ怞쒠ޏɷ╨谀菱怬톔怤廊怬炘͜ᳬ怞쓰ޏʌ╨谀菱怬톔怤廊怬炘͜ᳬ怞앀ޏʅ╨谀菱怬톔怤廊怬炘͜ᳬ怞얐ޏʚ╨谀菱怬톔怤廊怬炘͜ᳬ怞예ޏʓ╨谀菱怬톔怤廊怬炘͜ᳬ怞욀ޏʨ╨谀菱怬톔怤廊怬炘͜ᳬ怞원ޏʡ╨谀菱怬톔怤廊怬炘͜ᳬ怞유ޏʶ╨谀菱怬톔怤廊怬炘͜ᳬ怞읰ޏˏ╨谀菱怬톔怤廊怬炘͜ᳬ怞쟀ޏ˄╨谀菱怬톔怤廊怬炘͜ᳬ怞점ޏ˝╨谀菱怬톔怤廊怬炘͜ᳬ怞좈ޏ˒╨谀菱怬톔怤廊怬炘͜ᳬ怞죘ޏ˫╨谀菱怬톔怤廊怬炘͜ᳬ怞줨ޏˠ╨谀菱怬톔怤廊怬炘͜ᳬ怞쥸ޏ˹╨谀菱怬톔怤廊怬炘͜ᳬ怞질ޏ̎╨谀菱怬톔怤廊怬炘͜ᳬ怞쨘ޏ̇╨谀菱怬톔怤廊怬炘͜ᳬ怞쪐ޏ̜╨谀菱怬톔怤廊怬炘͜ᳬ怞쫠ޏ̕╨谀菱怬톔怤廊怬炘͜ᳬ怞쬰ޏ̪╨谀菱怬톔怤廊怬炘͜ᳬ怞쮀ޏ̣╨谀菱怬톔怤廊怬炘͜ᳬ怞쯐ޏ̸╨谀菱怬톔怤廊怬炘͜ᳬ怞찠ޏ̱╨谀菱怬톔怤廊怬炘͜ᳬ怞처ޏ͆╨谀菱怬톔怤廊怬炘͜ᳬ怞쳨ޏ͟╨谀菱怬톔怤廊怬炘͜ᳬ怞쵠ޏ͔╨谀菱怬톔怤廊怬炘͜ᳬ怞춰ޏͭ╨谀菱怬톔怤廊怬炘͜ᳬ怞츨ޏ͢╨谀菱怬톔怤廊怬炘͜ᳬ怞칸ޏͻ╨谀菱怬톔怤廊怬炘͜ᳬ怞컈ޏͰ╨谀菱怬톔怤廊怬炘͜ᳬ怞콀ޏΉ╨谀菱怬톔怤廊怬炘͜ᳬ怞쾐ޏΞ╨谀菱怬톔怤廊怬炘͜ᳬ怞쿠ޏΗ╨谀菱怬톔怤廊怬炘͜ᳬ怞퀰ޏά╨谀菱怬톔怤廊怬炘͜ᳬ怞킨ޏΥ╨谀菱怬톔怤廊怬炘͜ᳬ怞탸ޏκ╨谀菱怬톔怤廊怬炘͜ᳬ怞텈ޏγ╨谀菱怬톔怤廊怬炘͜ᳬ怞톘ޏψ╨谀菱怬톔怤廊怬炘͜ᳬ怞퇨ޏρ╨谀菱怬톔怤廊怬炘͜ᳬ怞툸ޏϖ╨谀菱怬톔怤廊怬炘͜ᳬ怞튈ޏϯ╨谀菱怬톔怤廊怬炘͜ᳬ怞팀ޏϤ╨谀菱怬톔怤廊怬炘͜ᳬ怞퍐ޏϽ╨谀菱怬톔怤廊怬炘͜ᳬ怞펠ޏϲ╨谀菱怬톔怤廊怬炘͜ᳬ怞퐘ޏ╨谀菱怬톔怤廊怬炘͜ᳬ怞풐ޏ╨谀菱怬톔怤廊怬炘͜ᳬ怞퓠ޏ╨谀菱怬톔怤廊怬炘͜ᳬ怞하ޏ.╨谀菱怬톔怤廊怬炘͜ᳬ怞햨ޏ'╨谀菱怬톔怤廊怬炘͜ᳬ怞혠ޏ&lt;╨谀菱怬톔怤廊怬炘͜ᳬ怞홰ޏ5╨谀菱怬톔怤廊怬炘͜ᳬ怞훨ޏJ╨谀菱怬톔怤廊怬炘͜ᳬ怞휸ޏC╨谀菱怬톔怤廊怬炘͜ᳬ怞히ޏX╨谀菱怬톔怤廊怬炘͜ᳬ怞ퟘޏQ╨谀菱怬톔怤廊怬炘͜ᳬ怞ޏf╨谀菱怬톔怤廊怬炘͜ᳬ怞ޏ╨谀菱怬톔怤廊怬炘͜ᳬ怞ޏt╨谀菱怬톔怤廊怬炘͜ᳬ怞ޏ╨谀菱怬톔怤廊怬炘͜ᳬ怞ޏ╨谀菱怬톔怤廊怬炘͜ᳬ怞ޏ╨谀菱怬톔怤廊怬炘͜ᳬ怞ޏ╨谀菱怬톔怤廊怬炘͜ᳬ怞ޏ©╨谀菱怬톔怤廊怬炘͜ᳬ怞ޏ¾╨谀菱怬톔怤廊怬炘͜ᳬ怞ޏ·╨谀菱怬톔怤廊怬炘͜ᳬ怞ޏÌ╨谀菱怬톔怤廊怬炘͜ᳬ怞ޏÅ╨谀菱怬톔怤廊怬炘͜ᳬ怞ޏÚ╨谀菱怬톔怤廊怬炘͜ᳬ怞ޏÓ╨谀菱怬톔怤廊怬炘͜ᳬ怞ޏè╨谀菱怬톔怤廊怬炘͜ᳬ怞ޏá╨谀菱怬톔怤廊怬炘͜ᳬ怞ޏö╨谀菱怬톔怤廊怬炘͜ᳬ怞ޏď╨谀菱怬톔怤廊怬炘͜ᳬ怞ޏĄ╨谀菱怬톔怤廊怬炘͜ᳬ怞ޏĝ╨谀菱怬톔怤廊怬炘͜ᳬ怞ޏĒ╨谀菱怬톔怤廊怬炘͜ᳬ怞ޏī╨谀菱怬톔怤廊怬炘͜ᳬ怞ޏĠ╨谀菱怬톔怤廊怬炘͜ᳬ怞ޏĹ╨谀菱怬톔怤廊怬炘͜ᳬ怞ޏŎ╨谀菱怬톔怤廊怬炘͜ᳬ怞ޏŇ╨谀菱怬톔怤廊怬炘͜ᳬ怞ޏŜ╨谀菱怬톔怤廊怬炘͜ᳬ怞ޏŕ╨谀菱怬톔怤廊怬炘͜ᳬ怞ޏŪ╨谀菱怬톔怤廊怬炘͜ᳬ怞ޏţ╨谀菱怬톔怤廊怬炘͜ᳬ怞ޏŸ╨谀菱怬톔怤廊怬炘͜ᳬ怞ޏű╨谀菱怬톔怤廊怬炘͜ᳬ怞ޏƆ╨谀菱怬톔怤廊怬炘͜ᳬ怞ޏƟ╨谀菱怬톔怤廊怬炘͜ᳬ怞ޏƔ╨谀菱怬톔怤廊怬炘͜ᳬ怞ޏƭ╨谀菱怬톔怤廊怬炘͜ᳬ怞ޏƢ╨谀菱怬톔怤廊怬炘͜ᳬ怞ޏƻ╨谀菱怬톔怤廊怬炘͜ᳬ怞ޏư╨谀菱怬톔怤廊怬炘͜ᳬ怞ޏǉ╨谀菱怬톔怤廊怬炘͜ᳬ怞ޏǞ╨谀菱怬톔怤廊怬炘͜ᳬ怞ޏǗ╨谀菱怬톔怤廊怬炘͜ᳬ怞ޏǬ╨谀菱怬톔怤廊怬炘͜ᳬ怞ޏǥ╨谀菱怬톔怤廊怬炘͜ᳬ怞ޏǺ╨谀菱怬톔怤廊怬炘͜ᳬ怞ޏǳ╨谀菱怬톔怤廊怬炘͜ᳬ怞ޏ؈╨谀菱怬톔怤廊怬炘͜ᳬ怞ޏ؁╨谀菱怬톔怤廊怬炘͜ᳬ怞ޏؖ╨谀菱怬톔怤廊怬炘͜ᳬ怞ޏد╨谀菱怬톔怤廊怬炘͜ᳬ怞ޏؤ╨谀菱怬톔怤廊怬炘͜ᳬ怞ޏؽ╨谀菱怬톔怤廊怬炘͜ᳬ怞ޏز╨谀菱怬톔怤廊怬炘͜ᳬ怞ޏً╨谀菱怬톔怤廊怬炘͜ᳬ怞ޏـ╨谀菱怬톔怤廊怬炘͜ᳬ怞ޏٙ╨谀菱怬톔怤廊怬炘͜ᳬ怞ޏٮ╨谀菱怬톔怤廊怬炘͜ᳬ怞ޏ٧╨谀菱怬톔怤廊怬炘͜ᳬ怞ޏټ╨谀菱怬톔怤廊怬炘͜ᳬ怞ޏٵ╨谀菱怬톔怤廊怬炘͜ᳬ怞ޏڊ╨谀菱怬톔怤廊怬炘͜ᳬ怞ޏڃ╨谀菱怬톔怤廊怬炘͜ᳬ怞ޏژ╨谀菱怬톔怤廊怬炘͜ᳬ怞ޏڑ╨谀菱怬톔怤廊怬炘͜ᳬ怞ޏڦ╨谀菱怬톔怤廊怬炘͜ᳬ怞ޏڿ╨谀菱怬톔怤廊怬炘͜ᳬ怞ޏڴ╨谀菱怬톔怤廊怬炘͜ᳬ怞ޏۍ╨谀菱怬톔怤廊怬炘͜ᳬ怞ޏۂ╨谀菱怬톔怤廊怬炘͜ᳬ怞ޏۛ╨谀菱怬톔怤廊怬炘͜ᳬ怞ޏې╨谀菱怬톔怤廊怬炘͜ᳬ怞ޏ۩╨谀菱怬톔怤廊怬炘͜ᳬ怞ޏ۾╨谀菱怬톔怤廊怬炘͜ᳬ怞ޏ۷╨谀菱怬톔怤廊怬炘͜ᳬ怞ޏ܌╨谀菱怬톔怤廊怬炘͜ᳬ怞ޏ܅╨谀菱怬톔怤廊怬炘͜ᳬ怞ޏܚ╨谀菱怬톔怤廊怬炘͜ᳬ怞ޏܓ╨谀菱怬톔怤廊怬炘͜ᳬ怞ޏܨ╨谀菱怬톔怤廊怬炘͜ᳬ怞ޏܡ╨谀菱怬톔怤廊怬炘͜ᳬ怞ޏܶ╨蠀recomendacionesn Racial.ݏ╨谀菱怬톔怤廊怬炘͜ᳬ怞ޏ݄╨谀菱怬톔怤廊怬炘͜ᳬ怞ޏݝ╨谀菱怬톔怤廊怬炘͜ᳬ怞ޏݒ╨谀菱怬톔怤廊怬炘͜ᳬ怞ޏݫ╨谀菱怬톔怤廊怬炘͜ᳬ怞ޏݠ╨谀菱怬톔怤廊怬炘͜ᳬ怞ޏݹ╨谀菱怬톔怤廊怬炘͜ᳬ怞ޏގ╨谀菱怬톔怤廊怬炘͜ᳬ怞ޏއ╨谀菱怬톔怤廊怬炘͜ᳬ怞殺ޏޜ╨谀菱怬톔怤廊怬炘͜ᳬ怞燎ޏޕ╨谀菱怬톔怤廊怬炘͜ᳬ怞塚ޏު╨谀菱怬톔怤廊怬炘͜ᳬ怞愈ޏޣ╨谀菱怬톔怤廊怬炘͜ᳬ怞ﬀޏ޸╨谀菱怬톔怤廊怬炘͜ᳬ怞ﭸޏޱ╨谀菱怬톔怤廊怬炘͜ᳬ怞ﯰޏ߆╨谀菱怬톔怤廊怬炘͜ᳬ怞ﱀޏߟ╨谀菱怬톔怤廊怬炘͜ᳬ怞ﲸޏߔ╨谀菱怬톔怤廊怬炘͜ᳬ怞ﴈޏ߭╨谀菱怬톔怤廊怬炘͜ᳬ怞ﶀޏߢ╨谀菱怬톔怤廊怬炘͜ᳬ怞ﷸޏ߻╨谀菱怬톔怤廊怬炘͜ᳬ怞﹈ޏ߰╨谀菱怬톔怤廊怬炘͜ᳬ怞ﺘޏЉ╨谀菱怬톔怤廊怬炘͜ᳬ怞０ޏО╨谀菱怬톔怤廊怬炘͜ᳬ怞ﾈޏЗ╨谀菱怬톔怤廊怬炘͜ᳬ怞￘ޏЬ╨谀菱怬톔怤廊怬炘͜ᳬ怞PސХ╨谀菱怬톔怤廊怬炘͜ᳬ怞 ސк╨谀菱怬톔怤廊怬炘͜ᳬ怞Ęސг╨谀菱怬톔怤廊怬炘͜ᳬ怞Ũސш╨谀菱怬톔怤廊怬炘͜ᳬ怞Ƹސс╨谀菱怬톔怤廊怬炘͜ᳬ怞Ȱސі╨谀菱怬톔怤廊怬炘͜ᳬ怞ʀސѯ╨谀菱怬톔怤廊怬炘͜ᳬ怞˸ސѤ╨谀菱怬톔怤廊怬炘͜ᳬ怞Ͱސѽ╨谀菱怬톔怤廊怬炘͜ᳬ怞πސѲ╨谀菱怬톔怤廊怬炘͜ᳬ怞Аސҋ╨谀菱怬톔怤廊怬炘͜ᳬ怞҈ސҀ╨谀菱怬톔怤廊怬炘͜ᳬ怞Әސҙ╨谀菱怬톔怤廊怬炘͜ᳬ怞ԨސҮ╨谀菱怬톔怤廊怬炘͜ᳬ怞֠ސҧ╨谀菱怬톔怤廊怬炘͜ᳬ怞װސҼ╨谀菱怬톔怤廊怬炘͜ᳬ怞ـސҵ╨谀菱怬톔怤廊怬炘͜ᳬ怞ڸސӊ╨谀菱怬톔怤廊怬炘͜ᳬ怞ܰސӃ╨谀菱怬톔怤廊怬炘͜ᳬ怞ހސӘ╨谀菱怬톔怤廊怬炘͜ᳬ怞ߐސӑ╨谀菱怬톔怤廊怬炘͜ᳬ怞ࡈސӦ╨谀菱怬톔怤廊怬炘͜ᳬ怞ࣀސӿ╨谀菱怬톔怤廊怬炘͜ᳬ怞ऐސӴ╨谀菱怬톔怤廊怬炘͜ᳬ怞ॠސԍ╨谀菱怬톔怤廊怬炘͜ᳬ怞৘ސԂ╨谀菱怬톔怤廊怬炘͜ᳬ怞ਨސԛ╨谀菱怬톔怤廊怬炘͜ᳬ怞੸ސԐ╨谀菱怬톔怤廊怬炘͜ᳬ怞૰ސԩ╨谀菱怬톔怤廊怬炘͜ᳬ怞୨ސԾ╨谀菱怬톔怤廊怬炘͜ᳬ怞ஸސԷ╨谀菱怬톔怤廊怬炘͜ᳬ怞ఈސՌ╨谀菱"/>
        </w:smartTagPr>
        <w:r>
          <w:rPr>
            <w:i/>
          </w:rPr>
          <w:t>la Presidenta</w:t>
        </w:r>
      </w:smartTag>
      <w:r>
        <w:rPr>
          <w:i/>
        </w:rPr>
        <w:t>, la delegación de Finlandia vuelve a tomar asiento a la mesa del Comité.</w:t>
      </w:r>
    </w:p>
    <w:p w:rsidR="00000000" w:rsidRDefault="00000000">
      <w:pPr>
        <w:pStyle w:val="SingleTxtG"/>
      </w:pPr>
      <w:r>
        <w:t>2.</w:t>
      </w:r>
      <w:r>
        <w:tab/>
      </w:r>
      <w:r>
        <w:rPr>
          <w:b/>
        </w:rPr>
        <w:t>La Sra. Kurkinen</w:t>
      </w:r>
      <w:r>
        <w:t xml:space="preserve"> (Finlandia) dice que de conformidad con la ley sobre el Parlamento sami, cuya modificación no parece justificarse por ahora, es sami toda persona que se defina a sí misma como tal. Con miras a determinar una definición común de este grupo de población aplicable a todos los países nórdicos, los ministerios encargados de coordinar las cuestiones relativas a los sami en Finlandia, Suecia y Noruega así como los representantes de los parlamentos sami de cada uno de estos países se reúnen cada año para examinar la cuestión, con el objetivo de adoptar el proyecto de "Convención nórdica sami" antes de finalizar el año 2009.</w:t>
      </w:r>
    </w:p>
    <w:p w:rsidR="00000000" w:rsidRDefault="00000000">
      <w:pPr>
        <w:pStyle w:val="SingleTxtG"/>
      </w:pPr>
      <w:r>
        <w:t>3.</w:t>
      </w:r>
      <w:r>
        <w:tab/>
        <w:t xml:space="preserve">En relación con los derechos de los sami a la tenencia de tierras, parece que estos países no están listos para llegar a un consenso, y por el momento las discusiones relativas a esta cuestión se llevan a cabo a nivel ministerial. </w:t>
      </w:r>
    </w:p>
    <w:p w:rsidR="00000000" w:rsidRDefault="00000000">
      <w:pPr>
        <w:pStyle w:val="SingleTxtG"/>
      </w:pPr>
      <w:r>
        <w:t>4.</w:t>
      </w:r>
      <w:r>
        <w:tab/>
        <w:t>El Comité consultivo para los asuntos sami creado en 1963, integrado por representes de los ministerios de agricultura, de justicia y de educación así como por parlamentarios sami de Noruega, Suecia y Finlandia, se reúne, por su parte, dos veces al año. Además, los parlamentos sami de estos países han puesto en práctica un nuevo tipo de cooperación nórdica con la creación del Consejo parlamentario sami, que se reúne todos los años.</w:t>
      </w:r>
    </w:p>
    <w:p w:rsidR="00000000" w:rsidRDefault="00000000">
      <w:pPr>
        <w:pStyle w:val="SingleTxtG"/>
      </w:pPr>
      <w:r>
        <w:t>5.</w:t>
      </w:r>
      <w:r>
        <w:tab/>
        <w:t xml:space="preserve">En Finlandia, el sami tiene el estatuto de idioma regional minoritario y </w:t>
      </w:r>
      <w:smartTag w:uri="urn:schemas-microsoft-com:office:smarttags" w:element="PersonName">
        <w:smartTagPr>
          <w:attr w:name="ProductID" w:val="la Ley"/>
        </w:smartTagPr>
        <w:r>
          <w:t>la Ley</w:t>
        </w:r>
      </w:smartTag>
      <w:r>
        <w:t xml:space="preserve"> de idiomas autoriza a los miembros de este grupo a utilizar su idioma materno en sus relaciones con la justicia y las autoridades nacionales. Pero el personal de los servicios públicos que habla el sami todavía es relativamente escaso, lo que obliga a los indígenas a recurrir a los servicios de traductores e intérpretes. Por otra parte, los niños sami no pueden siempre seguir estudios en su idioma al abandonar el territorio sami. En la comuna de Inari subsisten dos idiomas sami, el sami de Inari y el sami de Skolt, cuyos locutores suman entre 300 y 400 personas cada uno.</w:t>
      </w:r>
    </w:p>
    <w:p w:rsidR="00000000" w:rsidRDefault="00000000">
      <w:pPr>
        <w:pStyle w:val="SingleTxtG"/>
      </w:pPr>
      <w:r>
        <w:t>6.</w:t>
      </w:r>
      <w:r>
        <w:tab/>
      </w:r>
      <w:r>
        <w:rPr>
          <w:b/>
        </w:rPr>
        <w:t>EL Sr. Makkonen</w:t>
      </w:r>
      <w:r>
        <w:t xml:space="preserve"> (Finlandia) dice que el Gobierno de Finlandia ha elaborado dos nuevos métodos para obtener datos sobre la eficacia de las medidas destinadas a favorecer la integración de los inmigrantes y a luchar contra la discriminación en todas sus formas. El primero, denominado método de "investigación barométrica", que debería aplicarse a partir de 2009, permitirá interrogar a los inmigrantes para conocer los factores que a su juicio entorpecen su integración, y preguntarles qué cambios recomendarían para mejorar la situación. El segundo método abarca un mecanismo estadístico que permite recopilar datos relativos a la integración, y en particular a la situación socioeconómica de los inmigrantes, mediante el uso de indicadores de calidad.</w:t>
      </w:r>
    </w:p>
    <w:p w:rsidR="00000000" w:rsidRDefault="00000000">
      <w:pPr>
        <w:pStyle w:val="SingleTxtG"/>
      </w:pPr>
      <w:r>
        <w:t>7.</w:t>
      </w:r>
      <w:r>
        <w:tab/>
        <w:t xml:space="preserve">Al Sr. Makkonen le cabe el placer de anunciar a los miembros del Comité que desde ahora los titulares de un permiso de residencia de tipo B tienen derecho a trabajar, en virtud de una enmienda de </w:t>
      </w:r>
      <w:smartTag w:uri="urn:schemas-microsoft-com:office:smarttags" w:element="PersonName">
        <w:smartTagPr>
          <w:attr w:name="ProductID" w:val="la Ley"/>
        </w:smartTagPr>
        <w:r>
          <w:t>la Ley</w:t>
        </w:r>
      </w:smartTag>
      <w:r>
        <w:t xml:space="preserve"> de extranjería adoptada por el Parlamento la víspera. Recuerda que los permisos B se conceden a las personas que han solicitado el asilo en Finlandia y no lo han obtenido, pero que no pueden ser devueltas a su país de origen por razones de seguridad. </w:t>
      </w:r>
    </w:p>
    <w:p w:rsidR="00000000" w:rsidRDefault="00000000">
      <w:pPr>
        <w:pStyle w:val="SingleTxtG"/>
      </w:pPr>
      <w:r>
        <w:t>8.</w:t>
      </w:r>
      <w:r>
        <w:tab/>
        <w:t xml:space="preserve">En 2008, fueron rechazadas 774 solicitudes de asilo presentadas en el marco del procedimiento acelerado de solicitud del derecho de asilo, en 501 casos debido a que la responsabilidad de examinar la cuestión en cuanto al fondo dependía de la jurisdicción de un país miembro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en 189 casos por estimarse infundadas y, en los 84 casos restantes, porque el solicitante procedía de un país "seguro".</w:t>
      </w:r>
    </w:p>
    <w:p w:rsidR="00000000" w:rsidRDefault="00000000">
      <w:pPr>
        <w:pStyle w:val="SingleTxtG"/>
      </w:pPr>
      <w:r>
        <w:t>9.</w:t>
      </w:r>
      <w:r>
        <w:tab/>
        <w:t xml:space="preserve">Las islas Ǻland son una provincia autónoma de Finlandia cuya lengua oficial es el sueco. Las autoridades de estas islas están habilitadas para legislar sobre todo lo pertinente a su territorio y determinadas esferas de la política socioeconómica, incluido el empleo. Así pues, en 2004 adoptaron su propia legislación en materia de no discriminación, que ha transpuesto las disposiciones de </w:t>
      </w:r>
      <w:smartTag w:uri="urn:schemas-microsoft-com:office:smarttags" w:element="PersonName">
        <w:smartTagPr>
          <w:attr w:name="ProductID" w:val="la Directiva"/>
        </w:smartTagPr>
        <w:r>
          <w:t>la Directiva</w:t>
        </w:r>
      </w:smartTag>
      <w:r>
        <w:t xml:space="preserve"> Nº 2000/43/CE del Consejo relativa a la aplicación del principio de igualdad de trato, así como de </w:t>
      </w:r>
      <w:smartTag w:uri="urn:schemas-microsoft-com:office:smarttags" w:element="PersonName">
        <w:smartTagPr>
          <w:attr w:name="ProductID" w:val="la Directiva"/>
        </w:smartTagPr>
        <w:r>
          <w:t>la Directiva</w:t>
        </w:r>
      </w:smartTag>
      <w:r>
        <w:t xml:space="preserve"> Nº 2000/78/CE del Consejo </w:t>
      </w:r>
      <w:r>
        <w:rPr>
          <w:bCs/>
        </w:rPr>
        <w:t>relativa al establecimiento de un marco general para la igualdad de trato en el empleo y la ocupación</w:t>
      </w:r>
      <w:r>
        <w:t xml:space="preserve">. Asimismo, se ha creado un puesto de </w:t>
      </w:r>
      <w:r>
        <w:rPr>
          <w:i/>
        </w:rPr>
        <w:t>Ombudsman</w:t>
      </w:r>
      <w:r>
        <w:t xml:space="preserve"> de las Minorías, así como un consejo encargado de luchar contra las discriminaciones.</w:t>
      </w:r>
    </w:p>
    <w:p w:rsidR="00000000" w:rsidRDefault="00000000">
      <w:pPr>
        <w:pStyle w:val="SingleTxtG"/>
      </w:pPr>
      <w:r>
        <w:t>10.</w:t>
      </w:r>
      <w:r>
        <w:tab/>
        <w:t>Un estudio realizado en 2007 en las islas Ǻland ha revelado que el 30% de los habitantes ya había sido víctima de discriminaciones por algún motivo, la mitad de ellas en el curso de los últimos 12 meses. El mayor número de discriminaciones se observó en la esfera del empleo. Por orden de importancia, éstas se fundaban en el sexo, la edad, las convicciones religiosas y el origen étnico. Asimismo, el 10% de las personas que declaraban haber sido víctimas de discriminaciones, lo habían sido debido a su origen étnico.</w:t>
      </w:r>
    </w:p>
    <w:p w:rsidR="00000000" w:rsidRDefault="00000000">
      <w:pPr>
        <w:pStyle w:val="SingleTxtG"/>
      </w:pPr>
      <w:r>
        <w:t>11.</w:t>
      </w:r>
      <w:r>
        <w:tab/>
        <w:t xml:space="preserve">Una de las "buenas prácticas" adoptadas en aplicación de la legislación sobre la no discriminación ha sido establecer la distribución de la carga de la prueba en materia civil y administrativa en cuestiones relativas a los actos de discriminación, lo que ha redundado en una mejor protección de las víctimas de discriminación. </w:t>
      </w:r>
    </w:p>
    <w:p w:rsidR="00000000" w:rsidRDefault="00000000">
      <w:pPr>
        <w:pStyle w:val="SingleTxtG"/>
      </w:pPr>
      <w:r>
        <w:t>12.</w:t>
      </w:r>
      <w:r>
        <w:tab/>
        <w:t>En los últimos años se han realizado dos encuestas para determinar si todos los ciudadanos tenían acceso a los restaurantes y otros establecimientos públicos en condiciones de igualdad, en particular mediante el método de "</w:t>
      </w:r>
      <w:r>
        <w:rPr>
          <w:i/>
        </w:rPr>
        <w:t>testing</w:t>
      </w:r>
      <w:r>
        <w:t>", con la intervención de dos personas de origen romaní. Los resultados fueron muy negativos porque estas personas no fueron admitidas en ninguno de los establecimientos donde se presentaron.</w:t>
      </w:r>
    </w:p>
    <w:p w:rsidR="00000000" w:rsidRDefault="00000000">
      <w:pPr>
        <w:pStyle w:val="SingleTxtG"/>
      </w:pPr>
      <w:r>
        <w:t>13.</w:t>
      </w:r>
      <w:r>
        <w:tab/>
        <w:t xml:space="preserve">Por lo que toca a la ciberdelincuencia, el </w:t>
      </w:r>
      <w:r>
        <w:rPr>
          <w:i/>
        </w:rPr>
        <w:t>Ombudsman</w:t>
      </w:r>
      <w:r>
        <w:t xml:space="preserve"> de las Minorías se ha centrado en los últimos años en la lucha contra el racismo por Internet y ha señalado varios casos a la policía. Lamentablemente, en la mayoría de los casos, las palabras racistas fueron difundidas por servidores establecidos en el extranjero, escapando así de la jurisdicción de las autoridades finlandesas. Se prevén nuevas medidas, como la posibilidad de imponer a los facilitadores de acceso la verificación del contenido de los foros de discusión para censurar las expresiones racistas u obligarlos a integrar en las páginas web un botón que permita a los usuarios señalar a la policía toda expresión racista con un solo clic.</w:t>
      </w:r>
    </w:p>
    <w:p w:rsidR="00000000" w:rsidRDefault="00000000">
      <w:pPr>
        <w:pStyle w:val="SingleTxtG"/>
      </w:pPr>
      <w:r>
        <w:t>14.</w:t>
      </w:r>
      <w:r>
        <w:tab/>
      </w:r>
      <w:r>
        <w:rPr>
          <w:b/>
        </w:rPr>
        <w:t>EL Sr. Cortes-Tellez</w:t>
      </w:r>
      <w:r>
        <w:t xml:space="preserve"> (Finlandia) dice que la campaña nacional de información sobre el tema "Sí, la igualdad es una prioridad" es el programa principal de sensibilización puesto en práctica por las autoridades finlandesas para luchar contra el racismo y la discriminación racial. Entre otras medidas adoptadas en la esfera de la sensibilización, el Ministerio de Educación otorga desde 1995 subvenciones a organizaciones no gubernamentales para que intervengan en las escuelas a fin de sensibilizar a los alumnos sobre el racismo. Asimismo, las autoridades finlandesas han puesto en práctica un programa trienal de lucha contra el racismo en los deportes, en particular el fútbol, destinado en especial a sensibilizar a los árbitros, a los entrenadores y a los aficionados sobre el problema de los insultos racistas en los estadios.</w:t>
      </w:r>
    </w:p>
    <w:p w:rsidR="00000000" w:rsidRDefault="00000000">
      <w:pPr>
        <w:pStyle w:val="SingleTxtG"/>
      </w:pPr>
      <w:r>
        <w:t>15.</w:t>
      </w:r>
      <w:r>
        <w:tab/>
      </w:r>
      <w:r>
        <w:rPr>
          <w:b/>
        </w:rPr>
        <w:t>El Sr. Prosper</w:t>
      </w:r>
      <w:r>
        <w:t xml:space="preserve"> pregunta qué medidas de orden tecnológico ha adoptado Finlandia para luchar contra los sitos y otros foros racistas en Internet. En particular, el Gobierno podría sencillamente prever la prohibición del acceso a sitios racistas extranjeros.</w:t>
      </w:r>
    </w:p>
    <w:p w:rsidR="00000000" w:rsidRDefault="00000000">
      <w:pPr>
        <w:pStyle w:val="SingleTxtG"/>
      </w:pPr>
      <w:r>
        <w:t>16.</w:t>
      </w:r>
      <w:r>
        <w:tab/>
      </w:r>
      <w:r>
        <w:rPr>
          <w:b/>
        </w:rPr>
        <w:t>El Sr. Lahiri</w:t>
      </w:r>
      <w:r>
        <w:t xml:space="preserve"> dice que, a su entender, después de entrar en vigor en febrero de 2004, el Tribunal Nacional contra </w:t>
      </w:r>
      <w:smartTag w:uri="urn:schemas-microsoft-com:office:smarttags" w:element="PersonName">
        <w:smartTagPr>
          <w:attr w:name="ProductID" w:val="la Discriminaci￳n"/>
        </w:smartTagPr>
        <w:r>
          <w:t>la Discriminación</w:t>
        </w:r>
      </w:smartTag>
      <w:r>
        <w:t xml:space="preserve"> ha examinado sólo seis casos de discriminación. Sería también conveniente que el Estado parte divulgara entre la población los mecanismos existentes para luchar contra la discriminación e incitara a las víctimas a utilizarlos. Deplora que Finlandia no reúna datos basados en el origen étnico, porque sin esos datos, el Comité y demás órganos convencionales no disponen siempre de los medios para comprender debidamente la situación de las minorías y de los extranjeros en tal o cual país. Por otra parte, destaca que la recolección de datos sobre el origen étnico no constituye necesariamente un atentado contra la vida privada y no compromete sistemáticamente el carácter confidencial de los datos privados. Se felicita de que se haya enmendado </w:t>
      </w:r>
      <w:smartTag w:uri="urn:schemas-microsoft-com:office:smarttags" w:element="PersonName">
        <w:smartTagPr>
          <w:attr w:name="ProductID" w:val="la Ley"/>
        </w:smartTagPr>
        <w:r>
          <w:t>la Ley</w:t>
        </w:r>
      </w:smartTag>
      <w:r>
        <w:t xml:space="preserve"> de extranjería de 2004, en especial para permitir que los extranjeros titulares de un permiso de residencia temporal puedan trabajar, pero con todo, observa con inquietud que la discriminación racial perdura en la esfera del empleo en la medida en que hay muchos más extranjeros que finlandeses desempleados. Invita a la delegación a que proporcione al Comité información complementaria a este respecto.</w:t>
      </w:r>
    </w:p>
    <w:p w:rsidR="00000000" w:rsidRDefault="00000000">
      <w:pPr>
        <w:pStyle w:val="SingleTxtG"/>
      </w:pPr>
      <w:r>
        <w:t>17.</w:t>
      </w:r>
      <w:r>
        <w:tab/>
      </w:r>
      <w:r>
        <w:rPr>
          <w:b/>
        </w:rPr>
        <w:t>El Sr. Diaconu</w:t>
      </w:r>
      <w:r>
        <w:t xml:space="preserve"> dice que Finlandia debería encontrar métodos novedosos para controlar mejor y prohibir la difusión de emisiones racistas por Internet, por ejemplo, adoptando medidas contra los usuarios de sitios racistas, indistintamente del país de registro del sitio.</w:t>
      </w:r>
    </w:p>
    <w:p w:rsidR="00000000" w:rsidRDefault="00000000">
      <w:pPr>
        <w:pStyle w:val="SingleTxtG"/>
      </w:pPr>
      <w:r>
        <w:t>18.</w:t>
      </w:r>
      <w:r>
        <w:tab/>
      </w:r>
      <w:r>
        <w:rPr>
          <w:b/>
        </w:rPr>
        <w:t>El Sr. Lindgren Alves</w:t>
      </w:r>
      <w:r>
        <w:t xml:space="preserve"> desearía saber por qué razones Finlandia, como la mayoría de los países europeos, prohíbe recolectar datos sobre el origen étnico de sus habitantes. Observando en el párrafo 5 del informe que se examina que los rusos, los estonios, los suecos y los somalíes constituyen los grupos más numerosos de extranjeros residentes en Finlandia, desearía asimismo saber si se reconoce a estos grupos como minorías nacionales y, en su caso, si están representados de una u otra manera en las instituciones públicas. Por último, desearía saber si Finlandia es parte en el Convenio Marco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para la protección de las minorías nacionales.</w:t>
      </w:r>
    </w:p>
    <w:p w:rsidR="00000000" w:rsidRDefault="00000000">
      <w:pPr>
        <w:pStyle w:val="SingleTxtG"/>
      </w:pPr>
      <w:r>
        <w:t>19.</w:t>
      </w:r>
      <w:r>
        <w:tab/>
      </w:r>
      <w:r>
        <w:rPr>
          <w:b/>
        </w:rPr>
        <w:t>El Sr. de Gouttes</w:t>
      </w:r>
      <w:r>
        <w:t xml:space="preserve"> desearía obtener información complementaria sobre el estudio realizado por el Consejo de Europa que, a su entender, tiene que ver con el tratamiento acelerado de las cuestiones relativas a los derechos humanos. Por otra parte, en sus respuestas orales, la delegación ha evocado un proyecto de elaboración de indicadores de integración de las personas pertenecientes a grupos minoritarios. El experto desearía saber más sobre este último tema.</w:t>
      </w:r>
    </w:p>
    <w:p w:rsidR="00000000" w:rsidRDefault="00000000">
      <w:pPr>
        <w:pStyle w:val="SingleTxtG"/>
      </w:pPr>
      <w:r>
        <w:t>20.</w:t>
      </w:r>
      <w:r>
        <w:tab/>
      </w:r>
      <w:r>
        <w:rPr>
          <w:b/>
        </w:rPr>
        <w:t>El Sr. Murillo Martínez</w:t>
      </w:r>
      <w:r>
        <w:t xml:space="preserve"> desearía información sobre el número de extranjeros detenidos en las prisiones finlandesas. Leyendo con sorpresa en el párrafo 142 del informe que se examina que "se suele distribuir a los reclusos en los distintos pabellones según el color de la piel", pide a la delegación que explique lo que significa esta frase.</w:t>
      </w:r>
    </w:p>
    <w:p w:rsidR="00000000" w:rsidRDefault="00000000">
      <w:pPr>
        <w:pStyle w:val="SingleTxtG"/>
      </w:pPr>
      <w:r>
        <w:t>21.</w:t>
      </w:r>
      <w:r>
        <w:tab/>
      </w:r>
      <w:r>
        <w:rPr>
          <w:b/>
        </w:rPr>
        <w:t>El Sr. Kosonen</w:t>
      </w:r>
      <w:r>
        <w:t xml:space="preserve"> (Finlandia) dice que el estudio que está realizando actualmente el Consejo de Europa no tiene que ver con el tratamiento acelerado de las cuestiones relativas a los derechos humanos, sino con un procedimiento acelerado del otorgamiento del asilo, y la elaboración de nuevas directrices para la protección de los derechos fundamentales de los solicitantes de asilo en todos los países de la Unión Europea. Finlandia es parte en el Convenio Marco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para la protección de las minorías nacionales y ha participado activamente en los trabajos de redacción de dicho instrumento, pese a que no reconoce oficialmente a ninguna minoría nacional.</w:t>
      </w:r>
    </w:p>
    <w:p w:rsidR="00000000" w:rsidRDefault="00000000">
      <w:pPr>
        <w:pStyle w:val="SingleTxtG"/>
      </w:pPr>
      <w:r>
        <w:t>22.</w:t>
      </w:r>
      <w:r>
        <w:tab/>
      </w:r>
      <w:r>
        <w:rPr>
          <w:b/>
        </w:rPr>
        <w:t>El Sr. Makkonen</w:t>
      </w:r>
      <w:r>
        <w:t xml:space="preserve"> (Finlandia) indica que Finlandia ha tropezado con ciertas dificultades al intentar, sin violar con ello la libertad de expresión, reprimir y sancionar a los sitios Internet que divulgan teorías e ideas racistas. Sin embargo, las autoridades finlandesas se esfuerzan por encontrar soluciones adaptadas para luchar contras las actividades de esta índole. </w:t>
      </w:r>
    </w:p>
    <w:p w:rsidR="00000000" w:rsidRDefault="00000000">
      <w:pPr>
        <w:pStyle w:val="SingleTxtG"/>
      </w:pPr>
      <w:r>
        <w:t>23.</w:t>
      </w:r>
      <w:r>
        <w:tab/>
        <w:t xml:space="preserve">El Tribunal Nacional contra </w:t>
      </w:r>
      <w:smartTag w:uri="urn:schemas-microsoft-com:office:smarttags" w:element="PersonName">
        <w:smartTagPr>
          <w:attr w:name="ProductID" w:val="la Discriminaci￳n"/>
        </w:smartTagPr>
        <w:r>
          <w:t>la Discriminación</w:t>
        </w:r>
      </w:smartTag>
      <w:r>
        <w:t xml:space="preserve"> se ha ocupado de un centenar de casos desde su creación en 2004 y varias de sus decisiones constituyen actualmente parte de la jurisprudencia, en particular las adoptadas en el marco de casos relativos a la segregación de </w:t>
      </w:r>
      <w:r>
        <w:rPr>
          <w:iCs/>
        </w:rPr>
        <w:t>facto en los establecimientos escolares. En particular, esta instancia ha adoptado medidas para garantizar una difusión más eficaz de sus decisiones y ha creado un sitio Internet para alentar a otras víctimas potenciales de discriminaciones ha presentar denuncias</w:t>
      </w:r>
      <w:r>
        <w:t>.</w:t>
      </w:r>
    </w:p>
    <w:p w:rsidR="00000000" w:rsidRDefault="00000000">
      <w:pPr>
        <w:pStyle w:val="SingleTxtG"/>
      </w:pPr>
      <w:r>
        <w:t>24.</w:t>
      </w:r>
      <w:r>
        <w:tab/>
        <w:t xml:space="preserve">En cuanto al origen de la legislación nacional de protección de los datos, el representante de Finlandia explica que ésta fue promulgada para transponer en derecho finlandés las disposiciones de </w:t>
      </w:r>
      <w:smartTag w:uri="urn:schemas-microsoft-com:office:smarttags" w:element="PersonName">
        <w:smartTagPr>
          <w:attr w:name="ProductID" w:val="켘"/>
        </w:smartTagPr>
        <w:r>
          <w:t>la Convención</w:t>
        </w:r>
      </w:smartTag>
      <w:r>
        <w:t xml:space="preserve"> para la protección de las personas en relación con el tratamiento automatizado de los datos de carácter personal y de las directivas subsecuentes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sobre la protección de los datos personales y la libre circulación y sobre la vida privada y las comunicaciones electrónicas. La legislación finlandesa sobre la protección de los datos también ha dado lugar a la creación de un </w:t>
      </w:r>
      <w:r>
        <w:rPr>
          <w:i/>
        </w:rPr>
        <w:t>Ombudsman</w:t>
      </w:r>
      <w:r>
        <w:t xml:space="preserve"> que vela por la legalidad de los procedimientos de tratamiento de los datos personales.</w:t>
      </w:r>
    </w:p>
    <w:p w:rsidR="00000000" w:rsidRDefault="00000000">
      <w:pPr>
        <w:pStyle w:val="SingleTxtG"/>
      </w:pPr>
      <w:r>
        <w:t>25.</w:t>
      </w:r>
      <w:r>
        <w:tab/>
        <w:t>En relación con la cuestión de la recolección de datos sobre los orígenes étnicos, el Sr. Makkonen reconoce que dicha cuestión no ha sido tratada a nivel nacional porque muchas organizaciones y asociaciones representativas de las minorías, en particular de los romaníes, se oponen tenazmente a este principio.</w:t>
      </w:r>
    </w:p>
    <w:p w:rsidR="00000000" w:rsidRDefault="00000000">
      <w:pPr>
        <w:pStyle w:val="SingleTxtG"/>
      </w:pPr>
      <w:r>
        <w:t>26.</w:t>
      </w:r>
      <w:r>
        <w:tab/>
      </w:r>
      <w:r>
        <w:rPr>
          <w:b/>
        </w:rPr>
        <w:t>La Sra. Kurkinen</w:t>
      </w:r>
      <w:r>
        <w:t xml:space="preserve"> (Finlandia) indica que unos 300 extranjeros y aproximadamente 170 romaníes se encuentra encarcelados en Finlandia. </w:t>
      </w:r>
    </w:p>
    <w:p w:rsidR="00000000" w:rsidRDefault="00000000">
      <w:pPr>
        <w:pStyle w:val="SingleTxtG"/>
      </w:pPr>
      <w:r>
        <w:t>27.</w:t>
      </w:r>
      <w:r>
        <w:tab/>
      </w:r>
      <w:r>
        <w:rPr>
          <w:b/>
        </w:rPr>
        <w:t>El Sr. Kemal</w:t>
      </w:r>
      <w:r>
        <w:t xml:space="preserve"> (Relator para Finlandia) desea saber si Finlandia concede el asilo a las personas que han huido de conflictos armados, en particular a los somalíes, y cómo el Estado parte se ocupa de estas personas. </w:t>
      </w:r>
    </w:p>
    <w:p w:rsidR="00000000" w:rsidRDefault="00000000">
      <w:pPr>
        <w:pStyle w:val="SingleTxtG"/>
      </w:pPr>
      <w:r>
        <w:t>28.</w:t>
      </w:r>
      <w:r>
        <w:tab/>
      </w:r>
      <w:r>
        <w:rPr>
          <w:b/>
        </w:rPr>
        <w:t>El Sr. Cortes-Tellez</w:t>
      </w:r>
      <w:r>
        <w:t xml:space="preserve"> (Finlandia) dice que Finlandia ha adquirido cierta experiencia de la protección temporal de personas que huyen de conflictos armados, principalmente de nacionales de la ex Yugoslavia, algunos de los cuales han regresado a su país, en contraste con otros, que han decidido permanecer en Finlandia. Explica que a principios del decenio de 1990 llegaron a Finlandia muchos somalíes, a raíz de los conflictos armados que azotaban su país. Gracias a la política de reunión de la familia puesta en práctica por el Estado parte, la inmigración somalí se ha mantenido constante en los últimos años. Sin embargo, recuerda que Finlandia dispone de una política oficial de cuotas en materia de admisión de refugiados, a semejanza de otros 10 u 11 países del mundo, y que, en consecuencia, su capacidad de acogida es limitada. </w:t>
      </w:r>
    </w:p>
    <w:p w:rsidR="00000000" w:rsidRDefault="00000000">
      <w:pPr>
        <w:pStyle w:val="SingleTxtG"/>
      </w:pPr>
      <w:r>
        <w:t>29.</w:t>
      </w:r>
      <w:r>
        <w:tab/>
      </w:r>
      <w:r>
        <w:rPr>
          <w:b/>
        </w:rPr>
        <w:t>El Sr. Kemal</w:t>
      </w:r>
      <w:r>
        <w:t xml:space="preserve"> (Relator para Finlandia) agradece a la delegación de Finlandia su valiosa cooperación. Se felicita del diálogo franco y abierto entablado con la delegación finlandesa así como de la calidad de las respuestas del Estado parte, tanto escritas como orales. El Relator alienta a las autoridades finlandesas a incrementar sus esfuerzos en relación con los jóvenes de </w:t>
      </w:r>
      <w:smartTag w:uri="urn:schemas-microsoft-com:office:smarttags" w:element="metricconverter">
        <w:smartTagPr>
          <w:attr w:name="ProductID" w:val="14 a"/>
        </w:smartTagPr>
        <w:r>
          <w:t>14 a</w:t>
        </w:r>
      </w:smartTag>
      <w:r>
        <w:t xml:space="preserve"> 17 años de edad a fin de sensibilizarlos más a la tolerancia y la armonía racial.</w:t>
      </w:r>
    </w:p>
    <w:p w:rsidR="00000000" w:rsidRDefault="00000000">
      <w:pPr>
        <w:pStyle w:val="SingleTxtG"/>
      </w:pPr>
      <w:r>
        <w:t>30.</w:t>
      </w:r>
      <w:r>
        <w:tab/>
      </w:r>
      <w:r>
        <w:rPr>
          <w:b/>
        </w:rPr>
        <w:t>El Sr. Kosonen</w:t>
      </w:r>
      <w:r>
        <w:t xml:space="preserve"> (Finlandia) dice que la eliminación del racismo es un objetivo constante de su país, que exige esfuerzos permanentes. Espera que los comentarios de su delegación se integren en las observaciones finales del Comité y garantiza que todas las medidas correctivas que el Comité estime necesarias serán rigurosamente analizadas por Finlandia. </w:t>
      </w:r>
    </w:p>
    <w:p w:rsidR="00000000" w:rsidRDefault="00000000">
      <w:pPr>
        <w:pStyle w:val="SingleTxtG"/>
      </w:pPr>
      <w:r>
        <w:t>31.</w:t>
      </w:r>
      <w:r>
        <w:tab/>
      </w:r>
      <w:r>
        <w:rPr>
          <w:b/>
        </w:rPr>
        <w:t>La Presidenta</w:t>
      </w:r>
      <w:r>
        <w:t xml:space="preserve"> se felicita de la calidad del informe periódico de Finlandia así como de las respuestas claras y francas aportadas por su delegación a las preguntas que figuran en la lista de cuestiones que han de abordarse, y a las observaciones de los miembros del Comité. Espera que este diálogo se mantenga.</w:t>
      </w:r>
    </w:p>
    <w:p w:rsidR="00000000" w:rsidRDefault="00000000">
      <w:pPr>
        <w:pStyle w:val="SingleTxtG"/>
      </w:pPr>
      <w:r>
        <w:rPr>
          <w:iCs/>
        </w:rPr>
        <w:t>32.</w:t>
      </w:r>
      <w:r>
        <w:rPr>
          <w:iCs/>
        </w:rPr>
        <w:tab/>
      </w:r>
      <w:r>
        <w:rPr>
          <w:i/>
        </w:rPr>
        <w:t>La delegación de Finlandia se retira</w:t>
      </w:r>
      <w:r>
        <w:t>.</w:t>
      </w:r>
    </w:p>
    <w:p w:rsidR="00000000" w:rsidRDefault="00000000">
      <w:pPr>
        <w:pStyle w:val="SingleTxtG"/>
      </w:pPr>
      <w:r>
        <w:rPr>
          <w:i/>
        </w:rPr>
        <w:t>Se suspende la sesión a las 11.50 horas y se reanuda a las 12.10 horas</w:t>
      </w:r>
      <w:r>
        <w:t>.</w:t>
      </w:r>
    </w:p>
    <w:p w:rsidR="00000000" w:rsidRDefault="00000000">
      <w:pPr>
        <w:pStyle w:val="H23G"/>
      </w:pPr>
      <w:r>
        <w:tab/>
      </w:r>
      <w:r>
        <w:tab/>
        <w:t xml:space="preserve">Procedimiento de seguimiento </w:t>
      </w:r>
      <w:r>
        <w:rPr>
          <w:b w:val="0"/>
        </w:rPr>
        <w:t>(tema 8 del programa)</w:t>
      </w:r>
    </w:p>
    <w:p w:rsidR="00000000" w:rsidRDefault="00000000">
      <w:pPr>
        <w:pStyle w:val="H23G"/>
        <w:rPr>
          <w:b w:val="0"/>
          <w:i/>
        </w:rPr>
      </w:pPr>
      <w:r>
        <w:tab/>
      </w:r>
      <w:r>
        <w:tab/>
      </w:r>
      <w:r>
        <w:rPr>
          <w:b w:val="0"/>
          <w:i/>
        </w:rPr>
        <w:t>Bosnia y Herzegovina (CERD/C/BIH/CO/6/Add.1)</w:t>
      </w:r>
    </w:p>
    <w:p w:rsidR="00000000" w:rsidRDefault="00000000">
      <w:pPr>
        <w:pStyle w:val="SingleTxtG"/>
      </w:pPr>
      <w:r>
        <w:t>33.</w:t>
      </w:r>
      <w:r>
        <w:tab/>
      </w:r>
      <w:r>
        <w:rPr>
          <w:b/>
        </w:rPr>
        <w:t>El Sr. Amir</w:t>
      </w:r>
      <w:r>
        <w:t xml:space="preserve"> (Coordinador para el seguimiento de las observaciones finales del Comité) recuerda que el 8 de marzo del 2006, el Comité adoptó sus observaciones finales sobre el informe inicial y los informes periódicos segundo a sexto de Bosnia y Herzegovina (CERD/C/BIH/CO/6). Bosnia y Herzegovina ha enviado elementos de respuesta en relación con estas observaciones en un documento de fecha 12 de noviembre de 2007, publicado con la signatura CERD/C/BIH/CO/6/Add.1.</w:t>
      </w:r>
    </w:p>
    <w:p w:rsidR="00000000" w:rsidRDefault="00000000">
      <w:pPr>
        <w:pStyle w:val="SingleTxtG"/>
      </w:pPr>
      <w:r>
        <w:t>34.</w:t>
      </w:r>
      <w:r>
        <w:tab/>
        <w:t xml:space="preserve">El Sr. Amir recuerda que en el párrafo 11 de sus observaciones finales anteriormente mencionadas, relativas a Bosnia y Herzegovina, el Comité manifestó su profunda preocupación de que, de conformidad con los artículos IV y V de </w:t>
      </w:r>
      <w:smartTag w:uri="urn:schemas-microsoft-com:office:smarttags" w:element="PersonName">
        <w:smartTagPr>
          <w:attr w:name="ProductID" w:val="la Constituci￳n"/>
        </w:smartTagPr>
        <w:r>
          <w:t>la Constitución</w:t>
        </w:r>
      </w:smartTag>
      <w:r>
        <w:t xml:space="preserve"> del Estado, sólo puedan ser elegidas a </w:t>
      </w:r>
      <w:smartTag w:uri="urn:schemas-microsoft-com:office:smarttags" w:element="PersonName">
        <w:smartTagPr>
          <w:attr w:name="ProductID" w:val="la C￡mara"/>
        </w:smartTagPr>
        <w:r>
          <w:t>la Cámara</w:t>
        </w:r>
      </w:smartTag>
      <w:r>
        <w:t xml:space="preserve"> de los Pueblos y a </w:t>
      </w:r>
      <w:smartTag w:uri="urn:schemas-microsoft-com:office:smarttags" w:element="PersonName">
        <w:smartTagPr>
          <w:attr w:name="ProductID" w:val="la Presidencia"/>
        </w:smartTagPr>
        <w:r>
          <w:t>la Presidencia</w:t>
        </w:r>
      </w:smartTag>
      <w:r>
        <w:t xml:space="preserve"> tripartita de Bosnia y Herzegovina las personas pertenecientes a uno de los grupos que la ley considera "pueblos constitutivos" de Bosnia y Herzegovina (bosnios, croatas y serbios), y siempre que dicho grupo sea además mayoritario en </w:t>
      </w:r>
      <w:smartTag w:uri="urn:schemas-microsoft-com:office:smarttags" w:element="PersonName">
        <w:smartTagPr>
          <w:attr w:name="ProductID" w:val="la Entidad"/>
        </w:smartTagPr>
        <w:r>
          <w:t>la Entidad</w:t>
        </w:r>
      </w:smartTag>
      <w:r>
        <w:t xml:space="preserve"> de residencia de esas personas (por ejemplo, los bosnios y croatas en </w:t>
      </w:r>
      <w:smartTag w:uri="urn:schemas-microsoft-com:office:smarttags" w:element="PersonName">
        <w:smartTagPr>
          <w:attr w:name="ProductID" w:val="la Federaci￳n"/>
        </w:smartTagPr>
        <w:r>
          <w:t>la Federación</w:t>
        </w:r>
      </w:smartTag>
      <w:r>
        <w:t xml:space="preserve"> de Bosnia y Herzegovina, y los serbios en </w:t>
      </w:r>
      <w:smartTag w:uri="urn:schemas-microsoft-com:office:smarttags" w:element="PersonName">
        <w:smartTagPr>
          <w:attr w:name="ProductID" w:val="la Republika Srpska"/>
        </w:smartTagPr>
        <w:r>
          <w:t>la Republika Srpska</w:t>
        </w:r>
      </w:smartTag>
      <w:r>
        <w:t xml:space="preserve">). Por consiguiente, la actual estructura jurídica excluye de </w:t>
      </w:r>
      <w:smartTag w:uri="urn:schemas-microsoft-com:office:smarttags" w:element="PersonName">
        <w:smartTagPr>
          <w:attr w:name="ProductID" w:val="la C￡mara"/>
        </w:smartTagPr>
        <w:r>
          <w:t>la Cámara</w:t>
        </w:r>
      </w:smartTag>
      <w:r>
        <w:t xml:space="preserve"> de los Pueblos y de </w:t>
      </w:r>
      <w:smartTag w:uri="urn:schemas-microsoft-com:office:smarttags" w:element="PersonName">
        <w:smartTagPr>
          <w:attr w:name="ProductID" w:val="la Presidencia"/>
        </w:smartTagPr>
        <w:r>
          <w:t>la Presidencia</w:t>
        </w:r>
      </w:smartTag>
      <w:r>
        <w:t xml:space="preserve"> a "los otros", como se les denomina, es decir a las personas que pertenecen a minorías nacionales o grupos étnicos distintos de los bosnios, croatas o serbios. Por ello, el Comité había instado enérgicamente al Estado parte a que modificase las disposiciones pertinentes de </w:t>
      </w:r>
      <w:smartTag w:uri="urn:schemas-microsoft-com:office:smarttags" w:element="PersonName">
        <w:smartTagPr>
          <w:attr w:name="ProductID" w:val="la Constituci￳n"/>
        </w:smartTagPr>
        <w:r>
          <w:t>la Constitución</w:t>
        </w:r>
      </w:smartTag>
      <w:r>
        <w:t xml:space="preserve"> </w:t>
      </w:r>
      <w:r>
        <w:rPr>
          <w:bCs/>
        </w:rPr>
        <w:t xml:space="preserve">del Estado y de </w:t>
      </w:r>
      <w:smartTag w:uri="urn:schemas-microsoft-com:office:smarttags" w:element="PersonName">
        <w:smartTagPr>
          <w:attr w:name="ProductID" w:val="la Ley"/>
        </w:smartTagPr>
        <w:r>
          <w:rPr>
            <w:bCs/>
          </w:rPr>
          <w:t>la Ley</w:t>
        </w:r>
      </w:smartTag>
      <w:r>
        <w:rPr>
          <w:bCs/>
        </w:rPr>
        <w:t xml:space="preserve"> electoral para garantizar la igualdad de todos los ciudadanos, independientemente de su etnia, en el disfrute del derecho a votar y a presentarse a las elecciones</w:t>
      </w:r>
      <w:r>
        <w:t>.</w:t>
      </w:r>
    </w:p>
    <w:p w:rsidR="00000000" w:rsidRDefault="00000000">
      <w:pPr>
        <w:pStyle w:val="SingleTxtG"/>
      </w:pPr>
      <w:r>
        <w:t>35.</w:t>
      </w:r>
      <w:r>
        <w:tab/>
        <w:t xml:space="preserve">El Sr. Amir indica que en sus respuestas, el Estado parte señala que el acuerdo sobre la enmienda de </w:t>
      </w:r>
      <w:smartTag w:uri="urn:schemas-microsoft-com:office:smarttags" w:element="PersonName">
        <w:smartTagPr>
          <w:attr w:name="ProductID" w:val="la Constituci￳n"/>
        </w:smartTagPr>
        <w:r>
          <w:t>la Constitución</w:t>
        </w:r>
      </w:smartTag>
      <w:r>
        <w:t xml:space="preserve"> fue firmado en marzo de 2006, pero que las modificaciones previstas no han podido adoptarse por no haberse reunido la mayoría parlamentaria exigida de las dos terceras partes. Habrían permitido que el Estado parte renunciara al principio de una presidencia colectiva y de nombrar a un presidente y a dos vicepresidentes que no podrían pertenecer al mismo grupo de población. Además, se habría atribuido tres curules de </w:t>
      </w:r>
      <w:smartTag w:uri="urn:schemas-microsoft-com:office:smarttags" w:element="PersonName">
        <w:smartTagPr>
          <w:attr w:name="ProductID" w:val="la C￡mara"/>
        </w:smartTagPr>
        <w:r>
          <w:t>la Cámara</w:t>
        </w:r>
      </w:smartTag>
      <w:r>
        <w:t xml:space="preserve"> de representantes a miembros de las minorías nacionales. Se convoca a los partidos políticos que firmaron este acuerdo a reanudar los trabajos con miras a modificar </w:t>
      </w:r>
      <w:smartTag w:uri="urn:schemas-microsoft-com:office:smarttags" w:element="PersonName">
        <w:smartTagPr>
          <w:attr w:name="ProductID" w:val="la Constituci￳n"/>
        </w:smartTagPr>
        <w:r>
          <w:t>la Constitución</w:t>
        </w:r>
      </w:smartTag>
      <w:r>
        <w:t xml:space="preserve"> después de las elecciones legislativas generales de 2006.</w:t>
      </w:r>
    </w:p>
    <w:p w:rsidR="00000000" w:rsidRDefault="00000000">
      <w:pPr>
        <w:pStyle w:val="SingleTxtG"/>
      </w:pPr>
      <w:r>
        <w:t>36.</w:t>
      </w:r>
      <w:r>
        <w:tab/>
        <w:t xml:space="preserve">En relación con el párrafo 11 de las observaciones finales del Comité, el Sr. Amir propone que el Comité se felicite de la información comunicada por el Estado parte pero dice estar muy preocupado por el hecho de que no se hayan adoptado las enmiendas constitucionales propuestas. El Comité podría exhortar una vez más al Estado parte a que enmiende las disposiciones pertinentes de </w:t>
      </w:r>
      <w:smartTag w:uri="urn:schemas-microsoft-com:office:smarttags" w:element="PersonName">
        <w:smartTagPr>
          <w:attr w:name="ProductID" w:val="la Constituci￳n"/>
        </w:smartTagPr>
        <w:r>
          <w:t>la Constitución</w:t>
        </w:r>
      </w:smartTag>
      <w:r>
        <w:t xml:space="preserve"> y de </w:t>
      </w:r>
      <w:smartTag w:uri="urn:schemas-microsoft-com:office:smarttags" w:element="PersonName">
        <w:smartTagPr>
          <w:attr w:name="ProductID" w:val="la Ley"/>
        </w:smartTagPr>
        <w:r>
          <w:t>la Ley</w:t>
        </w:r>
      </w:smartTag>
      <w:r>
        <w:t xml:space="preserve"> electoral a fin de garantizar a todos los ciudadanos el ejercicio del derecho de voto, independientemente de su origen étnico.</w:t>
      </w:r>
    </w:p>
    <w:p w:rsidR="00000000" w:rsidRDefault="00000000">
      <w:pPr>
        <w:pStyle w:val="SingleTxtG"/>
      </w:pPr>
      <w:r>
        <w:t>37.</w:t>
      </w:r>
      <w:r>
        <w:tab/>
        <w:t xml:space="preserve">En cambio, el Estado parte no ha proporcionado información alguna sobre el seguimiento dado a la recomendación que figura en el párrafo 18 de las observaciones finales del Comité (CERD/C/BIH/CO/6). En consecuencia, el Comité podría tomar nota con preocupación de que el Estado parte no ha abordado el tema de esta recomendación, e instarlo una vez más a </w:t>
      </w:r>
      <w:r>
        <w:rPr>
          <w:bCs/>
        </w:rPr>
        <w:t>velar por que se resuelvan sin demora las reclamaciones de todos los trabajadores que fueron despedidos y/o colocados en listas de espera durante el conflicto armado a causa de su etnia, y por que se pongan en práctica rápidamente y de buena fe las recomendaciones de las Comisiones de las Entidades y de los cantones.</w:t>
      </w:r>
    </w:p>
    <w:p w:rsidR="00000000" w:rsidRDefault="00000000">
      <w:pPr>
        <w:pStyle w:val="SingleTxtG"/>
        <w:rPr>
          <w:bCs/>
        </w:rPr>
      </w:pPr>
      <w:r>
        <w:t>38.</w:t>
      </w:r>
      <w:r>
        <w:tab/>
        <w:t>En cuanto a la recomendación formulada en el párrafo 20 de las observaciones finales, el Estado parte subraya que los romaníes constituyen la minoría numéricamente más importante y la más vulnerable y que las necesidades de sus miembros en las esferas de la vivienda, del empleo, de la salud</w:t>
      </w:r>
      <w:r>
        <w:rPr>
          <w:bCs/>
        </w:rPr>
        <w:t xml:space="preserve"> y de la protección social son considerables y exceden de las capacidades del país, que ha resultado empobrecido y quebrantado a raíz del conflicto que lo ha devastado. El Gobierno de Bosnia y Herzegovina considera que el problema de que se trata es la pobreza y no un comportamiento discriminatorio por parte de los grupos mayoritarios o del conjunto de la colectividad. Por lo tanto, el Comité tendría a bien recomendar tal vez al Estado parte que promulgue la ley sobre la protección de los derechos de las personas pertenecientes a minorías nacionales y redoble los esfuerzos para facilitar el regreso de los romaníes a los que eran sus hogares antes del conflicto armado, y para indemnizar a aquéllos cuyas viviendas están actualmente ocupadas por otras personas o fueron destruidas durante el conflicto.</w:t>
      </w:r>
    </w:p>
    <w:p w:rsidR="00000000" w:rsidRDefault="00000000">
      <w:pPr>
        <w:pStyle w:val="SingleTxtG"/>
      </w:pPr>
      <w:r>
        <w:t>39.</w:t>
      </w:r>
      <w:r>
        <w:tab/>
        <w:t>Con respecto a la recomendación que figura en el párrafo 22 de las observaciones finales del Comité (CERD/C/BIH/CO/6), el Gobierno de Bosnia y Herzegovina ha indicado al Comité que se esforzaba siempre activamente para ejecutar el Plan de Acción sobre las necesidades educativas de los romaníes y de otras minorías nacionales, pero que todavía no se había establecido ningún mecanismo de seguimiento para vigilar su aplicación. Con todo, durante el año escolar 2005/06, aumentó el número de niños romaníes que iban a la escuela y el número de estudiantes romaníes o pertenecientes a otras minorías que frecuentaban la universidad. Dentro de los límites de que disponían las municipalidades, cantones y entidades interesados, los alumnos romaníes habían recibido manuales y material escolar y habían gozado de un subsidio financiero para sus gastos de transporte y alimentación.</w:t>
      </w:r>
    </w:p>
    <w:p w:rsidR="00000000" w:rsidRDefault="00000000">
      <w:pPr>
        <w:pStyle w:val="SingleTxtG"/>
      </w:pPr>
      <w:r>
        <w:t>40.</w:t>
      </w:r>
      <w:r>
        <w:tab/>
        <w:t>Habida cuenta de esta información, el Coordinador para el seguimiento sugiere que el Comité pida al Estado parte que le facilite información más amplia sobre los progresos logrados con miras a la creación de un mecanismo de seguimiento de la aplicación de las recomendaciones contenidas en el Plan de Acción sobre las necesidades educativas de los romaníes y de otras minorías nacionales, y que le proporcione estadísticas recientes sobre el número de niños romaníes que frecuentan los establecimientos escolares de primaria y secundaria así como datos desglosados sobre la escolarización de los niños pertenecientes a otras minorías residentes en el país. El Comité podría asimismo solicitar al Estado parte información complementaria sobre las medidas especiales de lucha contra la discriminación contra los romaníes, en particular sobre las campañas realizadas para sensibilizar al personal docente, a las autoridades escolares y a los alumnos no romaníes, así como a sus familiares.</w:t>
      </w:r>
    </w:p>
    <w:p w:rsidR="00000000" w:rsidRDefault="00000000">
      <w:pPr>
        <w:pStyle w:val="SingleTxtG"/>
        <w:rPr>
          <w:iCs/>
        </w:rPr>
      </w:pPr>
      <w:r>
        <w:t>41.</w:t>
      </w:r>
      <w:r>
        <w:tab/>
        <w:t>En relación con las recomendaciones que figuran en el párrafo 23 de las observaciones finales del Comité (CERD/C/BIH/CO/6), el Gobierno de Bosnia y Herzegovina ha reconocido que, desde que terminó el conflicto armado, no se había solucionado todavía la cuestión de la organización de establecimientos fundados en el principio de "dos escuelas bajo el mismo techo", lo que se explica por el hecho de que todo el poder constitucional en materia de educación se había atribuido a los cantones. Se habían realizado esfuerzos para coordinar las políticas entre los cantones y el Estado federal pero aún quedaba mucho que hacer para eliminar la segregación en el sistema escolar. Con todo, se habían adoptado varias medidas en el marco de la reforma del sistema educativo, en especial para retirar ciertos contenidos inadecuados de los manuales escolares. Habida cuenta de que diversos obstáculos impedían la ejecución concreta de programas de estudios comunes, los establecimientos de enseñanza seguían teniendo dos programas distintos, uno bosniaco y el otro croata.</w:t>
      </w:r>
    </w:p>
    <w:p w:rsidR="00000000" w:rsidRDefault="00000000">
      <w:pPr>
        <w:pStyle w:val="SingleTxtG"/>
        <w:rPr>
          <w:iCs/>
        </w:rPr>
      </w:pPr>
      <w:r>
        <w:rPr>
          <w:iCs/>
        </w:rPr>
        <w:t>42.</w:t>
      </w:r>
      <w:r>
        <w:rPr>
          <w:iCs/>
        </w:rPr>
        <w:tab/>
        <w:t xml:space="preserve">Habida cuenta de esta información, el Coordinador para el seguimiento dice que el Comité podría congratularse de la capacidad de autocrítica del Estado parte y de los esfuerzos desplegados por éste para eliminar los elementos discriminatorios de los manuales escolares. El Comité podría tal vez exhortar a Bosnia y Herzegovina a que redoble los esfuerzos para favorecer la coordinación entre las autoridades cantonales y federales a fin de acelerar la creación de establecimientos que reúnan a "dos escuelas bajo el mismo techo" y pongan fin a la segregación en el sistema escolar lo antes posible. Por otra parte, podría invitar al Estado parte a establecer lo más pronto posible un programa escolar común teniendo en cuenta las especificidades culturales de los diversos grupos étnicos residentes en su territorio. </w:t>
      </w:r>
    </w:p>
    <w:p w:rsidR="00000000" w:rsidRDefault="00000000">
      <w:pPr>
        <w:pStyle w:val="SingleTxtG"/>
        <w:rPr>
          <w:iCs/>
        </w:rPr>
      </w:pPr>
      <w:r>
        <w:rPr>
          <w:iCs/>
        </w:rPr>
        <w:t>43.</w:t>
      </w:r>
      <w:r>
        <w:rPr>
          <w:iCs/>
        </w:rPr>
        <w:tab/>
      </w:r>
      <w:r>
        <w:rPr>
          <w:b/>
          <w:iCs/>
        </w:rPr>
        <w:t>El Sr. Prosper</w:t>
      </w:r>
      <w:r>
        <w:rPr>
          <w:iCs/>
        </w:rPr>
        <w:t xml:space="preserve">, apoyado por el </w:t>
      </w:r>
      <w:r>
        <w:rPr>
          <w:b/>
          <w:iCs/>
        </w:rPr>
        <w:t>Sr. Lindgren Alves</w:t>
      </w:r>
      <w:r>
        <w:rPr>
          <w:iCs/>
        </w:rPr>
        <w:t>, observa que, desde el examen del décimo informe periódico de Bosnia y Herzegovina, la situación ha evolucionado de manera inquietante en ese país y que las relaciones entre las minorías son cada vez más tensas. Por ello, el Sr. Prosper sugiere que el Comité no espere hasta la presentación del próximo informe periódico de este Estado parte para avocarse a su situación, y que aproveche la ocasión del procedimiento de seguimiento para estudiarla de cerca y reaccionar recurriendo, en su caso, a su procedimiento de alerta temprana y a las medidas de urgencia, antes de que las tensiones interétnicas evidentes degeneren en un conflicto.</w:t>
      </w:r>
    </w:p>
    <w:p w:rsidR="00000000" w:rsidRDefault="00000000">
      <w:pPr>
        <w:pStyle w:val="SingleTxtG"/>
        <w:rPr>
          <w:iCs/>
        </w:rPr>
      </w:pPr>
      <w:r>
        <w:rPr>
          <w:iCs/>
        </w:rPr>
        <w:t>44.</w:t>
      </w:r>
      <w:r>
        <w:rPr>
          <w:iCs/>
        </w:rPr>
        <w:tab/>
      </w:r>
      <w:r>
        <w:rPr>
          <w:b/>
          <w:iCs/>
        </w:rPr>
        <w:t>El Sr. Diaconu</w:t>
      </w:r>
      <w:r>
        <w:rPr>
          <w:iCs/>
        </w:rPr>
        <w:t xml:space="preserve"> destaca que Bosnia y Herzegovina, </w:t>
      </w:r>
      <w:smartTag w:uri="urn:schemas-microsoft-com:office:smarttags" w:element="PersonName">
        <w:smartTagPr>
          <w:attr w:name="ProductID" w:val="la Rep￺blica"/>
        </w:smartTagPr>
        <w:r>
          <w:rPr>
            <w:iCs/>
          </w:rPr>
          <w:t>la República</w:t>
        </w:r>
      </w:smartTag>
      <w:r>
        <w:rPr>
          <w:iCs/>
        </w:rPr>
        <w:t xml:space="preserve"> de Corea y Nueva Zelandia son los únicos países que se han molestado en enviar información al Comité en el marco del procedimiento de seguimiento que les incumbe. En relación con Bosnia y Herzegovina, el Sr. Diaconu estima que el Comité debería sobre todo insistir en la necesidad de modificar </w:t>
      </w:r>
      <w:smartTag w:uri="urn:schemas-microsoft-com:office:smarttags" w:element="PersonName">
        <w:smartTagPr>
          <w:attr w:name="ProductID" w:val="la Constituci￳n"/>
        </w:smartTagPr>
        <w:r>
          <w:rPr>
            <w:iCs/>
          </w:rPr>
          <w:t>la Constitución</w:t>
        </w:r>
      </w:smartTag>
      <w:r>
        <w:rPr>
          <w:iCs/>
        </w:rPr>
        <w:t xml:space="preserve"> y </w:t>
      </w:r>
      <w:smartTag w:uri="urn:schemas-microsoft-com:office:smarttags" w:element="PersonName">
        <w:smartTagPr>
          <w:attr w:name="ProductID" w:val="la Ley"/>
        </w:smartTagPr>
        <w:r>
          <w:rPr>
            <w:iCs/>
          </w:rPr>
          <w:t>la Ley</w:t>
        </w:r>
      </w:smartTag>
      <w:r>
        <w:rPr>
          <w:iCs/>
        </w:rPr>
        <w:t xml:space="preserve"> electoral para eliminar las disposiciones que impiden </w:t>
      </w:r>
      <w:r>
        <w:rPr>
          <w:i/>
          <w:iCs/>
        </w:rPr>
        <w:t>de facto</w:t>
      </w:r>
      <w:r>
        <w:rPr>
          <w:iCs/>
        </w:rPr>
        <w:t xml:space="preserve"> que las personas pertenecientes a minorías distintas de los pueblos constituyentes (a saber, los serbios, los croatas y los bosniacos), ejerzan su derecho a votar y a ser elegidos.</w:t>
      </w:r>
    </w:p>
    <w:p w:rsidR="00000000" w:rsidRDefault="00000000">
      <w:pPr>
        <w:pStyle w:val="H23G"/>
        <w:rPr>
          <w:b w:val="0"/>
          <w:i/>
        </w:rPr>
      </w:pPr>
      <w:r>
        <w:tab/>
      </w:r>
      <w:r>
        <w:tab/>
      </w:r>
      <w:r>
        <w:rPr>
          <w:b w:val="0"/>
          <w:i/>
        </w:rPr>
        <w:t>República de Corea (CERD/C/KOR/CO/14/Add.1)</w:t>
      </w:r>
    </w:p>
    <w:p w:rsidR="00000000" w:rsidRDefault="00000000">
      <w:pPr>
        <w:pStyle w:val="SingleTxtG"/>
      </w:pPr>
      <w:r>
        <w:rPr>
          <w:iCs/>
        </w:rPr>
        <w:t>45.</w:t>
      </w:r>
      <w:r>
        <w:rPr>
          <w:iCs/>
        </w:rPr>
        <w:tab/>
      </w:r>
      <w:r>
        <w:rPr>
          <w:b/>
          <w:iCs/>
        </w:rPr>
        <w:t>El Sr. Amir</w:t>
      </w:r>
      <w:r>
        <w:rPr>
          <w:iCs/>
        </w:rPr>
        <w:t xml:space="preserve"> (Coordinador para el seguimiento de las observaciones finales del Comité) recuerda que, en sus observaciones finales sobre el 14º informe periódico de </w:t>
      </w:r>
      <w:smartTag w:uri="urn:schemas-microsoft-com:office:smarttags" w:element="PersonName">
        <w:smartTagPr>
          <w:attr w:name="ProductID" w:val="la Rep￺blica"/>
        </w:smartTagPr>
        <w:r>
          <w:rPr>
            <w:iCs/>
          </w:rPr>
          <w:t>la República</w:t>
        </w:r>
      </w:smartTag>
      <w:r>
        <w:rPr>
          <w:iCs/>
        </w:rPr>
        <w:t xml:space="preserve"> de Corea (CERD/C/KOR/CO/14), adoptadas el 17 de agosto de 2007, el Comité había pedido al Estado parte que le enviara información sobre el seguimiento dado a las recomendaciones formuladas en los párrafos 11, 13 y 17 de dicho documento en el plazo de un año, cosa que se hizo el 29 de septiembre de 2008 (CERD/C/KOR/CO/14/Add.1). Tras dar lectura a los párrafos </w:t>
      </w:r>
      <w:smartTag w:uri="urn:schemas-microsoft-com:office:smarttags" w:element="metricconverter">
        <w:smartTagPr>
          <w:attr w:name="ProductID" w:val="1 a"/>
        </w:smartTagPr>
        <w:r>
          <w:rPr>
            <w:iCs/>
          </w:rPr>
          <w:t>1 a</w:t>
        </w:r>
      </w:smartTag>
      <w:r>
        <w:rPr>
          <w:iCs/>
        </w:rPr>
        <w:t xml:space="preserve"> 14 y </w:t>
      </w:r>
      <w:smartTag w:uri="urn:schemas-microsoft-com:office:smarttags" w:element="metricconverter">
        <w:smartTagPr>
          <w:attr w:name="ProductID" w:val="19 a"/>
        </w:smartTagPr>
        <w:r>
          <w:rPr>
            <w:iCs/>
          </w:rPr>
          <w:t>19 a</w:t>
        </w:r>
      </w:smartTag>
      <w:r>
        <w:rPr>
          <w:iCs/>
        </w:rPr>
        <w:t xml:space="preserve"> 21 de dicho documento, el Coordinador sugiere a propósito del seguimiento dado por el Estado parte a la recomendación formulada en el párrafo 11 de las observaciones finales, que el </w:t>
      </w:r>
      <w:r>
        <w:t xml:space="preserve">Comité pida a éste que le proporcione información detallada sobre el contenido del Plan de acción nacional para la población extranjera y le envíe el texto en inglés de </w:t>
      </w:r>
      <w:smartTag w:uri="urn:schemas-microsoft-com:office:smarttags" w:element="PersonName">
        <w:smartTagPr>
          <w:attr w:name="ProductID" w:val="la Ley"/>
        </w:smartTagPr>
        <w:r>
          <w:t>la Ley</w:t>
        </w:r>
      </w:smartTag>
      <w:r>
        <w:t xml:space="preserve"> de extranjería. Además, el Comité podría pedir al Estado parte que adopte las medidas necesarias para que el Plan de acción nacional para la población extranjera abarque todos los derechos contemplados en el artículo 5 de </w:t>
      </w:r>
      <w:smartTag w:uri="urn:schemas-microsoft-com:office:smarttags" w:element="PersonName">
        <w:smartTagPr>
          <w:attr w:name="ProductID" w:val="la Convenci￳n"/>
        </w:smartTagPr>
        <w:r>
          <w:t>la Convención</w:t>
        </w:r>
      </w:smartTag>
      <w:r>
        <w:t>, incluido el derecho al trabajo, a la vivienda, a la asistencia médica y a la educación.</w:t>
      </w:r>
    </w:p>
    <w:p w:rsidR="00000000" w:rsidRDefault="00000000">
      <w:pPr>
        <w:pStyle w:val="SingleTxtG"/>
      </w:pPr>
      <w:r>
        <w:t>46.</w:t>
      </w:r>
      <w:r>
        <w:tab/>
        <w:t xml:space="preserve">En cuanto al seguimiento dado por </w:t>
      </w:r>
      <w:smartTag w:uri="urn:schemas-microsoft-com:office:smarttags" w:element="PersonName">
        <w:smartTagPr>
          <w:attr w:name="ProductID" w:val="la Rep￺blica"/>
        </w:smartTagPr>
        <w:r>
          <w:t>la República</w:t>
        </w:r>
      </w:smartTag>
      <w:r>
        <w:t xml:space="preserve"> de Corea a la recomendación que figura en el párrafo13 de las observaciones finales, el Comité podría señalar a la atención del Estado parte el tenor del artículo 4 de </w:t>
      </w:r>
      <w:smartTag w:uri="urn:schemas-microsoft-com:office:smarttags" w:element="PersonName">
        <w:smartTagPr>
          <w:attr w:name="ProductID" w:val="la Convenci￳n"/>
        </w:smartTagPr>
        <w:r>
          <w:t>la Convención</w:t>
        </w:r>
      </w:smartTag>
      <w:r>
        <w:t xml:space="preserve"> y recordarle que la motivación racista de una infracción debería considerarse como una circunstancia agravante y que la pena pertinente debería ser proporcional a la gravedad de dicho acto.</w:t>
      </w:r>
    </w:p>
    <w:p w:rsidR="00000000" w:rsidRDefault="00000000">
      <w:pPr>
        <w:pStyle w:val="SingleTxtG"/>
      </w:pPr>
      <w:r>
        <w:t>47.</w:t>
      </w:r>
      <w:r>
        <w:tab/>
        <w:t xml:space="preserve">En relación con el seguimiento dado a la recomendación formulada en el párrafo 17 de las observaciones finales, el Comité podría celebrar los esfuerzos realizados por </w:t>
      </w:r>
      <w:smartTag w:uri="urn:schemas-microsoft-com:office:smarttags" w:element="PersonName">
        <w:smartTagPr>
          <w:attr w:name="ProductID" w:val="la Rep￺blica"/>
        </w:smartTagPr>
        <w:r>
          <w:t>la República</w:t>
        </w:r>
      </w:smartTag>
      <w:r>
        <w:t xml:space="preserve"> de Corea para fortalecer la protección de los derechos de las mujeres extranjeras casadas con ciudadanos coreanos, en particular la diversificación de los servicios ofrecidos en los centros de acogida de mujeres migrantes, y alentar al Estado parte a proseguir sus esfuerzos a fin de garantizar el acceso de las mujeres extranjeras casadas con coreanos a todos estos servicios. Además, el Comité podría tomar nota con interés de la adopción de la ley por la que se regulan las agencias matrimoniales y pedir a </w:t>
      </w:r>
      <w:smartTag w:uri="urn:schemas-microsoft-com:office:smarttags" w:element="PersonName">
        <w:smartTagPr>
          <w:attr w:name="ProductID" w:val="la Rep￺blica"/>
        </w:smartTagPr>
        <w:r>
          <w:t>la República</w:t>
        </w:r>
      </w:smartTag>
      <w:r>
        <w:t xml:space="preserve"> de Corea que le proporcione información más amplia sobre su aplicación.</w:t>
      </w:r>
    </w:p>
    <w:p w:rsidR="00000000" w:rsidRDefault="00000000">
      <w:pPr>
        <w:pStyle w:val="SingleTxtG"/>
      </w:pPr>
      <w:r>
        <w:t>48.</w:t>
      </w:r>
      <w:r>
        <w:tab/>
      </w:r>
      <w:r>
        <w:rPr>
          <w:b/>
        </w:rPr>
        <w:t>La Presidenta</w:t>
      </w:r>
      <w:r>
        <w:t xml:space="preserve"> agradece al Coordinador para el seguimiento su presentación y dice que el Comité continuará el examen del procedimiento de seguimiento en una sesión ulterior.</w:t>
      </w:r>
    </w:p>
    <w:p w:rsidR="00000000" w:rsidRDefault="00000000">
      <w:pPr>
        <w:pStyle w:val="SingleTxtG"/>
        <w:rPr>
          <w:i/>
          <w:iCs/>
        </w:rPr>
      </w:pPr>
      <w:r>
        <w:rPr>
          <w:i/>
        </w:rPr>
        <w:t>Se levanta la sesión a las 12.50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GE.09-40889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GE.09-40889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rPr>
        <w:sz w:val="20"/>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GE.09-40889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160610    240610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after="60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4555</Words>
  <Characters>25053</Characters>
  <Application>Microsoft Office Word</Application>
  <DocSecurity>4</DocSecurity>
  <Lines>208</Lines>
  <Paragraphs>59</Paragraphs>
  <ScaleCrop>false</ScaleCrop>
  <HeadingPairs>
    <vt:vector size="2" baseType="variant">
      <vt:variant>
        <vt:lpstr>Título</vt:lpstr>
      </vt:variant>
      <vt:variant>
        <vt:i4>1</vt:i4>
      </vt:variant>
    </vt:vector>
  </HeadingPairs>
  <TitlesOfParts>
    <vt:vector size="1" baseType="lpstr">
      <vt:lpstr>CERD/C/SR.1919  -  09-40889</vt:lpstr>
    </vt:vector>
  </TitlesOfParts>
  <Company/>
  <LinksUpToDate>false</LinksUpToDate>
  <CharactersWithSpaces>29549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CERD/C/SR.1919  -  09-40889</dc:title>
  <dc:subject>COMPLETO</dc:subject>
  <dc:creator>Luz María Urquizu</dc:creator>
  <cp:keywords/>
  <dc:description/>
  <cp:lastModifiedBy>Admieng</cp:lastModifiedBy>
  <cp:revision>2</cp:revision>
  <cp:lastPrinted>2010-06-24T10:04:00Z</cp:lastPrinted>
  <dcterms:created xsi:type="dcterms:W3CDTF">2010-06-24T13:42:00Z</dcterms:created>
  <dcterms:modified xsi:type="dcterms:W3CDTF">2010-06-24T13:42:00Z</dcterms:modified>
</cp:coreProperties>
</file>