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0C41EE" w:rsidP="000C41EE">
            <w:pPr>
              <w:suppressAutoHyphens w:val="0"/>
              <w:spacing w:after="20"/>
              <w:jc w:val="right"/>
            </w:pPr>
            <w:r w:rsidRPr="000C41EE">
              <w:rPr>
                <w:sz w:val="40"/>
              </w:rPr>
              <w:t>CAT</w:t>
            </w:r>
            <w:r>
              <w:t>/C/SR.1031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0C41EE" w:rsidRDefault="000C41EE" w:rsidP="000C41EE">
            <w:pPr>
              <w:suppressAutoHyphens w:val="0"/>
              <w:spacing w:before="240" w:line="240" w:lineRule="exact"/>
            </w:pPr>
            <w:r>
              <w:t>Distr.: General</w:t>
            </w:r>
          </w:p>
          <w:p w:rsidR="000C41EE" w:rsidRDefault="00F85C54" w:rsidP="000C41EE">
            <w:pPr>
              <w:suppressAutoHyphens w:val="0"/>
            </w:pPr>
            <w:r>
              <w:t xml:space="preserve">23 </w:t>
            </w:r>
            <w:r w:rsidR="000C41EE">
              <w:t>May 2012</w:t>
            </w:r>
          </w:p>
          <w:p w:rsidR="000C41EE" w:rsidRDefault="000C41EE" w:rsidP="000C41EE">
            <w:pPr>
              <w:suppressAutoHyphens w:val="0"/>
            </w:pPr>
            <w:r>
              <w:t>English</w:t>
            </w:r>
          </w:p>
          <w:p w:rsidR="00B56E9C" w:rsidRDefault="000C41EE" w:rsidP="000C41EE">
            <w:pPr>
              <w:suppressAutoHyphens w:val="0"/>
            </w:pPr>
            <w:r>
              <w:t>Original: French</w:t>
            </w:r>
          </w:p>
        </w:tc>
      </w:tr>
    </w:tbl>
    <w:p w:rsidR="0050387B" w:rsidRDefault="0050387B" w:rsidP="0050387B">
      <w:pPr>
        <w:spacing w:before="120"/>
        <w:rPr>
          <w:b/>
          <w:sz w:val="24"/>
        </w:rPr>
      </w:pPr>
      <w:r>
        <w:rPr>
          <w:b/>
          <w:sz w:val="24"/>
        </w:rPr>
        <w:t>Committee against Torture</w:t>
      </w:r>
    </w:p>
    <w:p w:rsidR="0050387B" w:rsidRDefault="0050387B" w:rsidP="0050387B">
      <w:pPr>
        <w:spacing w:after="120"/>
        <w:rPr>
          <w:b/>
        </w:rPr>
      </w:pPr>
      <w:r>
        <w:rPr>
          <w:b/>
        </w:rPr>
        <w:t>Forty-seventh session</w:t>
      </w:r>
    </w:p>
    <w:p w:rsidR="0050387B" w:rsidRDefault="0050387B" w:rsidP="0050387B">
      <w:pPr>
        <w:rPr>
          <w:b/>
        </w:rPr>
      </w:pPr>
      <w:r>
        <w:rPr>
          <w:b/>
        </w:rPr>
        <w:t>Summary record of the 1031st meeting</w:t>
      </w:r>
    </w:p>
    <w:p w:rsidR="0050387B" w:rsidRDefault="0050387B" w:rsidP="0050387B">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8 November 2011, at 3 p.m.</w:t>
      </w:r>
    </w:p>
    <w:p w:rsidR="0050387B" w:rsidRDefault="0050387B" w:rsidP="0050387B">
      <w:pPr>
        <w:tabs>
          <w:tab w:val="right" w:pos="992"/>
          <w:tab w:val="left" w:pos="1276"/>
          <w:tab w:val="right" w:leader="dot" w:pos="8504"/>
        </w:tabs>
        <w:spacing w:after="120"/>
      </w:pPr>
      <w:r>
        <w:rPr>
          <w:i/>
        </w:rPr>
        <w:tab/>
        <w:t>Chairperson</w:t>
      </w:r>
      <w:r>
        <w:t>:</w:t>
      </w:r>
      <w:r>
        <w:tab/>
        <w:t>Mr. Grossman</w:t>
      </w:r>
    </w:p>
    <w:p w:rsidR="0050387B" w:rsidRDefault="0050387B" w:rsidP="0050387B">
      <w:pPr>
        <w:tabs>
          <w:tab w:val="right" w:pos="992"/>
          <w:tab w:val="left" w:pos="1276"/>
          <w:tab w:val="right" w:leader="dot" w:pos="8504"/>
        </w:tabs>
        <w:spacing w:before="360" w:after="240"/>
        <w:rPr>
          <w:sz w:val="28"/>
        </w:rPr>
      </w:pPr>
      <w:r>
        <w:rPr>
          <w:sz w:val="28"/>
        </w:rPr>
        <w:t>Contents</w:t>
      </w:r>
    </w:p>
    <w:p w:rsidR="000C41EE" w:rsidRDefault="0072114E" w:rsidP="0072114E">
      <w:pPr>
        <w:pStyle w:val="SingleTxtG"/>
        <w:jc w:val="left"/>
      </w:pPr>
      <w:r>
        <w:t>Consideration of reports submitted by States parties under article 19 of the Convention (</w:t>
      </w:r>
      <w:r>
        <w:rPr>
          <w:i/>
        </w:rPr>
        <w:t>continued</w:t>
      </w:r>
      <w:r>
        <w:t>)</w:t>
      </w:r>
    </w:p>
    <w:p w:rsidR="0072114E" w:rsidRPr="0072114E" w:rsidRDefault="0072114E" w:rsidP="0072114E">
      <w:pPr>
        <w:pStyle w:val="SingleTxtG"/>
        <w:jc w:val="left"/>
      </w:pPr>
      <w:r>
        <w:tab/>
      </w:r>
      <w:r>
        <w:rPr>
          <w:i/>
        </w:rPr>
        <w:t xml:space="preserve">Fifth periodic report of </w:t>
      </w:r>
      <w:smartTag w:uri="urn:schemas-microsoft-com:office:smarttags" w:element="country-region">
        <w:smartTag w:uri="urn:schemas-microsoft-com:office:smarttags" w:element="place">
          <w:r>
            <w:rPr>
              <w:i/>
            </w:rPr>
            <w:t>Germany</w:t>
          </w:r>
        </w:smartTag>
      </w:smartTag>
      <w:r>
        <w:rPr>
          <w:i/>
        </w:rPr>
        <w:t xml:space="preserve"> </w:t>
      </w:r>
      <w:r>
        <w:t>(continued)</w:t>
      </w:r>
    </w:p>
    <w:p w:rsidR="00A15301" w:rsidRPr="00BE1491" w:rsidRDefault="0072114E" w:rsidP="00A15301">
      <w:pPr>
        <w:pStyle w:val="SingleTxtG"/>
        <w:rPr>
          <w:i/>
        </w:rPr>
      </w:pPr>
      <w:r>
        <w:br w:type="page"/>
      </w:r>
      <w:r w:rsidR="00A15301" w:rsidRPr="00BE1491">
        <w:rPr>
          <w:i/>
        </w:rPr>
        <w:t>The meeting was called to order at 3.05 p.m.</w:t>
      </w:r>
    </w:p>
    <w:p w:rsidR="00A15301" w:rsidRPr="00A15301" w:rsidRDefault="00BE1491" w:rsidP="00BE1491">
      <w:pPr>
        <w:pStyle w:val="H23G"/>
      </w:pPr>
      <w:r>
        <w:tab/>
      </w:r>
      <w:r>
        <w:tab/>
      </w:r>
      <w:r w:rsidR="00A15301" w:rsidRPr="00A15301">
        <w:t xml:space="preserve">Consideration of reports submitted by States parties under article 19 of the Convention </w:t>
      </w:r>
      <w:r w:rsidR="00A15301" w:rsidRPr="00BE1491">
        <w:rPr>
          <w:b w:val="0"/>
        </w:rPr>
        <w:t>(</w:t>
      </w:r>
      <w:r w:rsidR="00A15301" w:rsidRPr="00BE1491">
        <w:rPr>
          <w:b w:val="0"/>
          <w:i/>
        </w:rPr>
        <w:t>continued</w:t>
      </w:r>
      <w:r w:rsidR="00A15301" w:rsidRPr="00BE1491">
        <w:rPr>
          <w:b w:val="0"/>
        </w:rPr>
        <w:t>)</w:t>
      </w:r>
    </w:p>
    <w:p w:rsidR="00A15301" w:rsidRPr="00A15301" w:rsidRDefault="00A15301" w:rsidP="00BE1491">
      <w:pPr>
        <w:pStyle w:val="SingleTxtG"/>
        <w:ind w:left="1700"/>
      </w:pPr>
      <w:r w:rsidRPr="00BE1491">
        <w:rPr>
          <w:i/>
        </w:rPr>
        <w:t xml:space="preserve">Fifth periodic report of </w:t>
      </w:r>
      <w:smartTag w:uri="urn:schemas-microsoft-com:office:smarttags" w:element="country-region">
        <w:smartTag w:uri="urn:schemas-microsoft-com:office:smarttags" w:element="place">
          <w:r w:rsidRPr="00BE1491">
            <w:rPr>
              <w:i/>
            </w:rPr>
            <w:t>Germany</w:t>
          </w:r>
        </w:smartTag>
      </w:smartTag>
      <w:r w:rsidR="00BE1491" w:rsidRPr="00A15301">
        <w:t xml:space="preserve"> (continued) </w:t>
      </w:r>
      <w:r w:rsidRPr="00A15301">
        <w:t>(CAT/C/DEU/5; CAT/C/DEU/Q/5; CAT/C/DEU/Q/5</w:t>
      </w:r>
      <w:r w:rsidR="0057264E">
        <w:t>/</w:t>
      </w:r>
      <w:r w:rsidRPr="00A15301">
        <w:t>Add.1; HRI/CORE/DEU/2009</w:t>
      </w:r>
      <w:r w:rsidR="00BE1491">
        <w:t>)</w:t>
      </w:r>
    </w:p>
    <w:p w:rsidR="00A15301" w:rsidRPr="00A15301" w:rsidRDefault="00A15301" w:rsidP="00A15301">
      <w:pPr>
        <w:pStyle w:val="SingleTxtG"/>
      </w:pPr>
      <w:r w:rsidRPr="00A15301">
        <w:t>1.</w:t>
      </w:r>
      <w:r w:rsidRPr="00A15301">
        <w:tab/>
      </w:r>
      <w:r w:rsidRPr="00BE1491">
        <w:rPr>
          <w:i/>
        </w:rPr>
        <w:t xml:space="preserve">At the invitation of the Chairperson, the members of the delegation of </w:t>
      </w:r>
      <w:smartTag w:uri="urn:schemas-microsoft-com:office:smarttags" w:element="country-region">
        <w:smartTag w:uri="urn:schemas-microsoft-com:office:smarttags" w:element="place">
          <w:r w:rsidRPr="00BE1491">
            <w:rPr>
              <w:i/>
            </w:rPr>
            <w:t>Germany</w:t>
          </w:r>
        </w:smartTag>
      </w:smartTag>
      <w:r w:rsidRPr="00BE1491">
        <w:rPr>
          <w:i/>
        </w:rPr>
        <w:t xml:space="preserve"> took places at the Committee table.</w:t>
      </w:r>
    </w:p>
    <w:p w:rsidR="00A15301" w:rsidRPr="00A15301" w:rsidRDefault="00A15301" w:rsidP="00A15301">
      <w:pPr>
        <w:pStyle w:val="SingleTxtG"/>
      </w:pPr>
      <w:r w:rsidRPr="00A15301">
        <w:t>2.</w:t>
      </w:r>
      <w:r w:rsidRPr="00A15301">
        <w:tab/>
      </w:r>
      <w:r w:rsidRPr="00BE1491">
        <w:rPr>
          <w:b/>
        </w:rPr>
        <w:t>Ms. Wittling-Vogel</w:t>
      </w:r>
      <w:r w:rsidRPr="00A15301">
        <w:t xml:space="preserve"> (Germany) said that her country had not judged it necessary to include a definition of the crime of torture in the Criminal Code since the Convention against Torture and Other Cruel, Inhuman or Degrading Treatment or Punishment was directly applicable in domestic law and, as a result, the definition of torture contained in article 1 of the Convention was itself directly applicable. The European Convention for the Protection of Human Rights and Fundamental Freedoms was often cited by domestic courts in their decisions and judgements, particularly with regard to the deportation of foreigners or extradition. The Act on the Residence, Economic Activity and Integration of Foreigners on </w:t>
      </w:r>
      <w:smartTag w:uri="urn:schemas-microsoft-com:office:smarttags" w:element="place">
        <w:smartTag w:uri="urn:schemas-microsoft-com:office:smarttags" w:element="PlaceName">
          <w:r w:rsidRPr="00A15301">
            <w:t>Federal</w:t>
          </w:r>
        </w:smartTag>
        <w:r w:rsidRPr="00A15301">
          <w:t xml:space="preserve"> </w:t>
        </w:r>
        <w:smartTag w:uri="urn:schemas-microsoft-com:office:smarttags" w:element="PlaceType">
          <w:r w:rsidRPr="00A15301">
            <w:t>Territory</w:t>
          </w:r>
        </w:smartTag>
      </w:smartTag>
      <w:r w:rsidRPr="00A15301">
        <w:t xml:space="preserve"> expressly referred to the European Convention for the Protection of Human Rights and Fundamental Freedoms and stated that no foreigner could be deported to a country where </w:t>
      </w:r>
      <w:r w:rsidR="00BE1491">
        <w:t xml:space="preserve">his or her </w:t>
      </w:r>
      <w:r w:rsidRPr="00A15301">
        <w:t xml:space="preserve">freedom was at risk. She recalled a number of cases dating from 2004 to 2005 in which German courts had applied article 3 (on the Prohibition of torture) of the European Convention for the Protection of Human Rights and Fundamental Freedoms to deportation cases. Between 2007 and 2009, 20 per cent of the prison population had been foreigners. </w:t>
      </w:r>
      <w:smartTag w:uri="urn:schemas-microsoft-com:office:smarttags" w:element="country-region">
        <w:smartTag w:uri="urn:schemas-microsoft-com:office:smarttags" w:element="place">
          <w:r w:rsidRPr="00A15301">
            <w:t>Germany</w:t>
          </w:r>
        </w:smartTag>
      </w:smartTag>
      <w:r w:rsidRPr="00A15301">
        <w:t xml:space="preserve"> did not collect data disaggregated by </w:t>
      </w:r>
      <w:r w:rsidR="00BE1491">
        <w:t xml:space="preserve">detainees’ </w:t>
      </w:r>
      <w:r w:rsidRPr="00A15301">
        <w:t xml:space="preserve">racial or ethnic origin. In general, ethnic minorities were fiercely opposed to the </w:t>
      </w:r>
      <w:r w:rsidR="00BE1491">
        <w:t xml:space="preserve">generation </w:t>
      </w:r>
      <w:r w:rsidRPr="00A15301">
        <w:t>of such statistics. Moreover, article 3 of the Framework Convention for the Protection of National Minorities stipulated that any person</w:t>
      </w:r>
      <w:r w:rsidR="00BE1491">
        <w:t>s</w:t>
      </w:r>
      <w:r w:rsidRPr="00A15301">
        <w:t xml:space="preserve"> belonging to a national minority had the right to freely choose whether they wished to be treated as a minority or not. With regard to statistics on racist crimes, Committee </w:t>
      </w:r>
      <w:r w:rsidR="00BE1491">
        <w:t xml:space="preserve">members </w:t>
      </w:r>
      <w:r w:rsidRPr="00A15301">
        <w:t xml:space="preserve">should refer to paragraphs 180 to 189 of the written replies of </w:t>
      </w:r>
      <w:smartTag w:uri="urn:schemas-microsoft-com:office:smarttags" w:element="country-region">
        <w:smartTag w:uri="urn:schemas-microsoft-com:office:smarttags" w:element="place">
          <w:r w:rsidRPr="00A15301">
            <w:t>Germany</w:t>
          </w:r>
        </w:smartTag>
      </w:smartTag>
      <w:r w:rsidRPr="00A15301">
        <w:t xml:space="preserve"> to the list of issues (CAT/C/DEU/Q/5/Add.1).</w:t>
      </w:r>
    </w:p>
    <w:p w:rsidR="00A15301" w:rsidRPr="00A15301" w:rsidRDefault="00A15301" w:rsidP="00A15301">
      <w:pPr>
        <w:pStyle w:val="SingleTxtG"/>
      </w:pPr>
      <w:r w:rsidRPr="00A15301">
        <w:t>3.</w:t>
      </w:r>
      <w:r w:rsidRPr="00A15301">
        <w:tab/>
        <w:t xml:space="preserve">With regard to intersexual </w:t>
      </w:r>
      <w:r w:rsidR="00BE1491">
        <w:t xml:space="preserve">minors who </w:t>
      </w:r>
      <w:r w:rsidRPr="00A15301">
        <w:t xml:space="preserve">had undergone medical operations against their will or without their parents’ consent, she explained that all forms of medical treatment were possible </w:t>
      </w:r>
      <w:r w:rsidR="00BE1491">
        <w:t xml:space="preserve">only </w:t>
      </w:r>
      <w:r w:rsidRPr="00A15301">
        <w:t>with the agreement of the person in question; otherwise it was a crime, and therefore liable for compensation. In the case of minors, the parents must of course be consulted and give their</w:t>
      </w:r>
      <w:r w:rsidR="00BE1491">
        <w:t xml:space="preserve"> consent</w:t>
      </w:r>
      <w:r w:rsidRPr="00A15301">
        <w:t>.</w:t>
      </w:r>
      <w:r w:rsidR="004367C1">
        <w:t xml:space="preserve"> </w:t>
      </w:r>
      <w:r w:rsidRPr="00A15301">
        <w:t xml:space="preserve">In that regard, the Federal Government had requested the </w:t>
      </w:r>
      <w:r w:rsidR="00BE1491">
        <w:t xml:space="preserve">National </w:t>
      </w:r>
      <w:r w:rsidRPr="00A15301">
        <w:t xml:space="preserve">Ethics Council to </w:t>
      </w:r>
      <w:r w:rsidR="00BE1491">
        <w:t xml:space="preserve">proffer </w:t>
      </w:r>
      <w:r w:rsidRPr="00A15301">
        <w:t>advice on the notion of consent for medical treatment and care.</w:t>
      </w:r>
    </w:p>
    <w:p w:rsidR="00A15301" w:rsidRPr="00A15301" w:rsidRDefault="00A15301" w:rsidP="00A15301">
      <w:pPr>
        <w:pStyle w:val="SingleTxtG"/>
      </w:pPr>
      <w:r w:rsidRPr="00A15301">
        <w:t>4.</w:t>
      </w:r>
      <w:r w:rsidRPr="00A15301">
        <w:tab/>
      </w:r>
      <w:r w:rsidRPr="00BE1491">
        <w:rPr>
          <w:b/>
        </w:rPr>
        <w:t>Mr. Plate</w:t>
      </w:r>
      <w:r w:rsidRPr="00A15301">
        <w:t xml:space="preserve"> (</w:t>
      </w:r>
      <w:smartTag w:uri="urn:schemas-microsoft-com:office:smarttags" w:element="country-region">
        <w:smartTag w:uri="urn:schemas-microsoft-com:office:smarttags" w:element="place">
          <w:r w:rsidRPr="00A15301">
            <w:t>Germany</w:t>
          </w:r>
        </w:smartTag>
      </w:smartTag>
      <w:r w:rsidRPr="00A15301">
        <w:t xml:space="preserve">) said that his country did not have statistics on members of the armed forces </w:t>
      </w:r>
      <w:r w:rsidR="00BE1491">
        <w:t xml:space="preserve">who </w:t>
      </w:r>
      <w:r w:rsidRPr="00A15301">
        <w:t>had been prosecuted for, or convicted of, ill-treatment. Criminal statistics in that area related to all agents of the State and were not disaggregated by profession. In respect of the maximum penalty for acts of torture, it was the general Criminal Code, not the Military Penal Code, that</w:t>
      </w:r>
      <w:r w:rsidR="00BE1491">
        <w:t xml:space="preserve"> applied to military personnel.</w:t>
      </w:r>
    </w:p>
    <w:p w:rsidR="00A15301" w:rsidRPr="00A15301" w:rsidRDefault="00A15301" w:rsidP="00A15301">
      <w:pPr>
        <w:pStyle w:val="SingleTxtG"/>
      </w:pPr>
      <w:r w:rsidRPr="00A15301">
        <w:t>5.</w:t>
      </w:r>
      <w:r w:rsidRPr="00A15301">
        <w:tab/>
        <w:t>Police officers did not act anonymously and were obliged to identify themselves when requested to do so.</w:t>
      </w:r>
      <w:r w:rsidR="00BE1491">
        <w:t xml:space="preserve"> However</w:t>
      </w:r>
      <w:r w:rsidRPr="00A15301">
        <w:t>, they were not required to carry a</w:t>
      </w:r>
      <w:r w:rsidR="00BE1491">
        <w:t>n identity</w:t>
      </w:r>
      <w:r w:rsidR="0057264E">
        <w:t xml:space="preserve"> badge, excep</w:t>
      </w:r>
      <w:r w:rsidRPr="00A15301">
        <w:t xml:space="preserve">t in </w:t>
      </w:r>
      <w:smartTag w:uri="urn:schemas-microsoft-com:office:smarttags" w:element="State">
        <w:smartTag w:uri="urn:schemas-microsoft-com:office:smarttags" w:element="place">
          <w:r w:rsidRPr="00A15301">
            <w:t>Berlin</w:t>
          </w:r>
        </w:smartTag>
      </w:smartTag>
      <w:r w:rsidRPr="00A15301">
        <w:t xml:space="preserve">, where, based on a pilot scheme, the municipal authorities had decided that police officers should carry a badge </w:t>
      </w:r>
      <w:r w:rsidR="00BE1491">
        <w:t xml:space="preserve">bearing </w:t>
      </w:r>
      <w:r w:rsidRPr="00A15301">
        <w:t>their name. In general, experience had shown that police officers that wore their name on their uniform</w:t>
      </w:r>
      <w:r w:rsidR="00BE1491">
        <w:t>s</w:t>
      </w:r>
      <w:r w:rsidRPr="00A15301">
        <w:t xml:space="preserve"> were often the subject of Internet-based harassment. There were no independent departments responsible for allegations of ill-treatment made against the police. In such cases, it was systematically ensured that the </w:t>
      </w:r>
      <w:r w:rsidR="00BE1491">
        <w:t>i</w:t>
      </w:r>
      <w:r w:rsidRPr="00A15301">
        <w:t>nquiry was not entrusted to police officers from the same unit as the officer against whom the complaint had been made.</w:t>
      </w:r>
    </w:p>
    <w:p w:rsidR="00A15301" w:rsidRPr="00A15301" w:rsidRDefault="00A15301" w:rsidP="00A15301">
      <w:pPr>
        <w:pStyle w:val="SingleTxtG"/>
      </w:pPr>
      <w:r w:rsidRPr="00A15301">
        <w:t>6.</w:t>
      </w:r>
      <w:r w:rsidRPr="00A15301">
        <w:tab/>
      </w:r>
      <w:r w:rsidRPr="00BE1491">
        <w:rPr>
          <w:b/>
        </w:rPr>
        <w:t>Mr. Behrens</w:t>
      </w:r>
      <w:r w:rsidRPr="00A15301">
        <w:t xml:space="preserve"> (</w:t>
      </w:r>
      <w:smartTag w:uri="urn:schemas-microsoft-com:office:smarttags" w:element="country-region">
        <w:r w:rsidRPr="00A15301">
          <w:t>Germany</w:t>
        </w:r>
      </w:smartTag>
      <w:r w:rsidRPr="00A15301">
        <w:t xml:space="preserve">) said that article 6 of the Criminal Code established the principle of </w:t>
      </w:r>
      <w:smartTag w:uri="urn:schemas-microsoft-com:office:smarttags" w:element="country-region">
        <w:smartTag w:uri="urn:schemas-microsoft-com:office:smarttags" w:element="place">
          <w:r w:rsidR="00BE1491">
            <w:t>Germany</w:t>
          </w:r>
        </w:smartTag>
      </w:smartTag>
      <w:r w:rsidR="00BE1491">
        <w:t xml:space="preserve">’s </w:t>
      </w:r>
      <w:r w:rsidRPr="00A15301">
        <w:t>universal jurisdiction over certain crimes, particularly those linked to trafficking in persons. The German delegation was unable to confirm the estimates of the German Institute for Human Rights that 15,000 persons had been victims of trafficking within the country. In 2010, there had been 610 cases of trafficking for purposes of sexual exploitation and 43 cases of trafficking for purposes of labour exploitation. Combating trafficking was one of the key priorities of the Federal Police, even though the measures taken were obviously not sufficient to reverse the phenomenon. Victims of trafficking received special protection measures. In cases where threats were made against the victims, they could be admitted to a witness protection programme. In June 2011, the Federal Office for Migration and Refugees had concluded an agreement with the International Organization for Migration and the Office of the United Nations High Commissioner for Refugees aimed at strengthening identification and protection measures for vi</w:t>
      </w:r>
      <w:r w:rsidR="00BE1491">
        <w:t>ctims of trafficking.</w:t>
      </w:r>
    </w:p>
    <w:p w:rsidR="00A15301" w:rsidRPr="00A15301" w:rsidRDefault="00A15301" w:rsidP="00A15301">
      <w:pPr>
        <w:pStyle w:val="SingleTxtG"/>
      </w:pPr>
      <w:r w:rsidRPr="00A15301">
        <w:t>7.</w:t>
      </w:r>
      <w:r w:rsidRPr="00A15301">
        <w:tab/>
      </w:r>
      <w:r w:rsidRPr="00BE1491">
        <w:rPr>
          <w:b/>
        </w:rPr>
        <w:t>Mr. Düwel</w:t>
      </w:r>
      <w:r w:rsidRPr="00A15301">
        <w:t xml:space="preserve"> (</w:t>
      </w:r>
      <w:smartTag w:uri="urn:schemas-microsoft-com:office:smarttags" w:element="place">
        <w:smartTag w:uri="urn:schemas-microsoft-com:office:smarttags" w:element="country-region">
          <w:r w:rsidRPr="00A15301">
            <w:t>Germany</w:t>
          </w:r>
        </w:smartTag>
      </w:smartTag>
      <w:r w:rsidRPr="00A15301">
        <w:t>) said that the use of physical restraints (</w:t>
      </w:r>
      <w:r w:rsidRPr="00BE1491">
        <w:rPr>
          <w:i/>
        </w:rPr>
        <w:t>Fixierung</w:t>
      </w:r>
      <w:r w:rsidRPr="00A15301">
        <w:t xml:space="preserve">) had been prohibited within the Federal Police but that the federal authorities were not obliged to impose the same restriction on the Länder. In any case, in the 16 Länder, physical restraint was a last resort that could be used </w:t>
      </w:r>
      <w:r w:rsidR="00BE1491">
        <w:t xml:space="preserve">only </w:t>
      </w:r>
      <w:r w:rsidRPr="00A15301">
        <w:t>if the detainee was a flight or suicide risk or at risk of becoming violent towards others or themselves. Moreover, that measure was time-</w:t>
      </w:r>
      <w:r w:rsidR="00BE1491">
        <w:t>bound</w:t>
      </w:r>
      <w:r w:rsidRPr="00A15301">
        <w:t xml:space="preserve"> (often less than two hours) and was supplemented by increased medical observation.</w:t>
      </w:r>
    </w:p>
    <w:p w:rsidR="00A15301" w:rsidRPr="00A15301" w:rsidRDefault="00A15301" w:rsidP="00A15301">
      <w:pPr>
        <w:pStyle w:val="SingleTxtG"/>
      </w:pPr>
      <w:r w:rsidRPr="00A15301">
        <w:t>8.</w:t>
      </w:r>
      <w:r w:rsidRPr="00A15301">
        <w:tab/>
      </w:r>
      <w:r w:rsidRPr="00BE1491">
        <w:rPr>
          <w:b/>
        </w:rPr>
        <w:t>Mr. Plate</w:t>
      </w:r>
      <w:r w:rsidRPr="00A15301">
        <w:t xml:space="preserve"> (</w:t>
      </w:r>
      <w:smartTag w:uri="urn:schemas-microsoft-com:office:smarttags" w:element="country-region">
        <w:smartTag w:uri="urn:schemas-microsoft-com:office:smarttags" w:element="place">
          <w:r w:rsidRPr="00A15301">
            <w:t>Germany</w:t>
          </w:r>
        </w:smartTag>
      </w:smartTag>
      <w:r w:rsidRPr="00A15301">
        <w:t>) said that</w:t>
      </w:r>
      <w:r w:rsidR="00BE1491">
        <w:t>,</w:t>
      </w:r>
      <w:r w:rsidRPr="00A15301">
        <w:t xml:space="preserve"> following the death by asphyxiation of a Sudanese national in June 1999 during a forced deportation by air, the Federal Police, </w:t>
      </w:r>
      <w:r w:rsidR="00BE1491">
        <w:t xml:space="preserve">drawing all </w:t>
      </w:r>
      <w:r w:rsidRPr="00A15301">
        <w:t xml:space="preserve">the consequences of </w:t>
      </w:r>
      <w:r w:rsidR="00BE1491">
        <w:t xml:space="preserve">the </w:t>
      </w:r>
      <w:r w:rsidRPr="00A15301">
        <w:t xml:space="preserve">tragedy, had amended the </w:t>
      </w:r>
      <w:r w:rsidR="00BE1491">
        <w:t xml:space="preserve">relevant </w:t>
      </w:r>
      <w:r w:rsidRPr="00A15301">
        <w:t xml:space="preserve">regulations. Since then, the Federal Police </w:t>
      </w:r>
      <w:r w:rsidR="00BE1491">
        <w:t xml:space="preserve">had </w:t>
      </w:r>
      <w:r w:rsidRPr="00A15301">
        <w:t xml:space="preserve">made </w:t>
      </w:r>
      <w:r w:rsidR="00BE1491">
        <w:t xml:space="preserve">absolutely </w:t>
      </w:r>
      <w:r w:rsidRPr="00A15301">
        <w:t xml:space="preserve">sure that all of the conditions contained in the “Regulations on the deportation of foreign citizens by air” were met before proceeding with that </w:t>
      </w:r>
      <w:r w:rsidR="00BE1491">
        <w:t xml:space="preserve">form </w:t>
      </w:r>
      <w:r w:rsidRPr="00A15301">
        <w:t>of de</w:t>
      </w:r>
      <w:r w:rsidR="00BE1491">
        <w:t>portation. With regard to forcible return</w:t>
      </w:r>
      <w:r w:rsidRPr="00A15301">
        <w:t xml:space="preserve">, the delegation unfortunately had not been able to obtain data disaggregated by age, sex and nationality in time and therefore proposed to submit the data to the </w:t>
      </w:r>
      <w:r w:rsidR="00BE1491">
        <w:t>s</w:t>
      </w:r>
      <w:r w:rsidRPr="00A15301">
        <w:t xml:space="preserve">ecretariat once they </w:t>
      </w:r>
      <w:r w:rsidR="00BE1491">
        <w:t xml:space="preserve">had been sent by </w:t>
      </w:r>
      <w:r w:rsidRPr="00A15301">
        <w:t>the relevant authorities.</w:t>
      </w:r>
    </w:p>
    <w:p w:rsidR="00A15301" w:rsidRPr="00A15301" w:rsidRDefault="00A15301" w:rsidP="00A15301">
      <w:pPr>
        <w:pStyle w:val="SingleTxtG"/>
      </w:pPr>
      <w:r w:rsidRPr="00A15301">
        <w:t>9.</w:t>
      </w:r>
      <w:r w:rsidRPr="00A15301">
        <w:tab/>
      </w:r>
      <w:r w:rsidRPr="00BE1491">
        <w:rPr>
          <w:b/>
        </w:rPr>
        <w:t>Mr. Kleinhans</w:t>
      </w:r>
      <w:r w:rsidRPr="00A15301">
        <w:t xml:space="preserve"> (Germany), responding to a question on the protection of unaccompanied minors, said that he had taken note of the observations made by members of the Committee on the issue and explained that Germany had implemented the common approach defined in the European Union Action Pla</w:t>
      </w:r>
      <w:r w:rsidR="00BE1491">
        <w:t>n on Unaccompanied Minors (2010</w:t>
      </w:r>
      <w:r w:rsidRPr="00A15301">
        <w:t xml:space="preserve">–2014). In that context, all unaccompanied minors </w:t>
      </w:r>
      <w:r w:rsidR="00BE1491">
        <w:t>arriving</w:t>
      </w:r>
      <w:r w:rsidRPr="00A15301">
        <w:t xml:space="preserve"> at borders should be subject to </w:t>
      </w:r>
      <w:r w:rsidR="00BE1491">
        <w:t xml:space="preserve">appropriate </w:t>
      </w:r>
      <w:r w:rsidRPr="00A15301">
        <w:t>protectio</w:t>
      </w:r>
      <w:r w:rsidR="00BE1491">
        <w:t>n measures. Regarding the forcible</w:t>
      </w:r>
      <w:r w:rsidRPr="00A15301">
        <w:t xml:space="preserve"> return of members of ethnic minorities to </w:t>
      </w:r>
      <w:smartTag w:uri="urn:schemas-microsoft-com:office:smarttags" w:element="place">
        <w:smartTag w:uri="urn:schemas-microsoft-com:office:smarttags" w:element="City">
          <w:r w:rsidRPr="00A15301">
            <w:t>Kosovo</w:t>
          </w:r>
        </w:smartTag>
        <w:r w:rsidRPr="00A15301">
          <w:t xml:space="preserve">, </w:t>
        </w:r>
        <w:smartTag w:uri="urn:schemas-microsoft-com:office:smarttags" w:element="country-region">
          <w:r w:rsidRPr="00A15301">
            <w:t>Germany</w:t>
          </w:r>
        </w:smartTag>
      </w:smartTag>
      <w:r w:rsidR="00BE1491">
        <w:t xml:space="preserve"> applied the general principle</w:t>
      </w:r>
      <w:r w:rsidRPr="00A15301">
        <w:t xml:space="preserve"> of voluntary return. In addition, the Federal Government and a number of Länder had provided practical assistance for the social and economic reintegration in Kosovo of the persons concerned within the scope </w:t>
      </w:r>
      <w:r w:rsidR="00BE1491">
        <w:t>of the “URA 2” project. In t</w:t>
      </w:r>
      <w:r w:rsidRPr="00A15301">
        <w:t xml:space="preserve">hat context, assistance could be provided to younger persons to allow them to continue their studies on their return to the country. The Manual on the Effective Investigation and Documentation of Torture and Other Cruel, Inhuman or Degrading Treatment or Punishment (Istanbul Protocol), was an integral part of training for law enforcement officers in the majority of the Länder. Immigration officials were trained to spot as </w:t>
      </w:r>
      <w:r w:rsidR="00A05292">
        <w:t xml:space="preserve">soon </w:t>
      </w:r>
      <w:r w:rsidRPr="00A15301">
        <w:t>as possible asylum</w:t>
      </w:r>
      <w:r w:rsidR="00A05292">
        <w:t xml:space="preserve"> </w:t>
      </w:r>
      <w:r w:rsidRPr="00A15301">
        <w:t xml:space="preserve">seekers likely to have suffered acts of torture or ill-treatment. When in doubt, they </w:t>
      </w:r>
      <w:r w:rsidR="00A05292">
        <w:t xml:space="preserve">could seek </w:t>
      </w:r>
      <w:r w:rsidRPr="00A15301">
        <w:t>medical advice.</w:t>
      </w:r>
    </w:p>
    <w:p w:rsidR="00A15301" w:rsidRPr="00A15301" w:rsidRDefault="00A15301" w:rsidP="00A15301">
      <w:pPr>
        <w:pStyle w:val="SingleTxtG"/>
      </w:pPr>
      <w:r w:rsidRPr="00A15301">
        <w:t>10.</w:t>
      </w:r>
      <w:r w:rsidRPr="00A15301">
        <w:tab/>
      </w:r>
      <w:r w:rsidR="00A05292">
        <w:t>There was no systematic federal inventorying</w:t>
      </w:r>
      <w:r w:rsidRPr="00A15301">
        <w:t xml:space="preserve"> </w:t>
      </w:r>
      <w:r w:rsidR="00A05292">
        <w:t xml:space="preserve">of </w:t>
      </w:r>
      <w:r w:rsidRPr="00A15301">
        <w:t>immigrants placed in holding centres</w:t>
      </w:r>
      <w:r w:rsidR="00A05292">
        <w:t>, which meant</w:t>
      </w:r>
      <w:r w:rsidRPr="00A15301">
        <w:t xml:space="preserve"> that the delegation was unable to </w:t>
      </w:r>
      <w:r w:rsidR="00A05292">
        <w:t>indicate the exact number</w:t>
      </w:r>
      <w:r w:rsidRPr="00A15301">
        <w:t>. A parliamentary inquiry on foreigners awaiting deportation had however</w:t>
      </w:r>
      <w:r w:rsidR="00A05292">
        <w:t xml:space="preserve"> been held</w:t>
      </w:r>
      <w:r w:rsidRPr="00A15301">
        <w:t>, and the conclus</w:t>
      </w:r>
      <w:r w:rsidR="00A05292">
        <w:t>ions would be submitted to the s</w:t>
      </w:r>
      <w:r w:rsidRPr="00A15301">
        <w:t xml:space="preserve">ecretariat as soon as possible. Illegal immigrants were generally held in standard prisons but were separated </w:t>
      </w:r>
      <w:r w:rsidR="0057264E">
        <w:t xml:space="preserve">from </w:t>
      </w:r>
      <w:r w:rsidR="00A05292">
        <w:t xml:space="preserve">ordinary </w:t>
      </w:r>
      <w:r w:rsidRPr="00A15301">
        <w:t>prisoners. There were also holding centres for irregular</w:t>
      </w:r>
      <w:r w:rsidR="00A05292">
        <w:t xml:space="preserve"> migrants, notably those in </w:t>
      </w:r>
      <w:smartTag w:uri="urn:schemas-microsoft-com:office:smarttags" w:element="State">
        <w:r w:rsidR="00A05292">
          <w:t>Han</w:t>
        </w:r>
        <w:r w:rsidRPr="00A15301">
          <w:t>over</w:t>
        </w:r>
      </w:smartTag>
      <w:r w:rsidRPr="00A15301">
        <w:t xml:space="preserve"> and </w:t>
      </w:r>
      <w:smartTag w:uri="urn:schemas-microsoft-com:office:smarttags" w:element="State">
        <w:smartTag w:uri="urn:schemas-microsoft-com:office:smarttags" w:element="place">
          <w:r w:rsidRPr="00A15301">
            <w:t>Hamburg</w:t>
          </w:r>
        </w:smartTag>
      </w:smartTag>
      <w:r w:rsidRPr="00A15301">
        <w:t xml:space="preserve">, with </w:t>
      </w:r>
      <w:r w:rsidR="00A05292">
        <w:t xml:space="preserve">a </w:t>
      </w:r>
      <w:r w:rsidRPr="00A15301">
        <w:t>capacity of 800 beds.</w:t>
      </w:r>
    </w:p>
    <w:p w:rsidR="00A15301" w:rsidRPr="00A15301" w:rsidRDefault="00A15301" w:rsidP="00A15301">
      <w:pPr>
        <w:pStyle w:val="SingleTxtG"/>
      </w:pPr>
      <w:r w:rsidRPr="00A15301">
        <w:t>11.</w:t>
      </w:r>
      <w:r w:rsidRPr="00A15301">
        <w:tab/>
      </w:r>
      <w:r w:rsidRPr="00A05292">
        <w:rPr>
          <w:b/>
        </w:rPr>
        <w:t>Mr. D</w:t>
      </w:r>
      <w:r w:rsidR="00A05292" w:rsidRPr="00BE1491">
        <w:rPr>
          <w:b/>
        </w:rPr>
        <w:t>ü</w:t>
      </w:r>
      <w:r w:rsidRPr="00A05292">
        <w:rPr>
          <w:b/>
        </w:rPr>
        <w:t>wel</w:t>
      </w:r>
      <w:r w:rsidRPr="00A15301">
        <w:t xml:space="preserve"> (</w:t>
      </w:r>
      <w:smartTag w:uri="urn:schemas-microsoft-com:office:smarttags" w:element="country-region">
        <w:r w:rsidRPr="00A15301">
          <w:t>G</w:t>
        </w:r>
        <w:r w:rsidR="00A05292">
          <w:t>ermany</w:t>
        </w:r>
      </w:smartTag>
      <w:r w:rsidR="00A05292">
        <w:t>) said that there was no</w:t>
      </w:r>
      <w:r w:rsidRPr="00A15301">
        <w:t xml:space="preserve"> specific system for examining asylum applications from persons already staying in </w:t>
      </w:r>
      <w:smartTag w:uri="urn:schemas-microsoft-com:office:smarttags" w:element="country-region">
        <w:smartTag w:uri="urn:schemas-microsoft-com:office:smarttags" w:element="place">
          <w:r w:rsidRPr="00A15301">
            <w:t>Germany</w:t>
          </w:r>
        </w:smartTag>
      </w:smartTag>
      <w:r w:rsidRPr="00A15301">
        <w:t xml:space="preserve"> </w:t>
      </w:r>
      <w:r w:rsidR="00A05292">
        <w:t xml:space="preserve">who </w:t>
      </w:r>
      <w:r w:rsidRPr="00A15301">
        <w:t>had been victims of torture in their country of origin or return: the persons concerned had to apply through the</w:t>
      </w:r>
      <w:r w:rsidR="00A05292">
        <w:t xml:space="preserve"> standard</w:t>
      </w:r>
      <w:r w:rsidRPr="00A15301">
        <w:t xml:space="preserve"> asylum procedure. Unaccompanied minors whose asylum application</w:t>
      </w:r>
      <w:r w:rsidR="00A05292">
        <w:t>s</w:t>
      </w:r>
      <w:r w:rsidRPr="00A15301">
        <w:t xml:space="preserve"> had been rejected were placed under the protection of the Youth Welfare Office, which offered a series of assistance measures. If it was not possible to return them to their country of origin, for example if they had neither close relatives nor family able to take responsibility for them, they were placed in</w:t>
      </w:r>
      <w:r w:rsidR="00A05292">
        <w:t xml:space="preserve"> special housing.</w:t>
      </w:r>
      <w:r w:rsidR="004367C1">
        <w:t xml:space="preserve"> </w:t>
      </w:r>
      <w:r w:rsidR="00A05292">
        <w:t>Automatic review</w:t>
      </w:r>
      <w:r w:rsidRPr="00A15301">
        <w:t xml:space="preserve"> of refugee status was </w:t>
      </w:r>
      <w:r w:rsidR="00A05292">
        <w:t xml:space="preserve">made </w:t>
      </w:r>
      <w:r w:rsidRPr="00A15301">
        <w:t>by the Federal Office for Migration and Refugees, which applied the same criteria as that for asylum applications, which was essentially verifying whether the situation in the country of origin had sufficiently improved so that the risk of persecution had become unlikely. To that end, the Office used information from the Federal Foreign Office, the Office of the United Nations High Commissioner for Refugees and other sources. It should be noted that when the risk of torture had been established at the time of the initial examination of the asylum application, refugee status was not removed if the person was able to show that the effect</w:t>
      </w:r>
      <w:r w:rsidR="00A05292">
        <w:t>s of the persecution persisted.</w:t>
      </w:r>
    </w:p>
    <w:p w:rsidR="00A15301" w:rsidRPr="00A15301" w:rsidRDefault="00A15301" w:rsidP="00A15301">
      <w:pPr>
        <w:pStyle w:val="SingleTxtG"/>
      </w:pPr>
      <w:r w:rsidRPr="00A15301">
        <w:t>12.</w:t>
      </w:r>
      <w:r w:rsidRPr="00A15301">
        <w:tab/>
      </w:r>
      <w:r w:rsidRPr="00A05292">
        <w:rPr>
          <w:b/>
        </w:rPr>
        <w:t xml:space="preserve">Mr. Plate </w:t>
      </w:r>
      <w:r w:rsidRPr="00A15301">
        <w:t>(</w:t>
      </w:r>
      <w:smartTag w:uri="urn:schemas-microsoft-com:office:smarttags" w:element="country-region">
        <w:r w:rsidRPr="00A15301">
          <w:t>Germany</w:t>
        </w:r>
      </w:smartTag>
      <w:r w:rsidRPr="00A15301">
        <w:t xml:space="preserve">) said that the considerations that had led </w:t>
      </w:r>
      <w:smartTag w:uri="urn:schemas-microsoft-com:office:smarttags" w:element="country-region">
        <w:r w:rsidRPr="00A15301">
          <w:t>Germany</w:t>
        </w:r>
      </w:smartTag>
      <w:r w:rsidRPr="00A15301">
        <w:t xml:space="preserve"> to suspend deportations to </w:t>
      </w:r>
      <w:smartTag w:uri="urn:schemas-microsoft-com:office:smarttags" w:element="place">
        <w:smartTag w:uri="urn:schemas-microsoft-com:office:smarttags" w:element="country-region">
          <w:r w:rsidRPr="00A15301">
            <w:t>Greece</w:t>
          </w:r>
        </w:smartTag>
      </w:smartTag>
      <w:r w:rsidRPr="00A15301">
        <w:t xml:space="preserve"> under the Dublin II Regulation would be reviewed in order to determine whether they remained relevant.</w:t>
      </w:r>
    </w:p>
    <w:p w:rsidR="00A15301" w:rsidRPr="00A15301" w:rsidRDefault="00A15301" w:rsidP="00A15301">
      <w:pPr>
        <w:pStyle w:val="SingleTxtG"/>
      </w:pPr>
      <w:r w:rsidRPr="00A15301">
        <w:t>13.</w:t>
      </w:r>
      <w:r w:rsidRPr="00A15301">
        <w:tab/>
      </w:r>
      <w:r w:rsidRPr="00A05292">
        <w:rPr>
          <w:b/>
        </w:rPr>
        <w:t xml:space="preserve">Mr. Kleinhans </w:t>
      </w:r>
      <w:r w:rsidRPr="00A15301">
        <w:t>(</w:t>
      </w:r>
      <w:smartTag w:uri="urn:schemas-microsoft-com:office:smarttags" w:element="country-region">
        <w:smartTag w:uri="urn:schemas-microsoft-com:office:smarttags" w:element="place">
          <w:r w:rsidRPr="00A15301">
            <w:t>Germany</w:t>
          </w:r>
        </w:smartTag>
      </w:smartTag>
      <w:r w:rsidRPr="00A15301">
        <w:t>) recalled that immigration staff were trained to spot asylum</w:t>
      </w:r>
      <w:r w:rsidR="00A05292">
        <w:t xml:space="preserve"> </w:t>
      </w:r>
      <w:r w:rsidRPr="00A15301">
        <w:t xml:space="preserve">seekers </w:t>
      </w:r>
      <w:r w:rsidR="00A05292">
        <w:t xml:space="preserve">who </w:t>
      </w:r>
      <w:r w:rsidRPr="00A15301">
        <w:t>had been subjected to torture or ill-treatment but that there was no standard medical follow-up</w:t>
      </w:r>
      <w:r w:rsidR="00A05292">
        <w:t>, which</w:t>
      </w:r>
      <w:r w:rsidRPr="00A15301">
        <w:t xml:space="preserve"> would considerably lengthen the process. With regard to the rehabilitation centres for victims of torture, all of the centres were funded by the Federal Government.</w:t>
      </w:r>
    </w:p>
    <w:p w:rsidR="00A15301" w:rsidRPr="00A15301" w:rsidRDefault="00A15301" w:rsidP="00A15301">
      <w:pPr>
        <w:pStyle w:val="SingleTxtG"/>
      </w:pPr>
      <w:r w:rsidRPr="00A15301">
        <w:t>14.</w:t>
      </w:r>
      <w:r w:rsidRPr="00A15301">
        <w:tab/>
      </w:r>
      <w:r w:rsidRPr="00A05292">
        <w:rPr>
          <w:b/>
        </w:rPr>
        <w:t>Ms. Wittling-Vogel</w:t>
      </w:r>
      <w:r w:rsidRPr="00A15301">
        <w:t xml:space="preserve"> (</w:t>
      </w:r>
      <w:smartTag w:uri="urn:schemas-microsoft-com:office:smarttags" w:element="country-region">
        <w:smartTag w:uri="urn:schemas-microsoft-com:office:smarttags" w:element="place">
          <w:r w:rsidRPr="00A15301">
            <w:t>Germany</w:t>
          </w:r>
        </w:smartTag>
      </w:smartTag>
      <w:r w:rsidR="00A05292">
        <w:t>) said that to her knowledge</w:t>
      </w:r>
      <w:r w:rsidRPr="00A15301">
        <w:t xml:space="preserve"> there was no specific programme on violence towards migrant women, although that group, as a particularly vulnerable sector of the population, were subject to the full general protection measures </w:t>
      </w:r>
      <w:r w:rsidR="00A05292">
        <w:t>on</w:t>
      </w:r>
      <w:r w:rsidRPr="00A15301">
        <w:t xml:space="preserve"> violence towards women. The Committee should also </w:t>
      </w:r>
      <w:r w:rsidR="00A05292">
        <w:t xml:space="preserve">be quite clear </w:t>
      </w:r>
      <w:r w:rsidRPr="00A15301">
        <w:t>that</w:t>
      </w:r>
      <w:r w:rsidR="00A05292">
        <w:t xml:space="preserve"> while</w:t>
      </w:r>
      <w:r w:rsidRPr="00A15301">
        <w:t xml:space="preserve"> the Länder enjoyed a certain </w:t>
      </w:r>
      <w:r w:rsidR="00A05292">
        <w:t xml:space="preserve">degree </w:t>
      </w:r>
      <w:r w:rsidRPr="00A15301">
        <w:t xml:space="preserve">of autonomy, that did not mean that they were not bound by the provisions of the Convention against Torture and Other Cruel, Inhuman or Degrading Treatment or Punishment; they were obliged to respect those provisions just </w:t>
      </w:r>
      <w:r w:rsidR="00A05292">
        <w:t>as</w:t>
      </w:r>
      <w:r w:rsidRPr="00A15301">
        <w:t xml:space="preserve"> the </w:t>
      </w:r>
      <w:smartTag w:uri="urn:schemas-microsoft-com:office:smarttags" w:element="place">
        <w:smartTag w:uri="urn:schemas-microsoft-com:office:smarttags" w:element="PlaceName">
          <w:r w:rsidRPr="00A15301">
            <w:t>Federal</w:t>
          </w:r>
        </w:smartTag>
        <w:r w:rsidRPr="00A15301">
          <w:t xml:space="preserve"> </w:t>
        </w:r>
        <w:smartTag w:uri="urn:schemas-microsoft-com:office:smarttags" w:element="PlaceType">
          <w:r w:rsidRPr="00A15301">
            <w:t>State</w:t>
          </w:r>
        </w:smartTag>
      </w:smartTag>
      <w:r w:rsidR="00A05292">
        <w:t xml:space="preserve"> was</w:t>
      </w:r>
      <w:r w:rsidRPr="00A15301">
        <w:t>.</w:t>
      </w:r>
    </w:p>
    <w:p w:rsidR="00A15301" w:rsidRPr="00A15301" w:rsidRDefault="00A15301" w:rsidP="00A15301">
      <w:pPr>
        <w:pStyle w:val="SingleTxtG"/>
      </w:pPr>
      <w:r w:rsidRPr="00A15301">
        <w:t>15.</w:t>
      </w:r>
      <w:r w:rsidRPr="00A15301">
        <w:tab/>
      </w:r>
      <w:r w:rsidRPr="00A05292">
        <w:rPr>
          <w:b/>
        </w:rPr>
        <w:t>Mr. Behrens</w:t>
      </w:r>
      <w:r w:rsidRPr="00A15301">
        <w:t xml:space="preserve"> (</w:t>
      </w:r>
      <w:smartTag w:uri="urn:schemas-microsoft-com:office:smarttags" w:element="place">
        <w:smartTag w:uri="urn:schemas-microsoft-com:office:smarttags" w:element="country-region">
          <w:r w:rsidRPr="00A15301">
            <w:t>Germany</w:t>
          </w:r>
        </w:smartTag>
      </w:smartTag>
      <w:r w:rsidRPr="00A15301">
        <w:t xml:space="preserve">) said that the rejection of asylum applications was not automatic and that the legitimacy of applications was systematically assessed. On the extradition procedure, he explained that all requests had to be approved by the Federal Ministry of Justice; that was the case even if there was no risk of torture or ill-treatment. </w:t>
      </w:r>
      <w:r w:rsidR="00A05292">
        <w:t xml:space="preserve">Recourse may </w:t>
      </w:r>
      <w:r w:rsidRPr="00A15301">
        <w:t xml:space="preserve">also </w:t>
      </w:r>
      <w:r w:rsidR="00A05292">
        <w:t xml:space="preserve">be had </w:t>
      </w:r>
      <w:r w:rsidRPr="00A15301">
        <w:t>to diplomatic assurances, but only in exceptional cases. If there was a risk of torture or ill-treatment, diplomatic assurances were not</w:t>
      </w:r>
      <w:r w:rsidR="00A05292">
        <w:t xml:space="preserve"> relied on</w:t>
      </w:r>
      <w:r w:rsidRPr="00A15301">
        <w:t xml:space="preserve">. However, such assurances could be used when the risk of torture was more general and could </w:t>
      </w:r>
      <w:r w:rsidR="00A05292">
        <w:t xml:space="preserve">help </w:t>
      </w:r>
      <w:r w:rsidRPr="00A15301">
        <w:t xml:space="preserve">to </w:t>
      </w:r>
      <w:r w:rsidR="00A05292">
        <w:t>reduce</w:t>
      </w:r>
      <w:r w:rsidRPr="00A15301">
        <w:t xml:space="preserve"> that risk.</w:t>
      </w:r>
    </w:p>
    <w:p w:rsidR="00A15301" w:rsidRPr="00A15301" w:rsidRDefault="00A15301" w:rsidP="00A15301">
      <w:pPr>
        <w:pStyle w:val="SingleTxtG"/>
      </w:pPr>
      <w:r w:rsidRPr="00A15301">
        <w:t>16.</w:t>
      </w:r>
      <w:r w:rsidRPr="00A15301">
        <w:tab/>
        <w:t xml:space="preserve">The German authorities had decided not to request the extradition of 13 American citizens suspected of </w:t>
      </w:r>
      <w:r w:rsidR="00A05292">
        <w:t>involvement</w:t>
      </w:r>
      <w:r w:rsidRPr="00A15301">
        <w:t xml:space="preserve"> in the abduction of German citizen, Khaled El-Masri, recognizing that such a request would be refused by the </w:t>
      </w:r>
      <w:smartTag w:uri="urn:schemas-microsoft-com:office:smarttags" w:element="country-region">
        <w:smartTag w:uri="urn:schemas-microsoft-com:office:smarttags" w:element="place">
          <w:r w:rsidRPr="00A15301">
            <w:t>United</w:t>
          </w:r>
          <w:r w:rsidR="00A05292">
            <w:t xml:space="preserve"> States</w:t>
          </w:r>
        </w:smartTag>
      </w:smartTag>
      <w:r w:rsidRPr="00A15301">
        <w:t xml:space="preserve">. That did not mean that the files were closed; arrest warrants </w:t>
      </w:r>
      <w:r w:rsidR="00A05292">
        <w:t xml:space="preserve">were still out </w:t>
      </w:r>
      <w:r w:rsidRPr="00A15301">
        <w:t xml:space="preserve">for all the persons concerned and they could be imprisoned if they entered </w:t>
      </w:r>
      <w:smartTag w:uri="urn:schemas-microsoft-com:office:smarttags" w:element="country-region">
        <w:smartTag w:uri="urn:schemas-microsoft-com:office:smarttags" w:element="place">
          <w:r w:rsidRPr="00A15301">
            <w:t>Germany</w:t>
          </w:r>
        </w:smartTag>
      </w:smartTag>
      <w:r w:rsidRPr="00A15301">
        <w:t xml:space="preserve">. With regard to the Turkish Islamist militant, Metin Kaplan, who had been deported to </w:t>
      </w:r>
      <w:smartTag w:uri="urn:schemas-microsoft-com:office:smarttags" w:element="country-region">
        <w:smartTag w:uri="urn:schemas-microsoft-com:office:smarttags" w:element="place">
          <w:r w:rsidRPr="00A15301">
            <w:t>Turkey</w:t>
          </w:r>
        </w:smartTag>
      </w:smartTag>
      <w:r w:rsidRPr="00A15301">
        <w:t xml:space="preserve"> on 12 October 2004, it should be noted that a consular official had monitored the process. Moreover, the Ambassador of Germany had requested authorization from the Turkish Justice Minister to visit Mr. Kaplan in prison so that a consular official </w:t>
      </w:r>
      <w:r w:rsidR="00A05292">
        <w:t>sh</w:t>
      </w:r>
      <w:r w:rsidRPr="00A15301">
        <w:t>ould be able to interview him in the</w:t>
      </w:r>
      <w:r w:rsidR="00A05292">
        <w:t xml:space="preserve"> </w:t>
      </w:r>
      <w:r w:rsidR="0057264E">
        <w:t xml:space="preserve">near </w:t>
      </w:r>
      <w:r w:rsidR="00A05292">
        <w:t>future</w:t>
      </w:r>
      <w:r w:rsidRPr="00A15301">
        <w:t>.</w:t>
      </w:r>
    </w:p>
    <w:p w:rsidR="00A15301" w:rsidRPr="00A15301" w:rsidRDefault="00A15301" w:rsidP="00A15301">
      <w:pPr>
        <w:pStyle w:val="SingleTxtG"/>
      </w:pPr>
      <w:r w:rsidRPr="00A15301">
        <w:t>17.</w:t>
      </w:r>
      <w:r w:rsidRPr="00A15301">
        <w:tab/>
        <w:t xml:space="preserve">Regarding the reopening of the parliamentary inquiry into the alleged participation of the State party in the extrajudicial rendition and secret detention of </w:t>
      </w:r>
      <w:r w:rsidR="00103502">
        <w:t>terrorist suspects</w:t>
      </w:r>
      <w:r w:rsidRPr="00A15301">
        <w:t xml:space="preserve">, it should be noted that only Parliament had the right to reopen an inquiry and that the Federal Government, which was of course free to </w:t>
      </w:r>
      <w:r w:rsidR="00103502">
        <w:t xml:space="preserve">further </w:t>
      </w:r>
      <w:r w:rsidRPr="00A15301">
        <w:t xml:space="preserve">investigate the alleged facts, </w:t>
      </w:r>
      <w:r w:rsidR="00103502">
        <w:t xml:space="preserve">could in no way </w:t>
      </w:r>
      <w:r w:rsidRPr="00A15301">
        <w:t>influence that decision.</w:t>
      </w:r>
    </w:p>
    <w:p w:rsidR="00A15301" w:rsidRPr="00A15301" w:rsidRDefault="00A15301" w:rsidP="00A15301">
      <w:pPr>
        <w:pStyle w:val="SingleTxtG"/>
      </w:pPr>
      <w:r w:rsidRPr="00A15301">
        <w:t>18.</w:t>
      </w:r>
      <w:r w:rsidRPr="00A15301">
        <w:tab/>
      </w:r>
      <w:r w:rsidRPr="00103502">
        <w:rPr>
          <w:b/>
        </w:rPr>
        <w:t>Ms. Wittling-Vogel</w:t>
      </w:r>
      <w:r w:rsidRPr="00A15301">
        <w:t xml:space="preserve"> (</w:t>
      </w:r>
      <w:smartTag w:uri="urn:schemas-microsoft-com:office:smarttags" w:element="place">
        <w:smartTag w:uri="urn:schemas-microsoft-com:office:smarttags" w:element="country-region">
          <w:r w:rsidRPr="00A15301">
            <w:t>Germany</w:t>
          </w:r>
        </w:smartTag>
      </w:smartTag>
      <w:r w:rsidRPr="00A15301">
        <w:t xml:space="preserve">) said that representatives of the Federal Agency for the Prevention of Torture were able to make surprise visits to places of detention. They </w:t>
      </w:r>
      <w:r w:rsidR="00103502">
        <w:t xml:space="preserve">could </w:t>
      </w:r>
      <w:r w:rsidRPr="00A15301">
        <w:t xml:space="preserve">not </w:t>
      </w:r>
      <w:r w:rsidR="00103502">
        <w:t xml:space="preserve">enter </w:t>
      </w:r>
      <w:r w:rsidRPr="00A15301">
        <w:t xml:space="preserve">the </w:t>
      </w:r>
      <w:r w:rsidR="00103502">
        <w:t xml:space="preserve">detention </w:t>
      </w:r>
      <w:r w:rsidRPr="00A15301">
        <w:t xml:space="preserve">centres belonging to foreign armed forces </w:t>
      </w:r>
      <w:r w:rsidR="00103502">
        <w:t xml:space="preserve">to </w:t>
      </w:r>
      <w:r w:rsidRPr="00A15301">
        <w:t xml:space="preserve">be found </w:t>
      </w:r>
      <w:r w:rsidR="00103502">
        <w:t xml:space="preserve">on </w:t>
      </w:r>
      <w:r w:rsidRPr="00A15301">
        <w:t>German territory as they did not come under German jurisdiction.</w:t>
      </w:r>
      <w:r w:rsidR="00103502">
        <w:t xml:space="preserve"> However</w:t>
      </w:r>
      <w:r w:rsidRPr="00A15301">
        <w:t>, the nationa</w:t>
      </w:r>
      <w:r w:rsidR="00F85C54">
        <w:t>l preventive mechanisms of the m</w:t>
      </w:r>
      <w:r w:rsidRPr="00A15301">
        <w:t>ember States</w:t>
      </w:r>
      <w:r w:rsidR="00103502">
        <w:t xml:space="preserve"> to which they belonged could enter them</w:t>
      </w:r>
      <w:r w:rsidRPr="00A15301">
        <w:t xml:space="preserve">. </w:t>
      </w:r>
      <w:r w:rsidR="00103502">
        <w:t>I</w:t>
      </w:r>
      <w:r w:rsidRPr="00A15301">
        <w:t xml:space="preserve">t should </w:t>
      </w:r>
      <w:r w:rsidR="00103502">
        <w:t xml:space="preserve">also </w:t>
      </w:r>
      <w:r w:rsidRPr="00A15301">
        <w:t xml:space="preserve">be noted that it was difficult to draw conclusions on the new provision of parole under electronic surveillance as it had only recently been adopted. It was known </w:t>
      </w:r>
      <w:r w:rsidR="00103502">
        <w:t xml:space="preserve">only </w:t>
      </w:r>
      <w:r w:rsidRPr="00A15301">
        <w:t xml:space="preserve">that in the State of </w:t>
      </w:r>
      <w:smartTag w:uri="urn:schemas-microsoft-com:office:smarttags" w:element="State">
        <w:smartTag w:uri="urn:schemas-microsoft-com:office:smarttags" w:element="place">
          <w:r w:rsidRPr="00A15301">
            <w:t>Hesse</w:t>
          </w:r>
        </w:smartTag>
      </w:smartTag>
      <w:r w:rsidRPr="00A15301">
        <w:t xml:space="preserve">, </w:t>
      </w:r>
      <w:r w:rsidR="00103502">
        <w:t xml:space="preserve">it had been </w:t>
      </w:r>
      <w:r w:rsidRPr="00A15301">
        <w:t>applied to 209 persons during August 2001.</w:t>
      </w:r>
    </w:p>
    <w:p w:rsidR="00A15301" w:rsidRPr="00A15301" w:rsidRDefault="00A15301" w:rsidP="00A15301">
      <w:pPr>
        <w:pStyle w:val="SingleTxtG"/>
      </w:pPr>
      <w:r w:rsidRPr="00A15301">
        <w:t>19.</w:t>
      </w:r>
      <w:r w:rsidRPr="00A15301">
        <w:tab/>
      </w:r>
      <w:r w:rsidRPr="00103502">
        <w:rPr>
          <w:b/>
        </w:rPr>
        <w:t>Mr. D</w:t>
      </w:r>
      <w:r w:rsidR="00103502" w:rsidRPr="00103502">
        <w:rPr>
          <w:b/>
        </w:rPr>
        <w:t>ü</w:t>
      </w:r>
      <w:r w:rsidRPr="00103502">
        <w:rPr>
          <w:b/>
        </w:rPr>
        <w:t>wel</w:t>
      </w:r>
      <w:r w:rsidRPr="00A15301">
        <w:t xml:space="preserve"> (</w:t>
      </w:r>
      <w:smartTag w:uri="urn:schemas-microsoft-com:office:smarttags" w:element="place">
        <w:smartTag w:uri="urn:schemas-microsoft-com:office:smarttags" w:element="country-region">
          <w:r w:rsidRPr="00A15301">
            <w:t>Germany</w:t>
          </w:r>
        </w:smartTag>
      </w:smartTag>
      <w:r w:rsidRPr="00A15301">
        <w:t>) said that strict conditions had to be met in order to resort to permanent isolation; it was a measure of last resort against which the detainee was able to appeal in the courts, which would then assess the legality of the decision. It was important to note that all detainees subjected to that measure received medical and psychological care. The aim of permanent isolation was to prevent contact with other detainees. As a result, there was no obstacle to the person concerned receiving visitors. Lastly, it should be noted that such a disciplinary measure was only temporary. After three months, renewal of the measure had to be authorized by the head of the prison in question.</w:t>
      </w:r>
    </w:p>
    <w:p w:rsidR="00A15301" w:rsidRPr="00A15301" w:rsidRDefault="00A15301" w:rsidP="00A15301">
      <w:pPr>
        <w:pStyle w:val="SingleTxtG"/>
      </w:pPr>
      <w:r w:rsidRPr="00A15301">
        <w:t>20.</w:t>
      </w:r>
      <w:r w:rsidRPr="00A15301">
        <w:tab/>
      </w:r>
      <w:r w:rsidRPr="00103502">
        <w:rPr>
          <w:b/>
        </w:rPr>
        <w:t>Ms. Wittling-Vogel</w:t>
      </w:r>
      <w:r w:rsidRPr="00A15301">
        <w:t xml:space="preserve"> (</w:t>
      </w:r>
      <w:smartTag w:uri="urn:schemas-microsoft-com:office:smarttags" w:element="place">
        <w:smartTag w:uri="urn:schemas-microsoft-com:office:smarttags" w:element="country-region">
          <w:r w:rsidRPr="00A15301">
            <w:t>Germany</w:t>
          </w:r>
        </w:smartTag>
      </w:smartTag>
      <w:r w:rsidRPr="00A15301">
        <w:t xml:space="preserve">) said that at 31 March 2011, there had been 71,200 detainees in German prisons, including 10,468 persons awaiting trial. </w:t>
      </w:r>
      <w:r w:rsidR="00103502">
        <w:t>I</w:t>
      </w:r>
      <w:r w:rsidRPr="00A15301">
        <w:t xml:space="preserve">t was also important to add that in order to reduce prison overcrowding, four new prisons had been built, two of </w:t>
      </w:r>
      <w:r w:rsidR="00103502">
        <w:t xml:space="preserve">them </w:t>
      </w:r>
      <w:r w:rsidRPr="00A15301">
        <w:t>already in service.</w:t>
      </w:r>
    </w:p>
    <w:p w:rsidR="00A15301" w:rsidRPr="00A15301" w:rsidRDefault="00A15301" w:rsidP="00A15301">
      <w:pPr>
        <w:pStyle w:val="SingleTxtG"/>
      </w:pPr>
      <w:r w:rsidRPr="00A15301">
        <w:t>21.</w:t>
      </w:r>
      <w:r w:rsidRPr="00A15301">
        <w:tab/>
      </w:r>
      <w:r w:rsidR="00103502">
        <w:rPr>
          <w:b/>
        </w:rPr>
        <w:t>The Chairperson</w:t>
      </w:r>
      <w:r w:rsidR="00103502">
        <w:t xml:space="preserve">, speaking in his capacity as </w:t>
      </w:r>
      <w:r w:rsidRPr="00A15301">
        <w:t>Country Rapporteur</w:t>
      </w:r>
      <w:r w:rsidR="00103502">
        <w:t>, noted</w:t>
      </w:r>
      <w:r w:rsidRPr="00A15301">
        <w:t xml:space="preserve"> that it was essential to define torture and the type of punishment that it carried</w:t>
      </w:r>
      <w:r w:rsidR="00103502">
        <w:t>. He</w:t>
      </w:r>
      <w:r w:rsidRPr="00A15301">
        <w:t xml:space="preserve"> wished to know how many of the allegations of violations related to article 1 of the Convention and how many related to article 16. He </w:t>
      </w:r>
      <w:r w:rsidR="00103502">
        <w:t xml:space="preserve">would </w:t>
      </w:r>
      <w:r w:rsidRPr="00A15301">
        <w:t xml:space="preserve">also </w:t>
      </w:r>
      <w:r w:rsidR="00103502">
        <w:t xml:space="preserve">like </w:t>
      </w:r>
      <w:r w:rsidRPr="00A15301">
        <w:t xml:space="preserve">data on prosecutions brought and sentences </w:t>
      </w:r>
      <w:r w:rsidR="00103502">
        <w:t xml:space="preserve">handed down to be </w:t>
      </w:r>
      <w:r w:rsidRPr="00A15301">
        <w:t xml:space="preserve">submitted to the Committee. The German delegation should also clarify whether torture constituted severe </w:t>
      </w:r>
      <w:r w:rsidR="00103502">
        <w:t xml:space="preserve">or </w:t>
      </w:r>
      <w:r w:rsidRPr="00A15301">
        <w:t>bodily harm</w:t>
      </w:r>
      <w:r w:rsidR="00103502">
        <w:t xml:space="preserve"> or any bodily injury, in which case</w:t>
      </w:r>
      <w:r w:rsidRPr="00A15301">
        <w:t xml:space="preserve">, the maximum sentence of </w:t>
      </w:r>
      <w:r w:rsidR="00103502">
        <w:t xml:space="preserve">5 </w:t>
      </w:r>
      <w:r w:rsidRPr="00A15301">
        <w:t xml:space="preserve">years for such a crime was not sufficient </w:t>
      </w:r>
      <w:r w:rsidR="00103502">
        <w:t xml:space="preserve">vis-à-vis </w:t>
      </w:r>
      <w:r w:rsidRPr="00A15301">
        <w:t>the Convention according to the Committee</w:t>
      </w:r>
      <w:r w:rsidR="00103502">
        <w:t>’s case law</w:t>
      </w:r>
      <w:r w:rsidRPr="00A15301">
        <w:t>. Statistics would be welcome.</w:t>
      </w:r>
    </w:p>
    <w:p w:rsidR="00A15301" w:rsidRPr="00A15301" w:rsidRDefault="00A15301" w:rsidP="00A15301">
      <w:pPr>
        <w:pStyle w:val="SingleTxtG"/>
      </w:pPr>
      <w:r w:rsidRPr="00A15301">
        <w:t>22.</w:t>
      </w:r>
      <w:r w:rsidRPr="00A15301">
        <w:tab/>
        <w:t xml:space="preserve">Stressing that it was impossible to directly apply the provisions of article 1 through the Criminal Code because </w:t>
      </w:r>
      <w:r w:rsidR="00103502">
        <w:t xml:space="preserve">it </w:t>
      </w:r>
      <w:r w:rsidRPr="00A15301">
        <w:t xml:space="preserve">contained no specific sentence for acts of torture, he requested information on the direct applicability of the Convention in </w:t>
      </w:r>
      <w:smartTag w:uri="urn:schemas-microsoft-com:office:smarttags" w:element="country-region">
        <w:smartTag w:uri="urn:schemas-microsoft-com:office:smarttags" w:element="place">
          <w:r w:rsidRPr="00A15301">
            <w:t>Germany</w:t>
          </w:r>
        </w:smartTag>
      </w:smartTag>
      <w:r w:rsidRPr="00A15301">
        <w:t>. Moreover, given that the State party was unable to collect data on ethnicity, it would be useful to know that when an offence covered by the Convention was motivated by racism, there were other ways to address the problem, for example by focusing on activities such as the training of Roma police officers.</w:t>
      </w:r>
    </w:p>
    <w:p w:rsidR="00B64B1F" w:rsidRDefault="00A15301" w:rsidP="00A15301">
      <w:pPr>
        <w:pStyle w:val="SingleTxtG"/>
      </w:pPr>
      <w:r w:rsidRPr="00A15301">
        <w:t>23.</w:t>
      </w:r>
      <w:r w:rsidRPr="00A15301">
        <w:tab/>
        <w:t>On the issue of trafficking</w:t>
      </w:r>
      <w:r w:rsidR="00103502">
        <w:t xml:space="preserve"> in persons</w:t>
      </w:r>
      <w:r w:rsidRPr="00A15301">
        <w:t>, he wished to know whether there had be</w:t>
      </w:r>
      <w:r w:rsidR="00103502">
        <w:t>en any cases where the principle</w:t>
      </w:r>
      <w:r w:rsidRPr="00A15301">
        <w:t xml:space="preserve"> of universal jurisdiction had been applied in order to bring charges and </w:t>
      </w:r>
      <w:r w:rsidR="00103502">
        <w:t xml:space="preserve">impose </w:t>
      </w:r>
      <w:r w:rsidRPr="00A15301">
        <w:t xml:space="preserve">sentences and whether the fight against </w:t>
      </w:r>
      <w:r w:rsidR="00103502">
        <w:t xml:space="preserve">such </w:t>
      </w:r>
      <w:r w:rsidRPr="00A15301">
        <w:t xml:space="preserve">trafficking was a priority for </w:t>
      </w:r>
      <w:smartTag w:uri="urn:schemas-microsoft-com:office:smarttags" w:element="country-region">
        <w:smartTag w:uri="urn:schemas-microsoft-com:office:smarttags" w:element="place">
          <w:r w:rsidRPr="00A15301">
            <w:t>Germany</w:t>
          </w:r>
        </w:smartTag>
      </w:smartTag>
      <w:r w:rsidRPr="00A15301">
        <w:t>. Indicators, such as increased budgetary resources, the creation of special units</w:t>
      </w:r>
      <w:r w:rsidR="00103502">
        <w:t>,</w:t>
      </w:r>
      <w:r w:rsidRPr="00A15301">
        <w:t xml:space="preserve"> and training activities, could be revealing in that regard.</w:t>
      </w:r>
    </w:p>
    <w:p w:rsidR="00B23C8A" w:rsidRPr="001B3C12" w:rsidRDefault="00B23C8A" w:rsidP="00500CB2">
      <w:pPr>
        <w:pStyle w:val="SingleTxtG"/>
      </w:pPr>
      <w:r w:rsidRPr="001B3C12">
        <w:t>24.</w:t>
      </w:r>
      <w:r w:rsidRPr="001B3C12">
        <w:tab/>
        <w:t>In cases of crimes committed by military</w:t>
      </w:r>
      <w:r>
        <w:t xml:space="preserve"> personnel</w:t>
      </w:r>
      <w:r w:rsidRPr="001B3C12">
        <w:t>, he wished to know how the competent court was determined and what procedures were applied in cases of risk of double</w:t>
      </w:r>
      <w:r>
        <w:t xml:space="preserve"> jeopardy (</w:t>
      </w:r>
      <w:r>
        <w:rPr>
          <w:i/>
        </w:rPr>
        <w:t>ne bis idem</w:t>
      </w:r>
      <w:r w:rsidRPr="009A135F">
        <w:t>)</w:t>
      </w:r>
      <w:r w:rsidRPr="001B3C12">
        <w:t xml:space="preserve">. For crimes that came under the Criminal Code </w:t>
      </w:r>
      <w:r>
        <w:t xml:space="preserve">rather than </w:t>
      </w:r>
      <w:r w:rsidRPr="001B3C12">
        <w:t>the Military Penal Code, such as severe bodily harm, which was the competent court?</w:t>
      </w:r>
    </w:p>
    <w:p w:rsidR="00B23C8A" w:rsidRPr="001B3C12" w:rsidRDefault="00B23C8A" w:rsidP="00500CB2">
      <w:pPr>
        <w:pStyle w:val="SingleTxtG"/>
      </w:pPr>
      <w:r w:rsidRPr="001B3C12">
        <w:t>25.</w:t>
      </w:r>
      <w:r w:rsidRPr="001B3C12">
        <w:tab/>
        <w:t xml:space="preserve">With regard to the use, as a last resort, of physical restraint, he asked whether a medical examination was carried out in all cases. On the issue of unaccompanied minors, there had been mention of training, but it would be useful to know the position of </w:t>
      </w:r>
      <w:smartTag w:uri="urn:schemas-microsoft-com:office:smarttags" w:element="country-region">
        <w:smartTag w:uri="urn:schemas-microsoft-com:office:smarttags" w:element="place">
          <w:r w:rsidRPr="001B3C12">
            <w:t>Germany</w:t>
          </w:r>
        </w:smartTag>
      </w:smartTag>
      <w:r w:rsidRPr="001B3C12">
        <w:t xml:space="preserve"> with regard to the ongoing debate w</w:t>
      </w:r>
      <w:r>
        <w:t>ithin the European Union on the</w:t>
      </w:r>
      <w:r w:rsidRPr="001B3C12">
        <w:t xml:space="preserve"> issue. Turning to voluntary returns, which, unfortunately, were often not as voluntary as</w:t>
      </w:r>
      <w:r>
        <w:t xml:space="preserve"> claimed</w:t>
      </w:r>
      <w:r w:rsidRPr="001B3C12">
        <w:t xml:space="preserve">, he asked whether, given that the consequences of returning to their country were yet to be fully assessed, the “candidates” </w:t>
      </w:r>
      <w:r>
        <w:t xml:space="preserve">for repatriation </w:t>
      </w:r>
      <w:r w:rsidRPr="001B3C12">
        <w:t xml:space="preserve">had access to a lawyer. Noting that diplomatic assurances seemed to have lost their appeal as a result of their </w:t>
      </w:r>
      <w:r>
        <w:t>un</w:t>
      </w:r>
      <w:r w:rsidRPr="001B3C12">
        <w:t xml:space="preserve">reliability, which had been confirmed in practice, and that when the risk of a violation of article 3 was invoked, such assurances did not solve the problem, he requested information on cases of expulsion, </w:t>
      </w:r>
      <w:r>
        <w:t xml:space="preserve">as a </w:t>
      </w:r>
      <w:r w:rsidRPr="001B3C12">
        <w:t xml:space="preserve">complement </w:t>
      </w:r>
      <w:r>
        <w:t xml:space="preserve">to </w:t>
      </w:r>
      <w:r w:rsidRPr="001B3C12">
        <w:t xml:space="preserve">the information on extradition. Lastly, he asked whether the case of Mr. El-Masri did not </w:t>
      </w:r>
      <w:r>
        <w:t xml:space="preserve">fall </w:t>
      </w:r>
      <w:r w:rsidRPr="001B3C12">
        <w:t xml:space="preserve">under article 14, which guaranteed the right to obtain reparation, and whether such reparation had been requested or proposed, whether </w:t>
      </w:r>
      <w:r>
        <w:t xml:space="preserve">an appeal </w:t>
      </w:r>
      <w:r w:rsidRPr="001B3C12">
        <w:t>was possible, and whether application of article 14 was</w:t>
      </w:r>
      <w:r>
        <w:t xml:space="preserve"> envisaged</w:t>
      </w:r>
      <w:r w:rsidRPr="001B3C12">
        <w:t>.</w:t>
      </w:r>
    </w:p>
    <w:p w:rsidR="00B23C8A" w:rsidRPr="001B3C12" w:rsidRDefault="00B23C8A" w:rsidP="00500CB2">
      <w:pPr>
        <w:pStyle w:val="SingleTxtG"/>
      </w:pPr>
      <w:r w:rsidRPr="001B3C12">
        <w:t>26.</w:t>
      </w:r>
      <w:r w:rsidRPr="001B3C12">
        <w:tab/>
      </w:r>
      <w:r w:rsidRPr="009A135F">
        <w:rPr>
          <w:b/>
        </w:rPr>
        <w:t>Ms</w:t>
      </w:r>
      <w:r>
        <w:rPr>
          <w:b/>
        </w:rPr>
        <w:t>.</w:t>
      </w:r>
      <w:r w:rsidRPr="009A135F">
        <w:rPr>
          <w:b/>
        </w:rPr>
        <w:t xml:space="preserve"> Kleopas</w:t>
      </w:r>
      <w:r w:rsidRPr="001B3C12">
        <w:t xml:space="preserve"> (Country Rapporteur) asked </w:t>
      </w:r>
      <w:r>
        <w:t xml:space="preserve">what </w:t>
      </w:r>
      <w:r w:rsidRPr="001B3C12">
        <w:t xml:space="preserve">could be </w:t>
      </w:r>
      <w:r>
        <w:t xml:space="preserve">done to ensure </w:t>
      </w:r>
      <w:r w:rsidRPr="001B3C12">
        <w:t xml:space="preserve">that the Länder, which were responsible for prisons, were </w:t>
      </w:r>
      <w:r>
        <w:t xml:space="preserve">kept abreast </w:t>
      </w:r>
      <w:r w:rsidRPr="001B3C12">
        <w:t>of the Committee’s recommendations and implemented them.</w:t>
      </w:r>
    </w:p>
    <w:p w:rsidR="00B23C8A" w:rsidRPr="001B3C12" w:rsidRDefault="00B23C8A" w:rsidP="00500CB2">
      <w:pPr>
        <w:pStyle w:val="SingleTxtG"/>
      </w:pPr>
      <w:r w:rsidRPr="001B3C12">
        <w:t>27.</w:t>
      </w:r>
      <w:r w:rsidRPr="001B3C12">
        <w:tab/>
        <w:t>Welcoming the prohibition of use of physical restraint (</w:t>
      </w:r>
      <w:r w:rsidRPr="009A135F">
        <w:rPr>
          <w:i/>
        </w:rPr>
        <w:t>Fixierung</w:t>
      </w:r>
      <w:r w:rsidRPr="001B3C12">
        <w:t>) by the Federal Police, she asked whether the Länder had also banned</w:t>
      </w:r>
      <w:r>
        <w:t xml:space="preserve"> </w:t>
      </w:r>
      <w:r w:rsidRPr="001B3C12">
        <w:t>the practice.</w:t>
      </w:r>
    </w:p>
    <w:p w:rsidR="00B23C8A" w:rsidRPr="001B3C12" w:rsidRDefault="00B23C8A" w:rsidP="00500CB2">
      <w:pPr>
        <w:pStyle w:val="SingleTxtG"/>
      </w:pPr>
      <w:r w:rsidRPr="001B3C12">
        <w:t>28.</w:t>
      </w:r>
      <w:r w:rsidRPr="001B3C12">
        <w:tab/>
        <w:t xml:space="preserve">With regard to the requirement for police officers in </w:t>
      </w:r>
      <w:smartTag w:uri="urn:schemas-microsoft-com:office:smarttags" w:element="place">
        <w:smartTag w:uri="urn:schemas-microsoft-com:office:smarttags" w:element="State">
          <w:r w:rsidRPr="001B3C12">
            <w:t>Berlin</w:t>
          </w:r>
        </w:smartTag>
      </w:smartTag>
      <w:r w:rsidRPr="001B3C12">
        <w:t xml:space="preserve"> to carry a badge identifying themselves, she asked whether, if it proved successful, that initiative could be extended to the entire country. Turning to investigations carried out by German officials abroad, which were no longer permitted, she asked whether they had been carried out by security agents or federal officials, and whether they had been permitted to interview persons in connection with those investigations. She also wished to know whether information on the psychological effects of torture was also included in the training provided on asylum procedur</w:t>
      </w:r>
      <w:r>
        <w:t>es under the Istanbul Protocol.</w:t>
      </w:r>
    </w:p>
    <w:p w:rsidR="00B23C8A" w:rsidRPr="001B3C12" w:rsidRDefault="00B23C8A" w:rsidP="00500CB2">
      <w:pPr>
        <w:pStyle w:val="SingleTxtG"/>
      </w:pPr>
      <w:r w:rsidRPr="001B3C12">
        <w:t>29.</w:t>
      </w:r>
      <w:r w:rsidRPr="001B3C12">
        <w:tab/>
        <w:t>Regarding the confessions obtained under</w:t>
      </w:r>
      <w:r>
        <w:t xml:space="preserve"> duress</w:t>
      </w:r>
      <w:r w:rsidRPr="001B3C12">
        <w:t xml:space="preserve">, she </w:t>
      </w:r>
      <w:r>
        <w:t xml:space="preserve">wondered </w:t>
      </w:r>
      <w:r w:rsidRPr="001B3C12">
        <w:t>whether the burden of proof should not lie with the prosecuti</w:t>
      </w:r>
      <w:r>
        <w:t>on rather than the defendant;</w:t>
      </w:r>
      <w:r w:rsidRPr="001B3C12">
        <w:t xml:space="preserve"> in the absence of witnesses, it was difficult to gather evidence when a person under interrogation was subjected to</w:t>
      </w:r>
      <w:r>
        <w:t xml:space="preserve"> torture or held incommunicado.</w:t>
      </w:r>
    </w:p>
    <w:p w:rsidR="00B23C8A" w:rsidRPr="001B3C12" w:rsidRDefault="00B23C8A" w:rsidP="00500CB2">
      <w:pPr>
        <w:pStyle w:val="SingleTxtG"/>
      </w:pPr>
      <w:r w:rsidRPr="001B3C12">
        <w:t>30.</w:t>
      </w:r>
      <w:r w:rsidRPr="001B3C12">
        <w:tab/>
        <w:t xml:space="preserve">Lastly, she requested more detailed information on the separation of </w:t>
      </w:r>
      <w:r>
        <w:t xml:space="preserve">young </w:t>
      </w:r>
      <w:r w:rsidRPr="001B3C12">
        <w:t>and adult offenders</w:t>
      </w:r>
      <w:r>
        <w:t>,</w:t>
      </w:r>
      <w:r w:rsidRPr="001B3C12">
        <w:t xml:space="preserve"> and investigations into alleg</w:t>
      </w:r>
      <w:r>
        <w:t>ed police</w:t>
      </w:r>
      <w:r w:rsidRPr="001B3C12">
        <w:t xml:space="preserve"> ill-treatment, which should be independent </w:t>
      </w:r>
      <w:r>
        <w:t xml:space="preserve">of </w:t>
      </w:r>
      <w:r w:rsidRPr="001B3C12">
        <w:t>the police and should be carried out by an independent body rather than another police department.</w:t>
      </w:r>
    </w:p>
    <w:p w:rsidR="00B23C8A" w:rsidRPr="001B3C12" w:rsidRDefault="00B23C8A" w:rsidP="00500CB2">
      <w:pPr>
        <w:pStyle w:val="SingleTxtG"/>
      </w:pPr>
      <w:r w:rsidRPr="001B3C12">
        <w:t>31.</w:t>
      </w:r>
      <w:r w:rsidRPr="001B3C12">
        <w:tab/>
      </w:r>
      <w:r w:rsidRPr="009A135F">
        <w:rPr>
          <w:b/>
        </w:rPr>
        <w:t>Mr. Mariño Menéndez</w:t>
      </w:r>
      <w:r w:rsidRPr="001B3C12">
        <w:t xml:space="preserve">, </w:t>
      </w:r>
      <w:r>
        <w:t xml:space="preserve">referring to the lack of any </w:t>
      </w:r>
      <w:r w:rsidRPr="001B3C12">
        <w:t>definition of the crime of torture in the Criminal Code and the German Parliament</w:t>
      </w:r>
      <w:r>
        <w:t>’s refusal to amend its</w:t>
      </w:r>
      <w:r w:rsidRPr="001B3C12">
        <w:t xml:space="preserve"> legislation </w:t>
      </w:r>
      <w:r>
        <w:t xml:space="preserve">as required </w:t>
      </w:r>
      <w:r w:rsidRPr="001B3C12">
        <w:t>by international law, noted that a number of treaties defined torture, which had become a technical term in international law</w:t>
      </w:r>
      <w:r>
        <w:t xml:space="preserve"> as a whole</w:t>
      </w:r>
      <w:r w:rsidRPr="001B3C12">
        <w:t xml:space="preserve">. With regard to Mr. El-Masri, he stressed that, from a legal point of view, being of German nationality was not sufficient to establish German jurisdiction; his extradition to a foreign country for reasons of national security and political interest and the fact that he was unable to obtain compensation in the German courts raised many questions. He therefore wished to know whether national security considerations could overshadow the risk of torture faced by German nationals. In any case, Mr. El-Masri had been unable to obtain civil compensation in the </w:t>
      </w:r>
      <w:smartTag w:uri="urn:schemas-microsoft-com:office:smarttags" w:element="country-region">
        <w:r w:rsidRPr="001B3C12">
          <w:t>United States of America</w:t>
        </w:r>
      </w:smartTag>
      <w:r w:rsidRPr="001B3C12">
        <w:t xml:space="preserve"> and was also deprived of such compensation in </w:t>
      </w:r>
      <w:smartTag w:uri="urn:schemas-microsoft-com:office:smarttags" w:element="country-region">
        <w:smartTag w:uri="urn:schemas-microsoft-com:office:smarttags" w:element="place">
          <w:r w:rsidRPr="001B3C12">
            <w:t>Germany</w:t>
          </w:r>
        </w:smartTag>
      </w:smartTag>
      <w:r>
        <w:t>, which made him wonder</w:t>
      </w:r>
      <w:r w:rsidRPr="001B3C12">
        <w:t xml:space="preserve"> whether there was </w:t>
      </w:r>
      <w:r>
        <w:t xml:space="preserve">any </w:t>
      </w:r>
      <w:r w:rsidRPr="001B3C12">
        <w:t>effective remedy.</w:t>
      </w:r>
    </w:p>
    <w:p w:rsidR="00B23C8A" w:rsidRPr="001B3C12" w:rsidRDefault="00B23C8A" w:rsidP="00500CB2">
      <w:pPr>
        <w:pStyle w:val="SingleTxtG"/>
      </w:pPr>
      <w:r w:rsidRPr="001B3C12">
        <w:t>32.</w:t>
      </w:r>
      <w:r w:rsidRPr="001B3C12">
        <w:tab/>
        <w:t xml:space="preserve">It would be useful to know why foreign women residing in </w:t>
      </w:r>
      <w:smartTag w:uri="urn:schemas-microsoft-com:office:smarttags" w:element="place">
        <w:smartTag w:uri="urn:schemas-microsoft-com:office:smarttags" w:element="country-region">
          <w:r w:rsidRPr="001B3C12">
            <w:t>Germany</w:t>
          </w:r>
        </w:smartTag>
      </w:smartTag>
      <w:r>
        <w:t>,</w:t>
      </w:r>
      <w:r w:rsidRPr="001B3C12">
        <w:t xml:space="preserve"> </w:t>
      </w:r>
      <w:r>
        <w:t xml:space="preserve">who </w:t>
      </w:r>
      <w:r w:rsidRPr="001B3C12">
        <w:t>had been forced to marry abroad for religious reasons were obliged to request political asylum on their return and were not permitted to stay in the country even though, in many cases, they had grown up and had ties there.</w:t>
      </w:r>
    </w:p>
    <w:p w:rsidR="00B23C8A" w:rsidRPr="001B3C12" w:rsidRDefault="00B23C8A" w:rsidP="00500CB2">
      <w:pPr>
        <w:pStyle w:val="SingleTxtG"/>
      </w:pPr>
      <w:r w:rsidRPr="001B3C12">
        <w:t>33.</w:t>
      </w:r>
      <w:r w:rsidRPr="001B3C12">
        <w:tab/>
        <w:t xml:space="preserve">With regard to </w:t>
      </w:r>
      <w:r>
        <w:t>the North Atlantic Treaty Organization (</w:t>
      </w:r>
      <w:r w:rsidRPr="001B3C12">
        <w:t>NATO</w:t>
      </w:r>
      <w:r>
        <w:t>)</w:t>
      </w:r>
      <w:r w:rsidRPr="001B3C12">
        <w:t xml:space="preserve"> bases, which came under the jurisdiction of third countries, he asked whether, </w:t>
      </w:r>
      <w:r>
        <w:t xml:space="preserve">under </w:t>
      </w:r>
      <w:r w:rsidRPr="001B3C12">
        <w:t xml:space="preserve">international law, Germany </w:t>
      </w:r>
      <w:r>
        <w:t>did not have an obligation</w:t>
      </w:r>
      <w:r w:rsidRPr="001B3C12">
        <w:t xml:space="preserve"> to cooperate in cases </w:t>
      </w:r>
      <w:r>
        <w:t xml:space="preserve">of </w:t>
      </w:r>
      <w:r w:rsidRPr="001B3C12">
        <w:t>allegations of inhuman treatment in one of those bases and a moral obligation to demand an investigation without encroaching on the jurisdiction of NATO</w:t>
      </w:r>
      <w:r>
        <w:t xml:space="preserve"> by so doing</w:t>
      </w:r>
      <w:r w:rsidRPr="001B3C12">
        <w:t xml:space="preserve">. Lastly, with regard to refugees, he wished to know whether, </w:t>
      </w:r>
      <w:r>
        <w:t xml:space="preserve">when there was a </w:t>
      </w:r>
      <w:r w:rsidRPr="001B3C12">
        <w:t xml:space="preserve">change of political regime in a country to which a person had previously been unable to be returned because of </w:t>
      </w:r>
      <w:r>
        <w:t xml:space="preserve">the </w:t>
      </w:r>
      <w:r w:rsidRPr="001B3C12">
        <w:t>risk of torture, refugee status could be revoked automatically.</w:t>
      </w:r>
    </w:p>
    <w:p w:rsidR="00B23C8A" w:rsidRPr="001B3C12" w:rsidRDefault="00B23C8A" w:rsidP="00500CB2">
      <w:pPr>
        <w:pStyle w:val="SingleTxtG"/>
      </w:pPr>
      <w:r w:rsidRPr="001B3C12">
        <w:t>34.</w:t>
      </w:r>
      <w:r w:rsidRPr="001B3C12">
        <w:tab/>
      </w:r>
      <w:r w:rsidRPr="009A135F">
        <w:rPr>
          <w:b/>
        </w:rPr>
        <w:t>Ms. Gaer</w:t>
      </w:r>
      <w:r w:rsidRPr="001B3C12">
        <w:t xml:space="preserve"> </w:t>
      </w:r>
      <w:r>
        <w:t>expressed surprise</w:t>
      </w:r>
      <w:r w:rsidRPr="001B3C12">
        <w:t xml:space="preserve"> </w:t>
      </w:r>
      <w:r>
        <w:t xml:space="preserve">that </w:t>
      </w:r>
      <w:r w:rsidRPr="001B3C12">
        <w:t xml:space="preserve">negotiations </w:t>
      </w:r>
      <w:r>
        <w:t>were under way</w:t>
      </w:r>
      <w:r w:rsidRPr="001B3C12">
        <w:t xml:space="preserve"> regarding a visit to Mr. Kaplan, “Caliph of Cologne”, since he had been expelled from </w:t>
      </w:r>
      <w:smartTag w:uri="urn:schemas-microsoft-com:office:smarttags" w:element="country-region">
        <w:r w:rsidRPr="001B3C12">
          <w:t>Germany</w:t>
        </w:r>
      </w:smartTag>
      <w:r w:rsidRPr="001B3C12">
        <w:t xml:space="preserve"> to </w:t>
      </w:r>
      <w:smartTag w:uri="urn:schemas-microsoft-com:office:smarttags" w:element="place">
        <w:smartTag w:uri="urn:schemas-microsoft-com:office:smarttags" w:element="country-region">
          <w:r w:rsidRPr="001B3C12">
            <w:t>Turkey</w:t>
          </w:r>
        </w:smartTag>
      </w:smartTag>
      <w:r w:rsidRPr="001B3C12">
        <w:t xml:space="preserve"> in 2004. She requested clarification on the </w:t>
      </w:r>
      <w:r>
        <w:t xml:space="preserve">relevant </w:t>
      </w:r>
      <w:r w:rsidRPr="001B3C12">
        <w:t>diplomatic assurances and</w:t>
      </w:r>
      <w:r>
        <w:t xml:space="preserve"> how </w:t>
      </w:r>
      <w:r w:rsidRPr="001B3C12">
        <w:t>such cases</w:t>
      </w:r>
      <w:r>
        <w:t xml:space="preserve"> were monitored</w:t>
      </w:r>
      <w:r w:rsidRPr="001B3C12">
        <w:t>.</w:t>
      </w:r>
    </w:p>
    <w:p w:rsidR="00B23C8A" w:rsidRPr="001B3C12" w:rsidRDefault="00B23C8A" w:rsidP="00500CB2">
      <w:pPr>
        <w:pStyle w:val="SingleTxtG"/>
      </w:pPr>
      <w:r w:rsidRPr="001B3C12">
        <w:t>35.</w:t>
      </w:r>
      <w:r w:rsidRPr="001B3C12">
        <w:tab/>
        <w:t xml:space="preserve">It was important </w:t>
      </w:r>
      <w:r>
        <w:t xml:space="preserve">to be able to identify </w:t>
      </w:r>
      <w:r w:rsidRPr="001B3C12">
        <w:t xml:space="preserve">law enforcement officials individually, whether in public places or in places of detention, </w:t>
      </w:r>
      <w:r>
        <w:t xml:space="preserve">by the presence of </w:t>
      </w:r>
      <w:r w:rsidRPr="001B3C12">
        <w:t xml:space="preserve">a badge or </w:t>
      </w:r>
      <w:r>
        <w:t xml:space="preserve">a marked </w:t>
      </w:r>
      <w:r w:rsidRPr="001B3C12">
        <w:t xml:space="preserve">vehicle, for example. The delegation had stressed that no reliable source had corroborated the claim that the difficulty </w:t>
      </w:r>
      <w:r>
        <w:t xml:space="preserve">of </w:t>
      </w:r>
      <w:r w:rsidRPr="001B3C12">
        <w:t xml:space="preserve">identifying police officers impeded investigations </w:t>
      </w:r>
      <w:r>
        <w:t xml:space="preserve">concerning </w:t>
      </w:r>
      <w:r w:rsidRPr="001B3C12">
        <w:t xml:space="preserve">them. However, Amnesty International had stated in its report that one of the reasons that victims of </w:t>
      </w:r>
      <w:r>
        <w:t xml:space="preserve">police </w:t>
      </w:r>
      <w:r w:rsidRPr="001B3C12">
        <w:t xml:space="preserve">ill-treatment did not </w:t>
      </w:r>
      <w:r>
        <w:t xml:space="preserve">file </w:t>
      </w:r>
      <w:r w:rsidRPr="001B3C12">
        <w:t xml:space="preserve">complaints was that it was impossible to identify the alleged author. Similarly, a professor from </w:t>
      </w:r>
      <w:smartTag w:uri="urn:schemas-microsoft-com:office:smarttags" w:element="State">
        <w:smartTag w:uri="urn:schemas-microsoft-com:office:smarttags" w:element="place">
          <w:r w:rsidRPr="001B3C12">
            <w:t>Berlin</w:t>
          </w:r>
        </w:smartTag>
      </w:smartTag>
      <w:r w:rsidRPr="001B3C12">
        <w:t xml:space="preserve"> had carried out a detailed study, in which he stated that 10 per cent of cases that he examined had been dismissed because the officers involved had not been identified. The delegation might wish to indicate whether they were aware of that study and </w:t>
      </w:r>
      <w:r>
        <w:t xml:space="preserve">explain </w:t>
      </w:r>
      <w:r w:rsidRPr="001B3C12">
        <w:t>why they felt that the sources mentioned were not reliable.</w:t>
      </w:r>
    </w:p>
    <w:p w:rsidR="00B23C8A" w:rsidRPr="001B3C12" w:rsidRDefault="00B23C8A" w:rsidP="00500CB2">
      <w:pPr>
        <w:pStyle w:val="SingleTxtG"/>
      </w:pPr>
      <w:r w:rsidRPr="001B3C12">
        <w:t>36.</w:t>
      </w:r>
      <w:r w:rsidRPr="001B3C12">
        <w:tab/>
      </w:r>
      <w:r w:rsidRPr="009A135F">
        <w:rPr>
          <w:b/>
        </w:rPr>
        <w:t>Ms. Sveaass</w:t>
      </w:r>
      <w:r w:rsidRPr="001B3C12">
        <w:t xml:space="preserve"> </w:t>
      </w:r>
      <w:r>
        <w:t xml:space="preserve">said that she </w:t>
      </w:r>
      <w:r w:rsidRPr="001B3C12">
        <w:t xml:space="preserve">welcomed the </w:t>
      </w:r>
      <w:r>
        <w:t xml:space="preserve">State party’s </w:t>
      </w:r>
      <w:r w:rsidRPr="001B3C12">
        <w:t xml:space="preserve">implementation of training programmes </w:t>
      </w:r>
      <w:r>
        <w:t xml:space="preserve">for </w:t>
      </w:r>
      <w:r w:rsidRPr="001B3C12">
        <w:t>spot</w:t>
      </w:r>
      <w:r>
        <w:t>ting</w:t>
      </w:r>
      <w:r w:rsidRPr="001B3C12">
        <w:t xml:space="preserve"> vulnerable asylum</w:t>
      </w:r>
      <w:r>
        <w:t xml:space="preserve"> </w:t>
      </w:r>
      <w:r w:rsidRPr="001B3C12">
        <w:t xml:space="preserve">seekers, but stressed that it was important to determine what being considered as </w:t>
      </w:r>
      <w:r>
        <w:t xml:space="preserve">vulnerable </w:t>
      </w:r>
      <w:r w:rsidRPr="001B3C12">
        <w:t>meant for an asylum</w:t>
      </w:r>
      <w:r>
        <w:t xml:space="preserve"> </w:t>
      </w:r>
      <w:r w:rsidRPr="001B3C12">
        <w:t xml:space="preserve">seeker. For example, would the asylum procedure be accelerated? Or would they be guaranteed other rights? In cases </w:t>
      </w:r>
      <w:r>
        <w:t xml:space="preserve">that </w:t>
      </w:r>
      <w:r w:rsidRPr="001B3C12">
        <w:t>came under the Dublin II Regulation, it was also important to ensure that screening procedures for determining such cases were subject to further evaluation. The Istanbul Protocol was a very important instrument in that regard because it was related not only to the physical effects of torture, but also the psychological effects.</w:t>
      </w:r>
    </w:p>
    <w:p w:rsidR="00B23C8A" w:rsidRPr="001B3C12" w:rsidRDefault="00B23C8A" w:rsidP="00500CB2">
      <w:pPr>
        <w:pStyle w:val="SingleTxtG"/>
      </w:pPr>
      <w:r w:rsidRPr="001B3C12">
        <w:t>37.</w:t>
      </w:r>
      <w:r w:rsidRPr="001B3C12">
        <w:tab/>
        <w:t xml:space="preserve">She welcomed the continued financial support of the Government for special rehabilitation centres for victims of torture. However, </w:t>
      </w:r>
      <w:r>
        <w:t xml:space="preserve">given </w:t>
      </w:r>
      <w:r w:rsidRPr="001B3C12">
        <w:t xml:space="preserve">the </w:t>
      </w:r>
      <w:r>
        <w:t xml:space="preserve">large </w:t>
      </w:r>
      <w:r w:rsidRPr="001B3C12">
        <w:t>number of asylum</w:t>
      </w:r>
      <w:r>
        <w:t xml:space="preserve"> </w:t>
      </w:r>
      <w:r w:rsidRPr="001B3C12">
        <w:t xml:space="preserve">seekers and refugees </w:t>
      </w:r>
      <w:r>
        <w:t xml:space="preserve">with </w:t>
      </w:r>
      <w:r w:rsidRPr="001B3C12">
        <w:t>particular needs in that area, she asked whether there were plans to implement more systematic rehabilitation programmes, particularly within the</w:t>
      </w:r>
      <w:r>
        <w:t xml:space="preserve"> regular</w:t>
      </w:r>
      <w:r w:rsidRPr="001B3C12">
        <w:t xml:space="preserve"> health-care system.</w:t>
      </w:r>
    </w:p>
    <w:p w:rsidR="00B23C8A" w:rsidRPr="001B3C12" w:rsidRDefault="00B23C8A" w:rsidP="00500CB2">
      <w:pPr>
        <w:pStyle w:val="SingleTxtG"/>
      </w:pPr>
      <w:r w:rsidRPr="001B3C12">
        <w:t>38.</w:t>
      </w:r>
      <w:r w:rsidRPr="001B3C12">
        <w:tab/>
        <w:t xml:space="preserve">The delegation had </w:t>
      </w:r>
      <w:r>
        <w:t xml:space="preserve">said </w:t>
      </w:r>
      <w:r w:rsidRPr="001B3C12">
        <w:t>that when an asylum</w:t>
      </w:r>
      <w:r>
        <w:t xml:space="preserve"> </w:t>
      </w:r>
      <w:r w:rsidRPr="001B3C12">
        <w:t xml:space="preserve">seeker had been denied asylum and returned to a country where they then </w:t>
      </w:r>
      <w:r>
        <w:t xml:space="preserve">became </w:t>
      </w:r>
      <w:r w:rsidRPr="001B3C12">
        <w:t xml:space="preserve">a victim of torture, if they were to </w:t>
      </w:r>
      <w:r>
        <w:t xml:space="preserve">come back </w:t>
      </w:r>
      <w:r w:rsidRPr="001B3C12">
        <w:t xml:space="preserve">to </w:t>
      </w:r>
      <w:smartTag w:uri="urn:schemas-microsoft-com:office:smarttags" w:element="country-region">
        <w:smartTag w:uri="urn:schemas-microsoft-com:office:smarttags" w:element="place">
          <w:r w:rsidRPr="001B3C12">
            <w:t>Germany</w:t>
          </w:r>
        </w:smartTag>
      </w:smartTag>
      <w:r w:rsidRPr="001B3C12">
        <w:t>, they were able to submit a new asylum</w:t>
      </w:r>
      <w:r>
        <w:t xml:space="preserve"> application</w:t>
      </w:r>
      <w:r w:rsidRPr="001B3C12">
        <w:t xml:space="preserve">. And yet in those circumstances, that person’s return in itself </w:t>
      </w:r>
      <w:r>
        <w:t xml:space="preserve">constituted </w:t>
      </w:r>
      <w:r w:rsidRPr="001B3C12">
        <w:t>a violation of article 3 of the Convention and the person should therefore be subject to measures other than a simple re</w:t>
      </w:r>
      <w:r>
        <w:t>consideration</w:t>
      </w:r>
      <w:r w:rsidRPr="001B3C12">
        <w:t xml:space="preserve"> of their</w:t>
      </w:r>
      <w:r>
        <w:t xml:space="preserve"> application</w:t>
      </w:r>
      <w:r w:rsidRPr="001B3C12">
        <w:t xml:space="preserve">, particularly </w:t>
      </w:r>
      <w:r>
        <w:t xml:space="preserve">compensation </w:t>
      </w:r>
      <w:r w:rsidRPr="001B3C12">
        <w:t>measures. Did the State party’s legislation contain provisions for such measures?</w:t>
      </w:r>
    </w:p>
    <w:p w:rsidR="00B23C8A" w:rsidRPr="001B3C12" w:rsidRDefault="00B23C8A" w:rsidP="00500CB2">
      <w:pPr>
        <w:pStyle w:val="SingleTxtG"/>
      </w:pPr>
      <w:r w:rsidRPr="001B3C12">
        <w:t>39.</w:t>
      </w:r>
      <w:r w:rsidRPr="001B3C12">
        <w:tab/>
      </w:r>
      <w:r w:rsidRPr="009A135F">
        <w:rPr>
          <w:b/>
        </w:rPr>
        <w:t>Mr. Wang</w:t>
      </w:r>
      <w:r w:rsidRPr="001B3C12">
        <w:t xml:space="preserve"> Xuexian </w:t>
      </w:r>
      <w:r>
        <w:t xml:space="preserve">said that he would like </w:t>
      </w:r>
      <w:r w:rsidRPr="001B3C12">
        <w:t>the delegation to comment on the Joint study on global practices in relation to secret detention in the context of cou</w:t>
      </w:r>
      <w:r>
        <w:t>ntering terrorism</w:t>
      </w:r>
      <w:r w:rsidRPr="001B3C12">
        <w:t xml:space="preserve">. He also </w:t>
      </w:r>
      <w:r>
        <w:t xml:space="preserve">wished it </w:t>
      </w:r>
      <w:r w:rsidRPr="001B3C12">
        <w:t xml:space="preserve">to </w:t>
      </w:r>
      <w:r>
        <w:t xml:space="preserve">specify </w:t>
      </w:r>
      <w:r w:rsidRPr="001B3C12">
        <w:t xml:space="preserve">whether the NATO detention centres it had referred to came under the jurisdiction of NATO or belonged to </w:t>
      </w:r>
      <w:r>
        <w:t xml:space="preserve">its </w:t>
      </w:r>
      <w:r w:rsidRPr="001B3C12">
        <w:t>members.</w:t>
      </w:r>
    </w:p>
    <w:p w:rsidR="00B23C8A" w:rsidRPr="001B3C12" w:rsidRDefault="00B23C8A" w:rsidP="00500CB2">
      <w:pPr>
        <w:pStyle w:val="SingleTxtG"/>
      </w:pPr>
      <w:r w:rsidRPr="001B3C12">
        <w:t>40.</w:t>
      </w:r>
      <w:r w:rsidRPr="001B3C12">
        <w:tab/>
      </w:r>
      <w:r w:rsidRPr="009A135F">
        <w:rPr>
          <w:b/>
        </w:rPr>
        <w:t>Ms. Belmir</w:t>
      </w:r>
      <w:r w:rsidRPr="001B3C12">
        <w:t xml:space="preserve"> </w:t>
      </w:r>
      <w:r>
        <w:t xml:space="preserve">said she </w:t>
      </w:r>
      <w:r w:rsidRPr="001B3C12">
        <w:t xml:space="preserve">was surprised that one of the criteria </w:t>
      </w:r>
      <w:r>
        <w:t>for deciding</w:t>
      </w:r>
      <w:r w:rsidRPr="001B3C12">
        <w:t xml:space="preserve"> whether juvenile delinquents were separated from adults or </w:t>
      </w:r>
      <w:r>
        <w:t>not was the nature of the crime, while</w:t>
      </w:r>
      <w:r w:rsidRPr="001B3C12">
        <w:t xml:space="preserve"> neither the United Nations Standard Minimum Rules for the Administration of Juvenile Justice nor the United Nations Guidelines for the Prevention of Juvenile Delinquency mentioned such a criterion. Moreover, unaccompanied refugee children over the age of 16 were placed in </w:t>
      </w:r>
      <w:r>
        <w:t xml:space="preserve">support </w:t>
      </w:r>
      <w:r w:rsidRPr="001B3C12">
        <w:t>centres with adult asylum</w:t>
      </w:r>
      <w:r>
        <w:t xml:space="preserve"> </w:t>
      </w:r>
      <w:r w:rsidRPr="001B3C12">
        <w:t>seekers. Was that because their mere presence in the State party territory constituted a crime? Clarifications on</w:t>
      </w:r>
      <w:r>
        <w:t xml:space="preserve"> those points would be welcome.</w:t>
      </w:r>
    </w:p>
    <w:p w:rsidR="00B23C8A" w:rsidRPr="001B3C12" w:rsidRDefault="00B23C8A" w:rsidP="00500CB2">
      <w:pPr>
        <w:pStyle w:val="SingleTxtG"/>
      </w:pPr>
      <w:r w:rsidRPr="001B3C12">
        <w:t>41.</w:t>
      </w:r>
      <w:r w:rsidRPr="001B3C12">
        <w:tab/>
        <w:t xml:space="preserve">She was also surprised that </w:t>
      </w:r>
      <w:smartTag w:uri="urn:schemas-microsoft-com:office:smarttags" w:element="country-region">
        <w:smartTag w:uri="urn:schemas-microsoft-com:office:smarttags" w:element="place">
          <w:r w:rsidRPr="001B3C12">
            <w:t>Germany</w:t>
          </w:r>
        </w:smartTag>
      </w:smartTag>
      <w:r w:rsidRPr="001B3C12">
        <w:t>, an exemplary country in the field of human rights, had not, as required by the Convention, included a definition of torture in its domestic legislation and that German legislation and courts only rarely referred to international human rights law. The delegation could perhaps comment on the</w:t>
      </w:r>
      <w:r>
        <w:t xml:space="preserve"> matter</w:t>
      </w:r>
      <w:r w:rsidRPr="001B3C12">
        <w:t>.</w:t>
      </w:r>
    </w:p>
    <w:p w:rsidR="00B23C8A" w:rsidRPr="001B3C12" w:rsidRDefault="00B23C8A" w:rsidP="00500CB2">
      <w:pPr>
        <w:pStyle w:val="SingleTxtG"/>
      </w:pPr>
      <w:r w:rsidRPr="001B3C12">
        <w:t>42.</w:t>
      </w:r>
      <w:r w:rsidRPr="001B3C12">
        <w:tab/>
      </w:r>
      <w:r w:rsidRPr="009A135F">
        <w:rPr>
          <w:b/>
        </w:rPr>
        <w:t>Ms. Wittling-Vogel</w:t>
      </w:r>
      <w:r w:rsidRPr="001B3C12">
        <w:t xml:space="preserve"> (</w:t>
      </w:r>
      <w:smartTag w:uri="urn:schemas-microsoft-com:office:smarttags" w:element="place">
        <w:smartTag w:uri="urn:schemas-microsoft-com:office:smarttags" w:element="country-region">
          <w:r w:rsidRPr="001B3C12">
            <w:t>Germany</w:t>
          </w:r>
        </w:smartTag>
      </w:smartTag>
      <w:r w:rsidRPr="001B3C12">
        <w:t>) said that the cases cited by Ms. Kleopas had indeed been subject to evaluation but that information on the subject had not been provided owing to time constraints. Written information on that topic would be supplied to the Committee. Replying to Mr. Wang Xuexian</w:t>
      </w:r>
      <w:r>
        <w:t>’s question</w:t>
      </w:r>
      <w:r w:rsidRPr="001B3C12">
        <w:t xml:space="preserve">, she explained that the NATO detention centres he </w:t>
      </w:r>
      <w:r>
        <w:t xml:space="preserve">had </w:t>
      </w:r>
      <w:r w:rsidRPr="001B3C12">
        <w:t xml:space="preserve">mentioned belonged to NATO and not to </w:t>
      </w:r>
      <w:r>
        <w:t>the NATO m</w:t>
      </w:r>
      <w:r w:rsidRPr="001B3C12">
        <w:t>ember States.</w:t>
      </w:r>
    </w:p>
    <w:p w:rsidR="00B23C8A" w:rsidRPr="001B3C12" w:rsidRDefault="00B23C8A" w:rsidP="00500CB2">
      <w:pPr>
        <w:pStyle w:val="SingleTxtG"/>
      </w:pPr>
      <w:r w:rsidRPr="001B3C12">
        <w:t>43.</w:t>
      </w:r>
      <w:r w:rsidRPr="001B3C12">
        <w:tab/>
      </w:r>
      <w:r w:rsidRPr="00C91E0C">
        <w:rPr>
          <w:b/>
        </w:rPr>
        <w:t>Mr. Behrens</w:t>
      </w:r>
      <w:r w:rsidRPr="001B3C12">
        <w:t xml:space="preserve"> (</w:t>
      </w:r>
      <w:smartTag w:uri="urn:schemas-microsoft-com:office:smarttags" w:element="place">
        <w:smartTag w:uri="urn:schemas-microsoft-com:office:smarttags" w:element="country-region">
          <w:r w:rsidRPr="001B3C12">
            <w:t>Germany</w:t>
          </w:r>
        </w:smartTag>
      </w:smartTag>
      <w:r w:rsidRPr="001B3C12">
        <w:t>) said that his country had responded in writing to the authors of the Joint study on global practices in relation to secret detention in the context of countering terrorism and had participated in debates by the United Nations Human Rights Council on the issue. While the authors</w:t>
      </w:r>
      <w:r>
        <w:t xml:space="preserve"> </w:t>
      </w:r>
      <w:r w:rsidRPr="001B3C12">
        <w:t xml:space="preserve">of </w:t>
      </w:r>
      <w:r>
        <w:t xml:space="preserve">the </w:t>
      </w:r>
      <w:r w:rsidRPr="001B3C12">
        <w:t>study</w:t>
      </w:r>
      <w:r>
        <w:t xml:space="preserve"> </w:t>
      </w:r>
      <w:r w:rsidRPr="001B3C12">
        <w:t xml:space="preserve">had </w:t>
      </w:r>
      <w:r>
        <w:t xml:space="preserve">indeed </w:t>
      </w:r>
      <w:r w:rsidRPr="001B3C12">
        <w:t>expressed</w:t>
      </w:r>
      <w:r>
        <w:t xml:space="preserve"> </w:t>
      </w:r>
      <w:r w:rsidRPr="001B3C12">
        <w:t>concern about</w:t>
      </w:r>
      <w:r>
        <w:t xml:space="preserve"> </w:t>
      </w:r>
      <w:r w:rsidRPr="001B3C12">
        <w:t>the link that could be established</w:t>
      </w:r>
      <w:r>
        <w:t xml:space="preserve"> </w:t>
      </w:r>
      <w:r w:rsidRPr="001B3C12">
        <w:t xml:space="preserve">between </w:t>
      </w:r>
      <w:smartTag w:uri="urn:schemas-microsoft-com:office:smarttags" w:element="country-region">
        <w:smartTag w:uri="urn:schemas-microsoft-com:office:smarttags" w:element="place">
          <w:r w:rsidRPr="001B3C12">
            <w:t>Germany</w:t>
          </w:r>
        </w:smartTag>
      </w:smartTag>
      <w:r w:rsidRPr="001B3C12">
        <w:t xml:space="preserve"> and some rendition flights,</w:t>
      </w:r>
      <w:r>
        <w:t xml:space="preserve"> </w:t>
      </w:r>
      <w:r w:rsidRPr="001B3C12">
        <w:t>they had also reported that a willingness to cooperate had been displayed.</w:t>
      </w:r>
    </w:p>
    <w:p w:rsidR="00B23C8A" w:rsidRPr="001B3C12" w:rsidRDefault="00F85C54" w:rsidP="00500CB2">
      <w:pPr>
        <w:pStyle w:val="SingleTxtG"/>
      </w:pPr>
      <w:r>
        <w:t>44.</w:t>
      </w:r>
      <w:r>
        <w:tab/>
        <w:t xml:space="preserve">While </w:t>
      </w:r>
      <w:r w:rsidR="00B23C8A" w:rsidRPr="001B3C12">
        <w:t xml:space="preserve">the provisions related to bodily harm carried a sentence of a maximum </w:t>
      </w:r>
      <w:r w:rsidR="00B23C8A">
        <w:t xml:space="preserve">of 5 </w:t>
      </w:r>
      <w:r w:rsidR="00B23C8A" w:rsidRPr="001B3C12">
        <w:t>years</w:t>
      </w:r>
      <w:r w:rsidR="00B23C8A">
        <w:t>’</w:t>
      </w:r>
      <w:r w:rsidR="00B23C8A" w:rsidRPr="001B3C12">
        <w:t xml:space="preserve"> imprisonment, all cases of severe bodily harm, for example injuries inflicted</w:t>
      </w:r>
      <w:r w:rsidR="00B23C8A">
        <w:t xml:space="preserve"> with</w:t>
      </w:r>
      <w:r w:rsidR="00B23C8A" w:rsidRPr="001B3C12">
        <w:t xml:space="preserve"> a weapon or instrument, carried a sentence of up to </w:t>
      </w:r>
      <w:r w:rsidR="00B23C8A">
        <w:t xml:space="preserve">10 </w:t>
      </w:r>
      <w:r w:rsidR="00B23C8A" w:rsidRPr="001B3C12">
        <w:t>years in prison. An English translation of those provisions would be sent to the Committee.</w:t>
      </w:r>
    </w:p>
    <w:p w:rsidR="00B23C8A" w:rsidRPr="001B3C12" w:rsidRDefault="00B23C8A" w:rsidP="00500CB2">
      <w:pPr>
        <w:pStyle w:val="SingleTxtG"/>
      </w:pPr>
      <w:r w:rsidRPr="001B3C12">
        <w:t>45.</w:t>
      </w:r>
      <w:r w:rsidRPr="001B3C12">
        <w:tab/>
        <w:t>With regard to concerns that the application of the Military Penal Code to military personnel would result in double</w:t>
      </w:r>
      <w:r>
        <w:t xml:space="preserve"> jeopardy</w:t>
      </w:r>
      <w:r w:rsidRPr="001B3C12">
        <w:t xml:space="preserve">, he explained that the Code in question subjected the armed forces to certain obligations which did not apply to civilians, but in cases that constituted a breach of both the Criminal Code and Military Penal Code, </w:t>
      </w:r>
      <w:r>
        <w:t xml:space="preserve">they were tried in </w:t>
      </w:r>
      <w:r w:rsidRPr="001B3C12">
        <w:t>the ordinary courts, through a single procedure, and a single sentence was</w:t>
      </w:r>
      <w:r>
        <w:t xml:space="preserve"> passed</w:t>
      </w:r>
      <w:r w:rsidRPr="001B3C12">
        <w:t>.</w:t>
      </w:r>
    </w:p>
    <w:p w:rsidR="00B23C8A" w:rsidRPr="001B3C12" w:rsidRDefault="00B23C8A" w:rsidP="00500CB2">
      <w:pPr>
        <w:pStyle w:val="SingleTxtG"/>
      </w:pPr>
      <w:r w:rsidRPr="001B3C12">
        <w:t>46.</w:t>
      </w:r>
      <w:r w:rsidRPr="001B3C12">
        <w:tab/>
        <w:t xml:space="preserve">The explanations provided on diplomatic assurances applied </w:t>
      </w:r>
      <w:r>
        <w:t xml:space="preserve">only </w:t>
      </w:r>
      <w:r w:rsidRPr="001B3C12">
        <w:t>to extradition cases in which</w:t>
      </w:r>
      <w:r>
        <w:t xml:space="preserve"> it was in the requesting State’</w:t>
      </w:r>
      <w:r w:rsidRPr="001B3C12">
        <w:t xml:space="preserve">s best interest to maintain good relations with the </w:t>
      </w:r>
      <w:r>
        <w:t xml:space="preserve">requested </w:t>
      </w:r>
      <w:r w:rsidRPr="001B3C12">
        <w:t xml:space="preserve">State so that there was continued cooperation in the future. The situation was quite different for returns, where such assurances </w:t>
      </w:r>
      <w:r>
        <w:t xml:space="preserve">might </w:t>
      </w:r>
      <w:r w:rsidRPr="001B3C12">
        <w:t>not have the same weight</w:t>
      </w:r>
      <w:r>
        <w:t>,</w:t>
      </w:r>
      <w:r w:rsidRPr="001B3C12">
        <w:t xml:space="preserve"> and the possibility of monitoring was much more limited. With regard to Mr. Kaplan, the assurances given, which had been respected, were related to monitoring the process and </w:t>
      </w:r>
      <w:r>
        <w:t xml:space="preserve">to </w:t>
      </w:r>
      <w:r w:rsidRPr="001B3C12">
        <w:t>detention methods. To his knowledge, there had been only one case of return</w:t>
      </w:r>
      <w:r>
        <w:t xml:space="preserve"> in which</w:t>
      </w:r>
      <w:r w:rsidRPr="001B3C12">
        <w:t xml:space="preserve"> diplomatic assurances had been requested.</w:t>
      </w:r>
    </w:p>
    <w:p w:rsidR="00B23C8A" w:rsidRPr="001B3C12" w:rsidRDefault="00B23C8A" w:rsidP="00500CB2">
      <w:pPr>
        <w:pStyle w:val="SingleTxtG"/>
      </w:pPr>
      <w:r w:rsidRPr="001B3C12">
        <w:t>47.</w:t>
      </w:r>
      <w:r w:rsidRPr="001B3C12">
        <w:tab/>
        <w:t xml:space="preserve">Turning to the issue of burden of proof in cases of allegations of </w:t>
      </w:r>
      <w:r>
        <w:t xml:space="preserve">unlawfully </w:t>
      </w:r>
      <w:r w:rsidRPr="001B3C12">
        <w:t xml:space="preserve">obtained </w:t>
      </w:r>
      <w:r>
        <w:t>confessions</w:t>
      </w:r>
      <w:r w:rsidRPr="001B3C12">
        <w:t>, he said that it was the responsibility of the courts to investigate such allegations, using all available evidence to assess the merits. Moreover, the term “burden of proof” was not always appropriate in such cases</w:t>
      </w:r>
      <w:r>
        <w:t xml:space="preserve"> because</w:t>
      </w:r>
      <w:r w:rsidRPr="001B3C12">
        <w:t xml:space="preserve">, even if the accused was unable to back up an allegation of abuse, the courts were required to take into consideration all the </w:t>
      </w:r>
      <w:r>
        <w:t xml:space="preserve">information </w:t>
      </w:r>
      <w:r w:rsidRPr="001B3C12">
        <w:t xml:space="preserve">at their disposal to assess the evidence presented. </w:t>
      </w:r>
      <w:r>
        <w:t xml:space="preserve">Any challenge to a </w:t>
      </w:r>
      <w:r w:rsidRPr="001B3C12">
        <w:t xml:space="preserve">piece of evidence </w:t>
      </w:r>
      <w:r>
        <w:t xml:space="preserve">sufficed </w:t>
      </w:r>
      <w:r w:rsidRPr="001B3C12">
        <w:t>to reduce its value</w:t>
      </w:r>
      <w:r>
        <w:t xml:space="preserve"> substantially</w:t>
      </w:r>
      <w:r w:rsidRPr="001B3C12">
        <w:t xml:space="preserve">, and for a court to </w:t>
      </w:r>
      <w:r>
        <w:t xml:space="preserve">fail to </w:t>
      </w:r>
      <w:r w:rsidRPr="001B3C12">
        <w:t>take that dispute into consideration constituted a procedural defect and could lead to an appeal.</w:t>
      </w:r>
    </w:p>
    <w:p w:rsidR="00B23C8A" w:rsidRPr="001B3C12" w:rsidRDefault="00B23C8A" w:rsidP="00500CB2">
      <w:pPr>
        <w:pStyle w:val="SingleTxtG"/>
      </w:pPr>
      <w:r w:rsidRPr="001B3C12">
        <w:t>48.</w:t>
      </w:r>
      <w:r w:rsidRPr="001B3C12">
        <w:tab/>
        <w:t xml:space="preserve">Lastly, with regard to the question of interrogations carried out abroad by German officials, he confirmed that German investigating officers were no longer </w:t>
      </w:r>
      <w:r>
        <w:t xml:space="preserve">involved in </w:t>
      </w:r>
      <w:r w:rsidRPr="001B3C12">
        <w:t>interrogations carried out by members of the intelligence services.</w:t>
      </w:r>
    </w:p>
    <w:p w:rsidR="00B23C8A" w:rsidRPr="001B3C12" w:rsidRDefault="00B23C8A" w:rsidP="00500CB2">
      <w:pPr>
        <w:pStyle w:val="SingleTxtG"/>
      </w:pPr>
      <w:r w:rsidRPr="001B3C12">
        <w:t>49.</w:t>
      </w:r>
      <w:r w:rsidRPr="001B3C12">
        <w:tab/>
      </w:r>
      <w:r w:rsidRPr="00C91E0C">
        <w:rPr>
          <w:b/>
        </w:rPr>
        <w:t>Ms. Wittling-Vogel</w:t>
      </w:r>
      <w:r w:rsidRPr="001B3C12">
        <w:t xml:space="preserve"> (Germany) said that the issue of the appropriateness of incorporating into German legislation a definition of torture in keeping with that contained in the Convention, as well as other specific provisions on torture, had been the subject of high-level debate; however</w:t>
      </w:r>
      <w:r>
        <w:t>,</w:t>
      </w:r>
      <w:r w:rsidRPr="001B3C12">
        <w:t xml:space="preserve"> no commitment </w:t>
      </w:r>
      <w:r>
        <w:t xml:space="preserve">could be made </w:t>
      </w:r>
      <w:r w:rsidRPr="001B3C12">
        <w:t>in that regard at that point. All of the Länder had a policy of recruiting persons belonging to minorities and immigrants for their police forces and carried out anti-discrimination training. However, the State party did not have any data on those subjects.</w:t>
      </w:r>
    </w:p>
    <w:p w:rsidR="00B23C8A" w:rsidRPr="001B3C12" w:rsidRDefault="00B23C8A" w:rsidP="00500CB2">
      <w:pPr>
        <w:pStyle w:val="SingleTxtG"/>
      </w:pPr>
      <w:r w:rsidRPr="001B3C12">
        <w:t>50.</w:t>
      </w:r>
      <w:r w:rsidRPr="001B3C12">
        <w:tab/>
        <w:t xml:space="preserve">With regard to cooperation </w:t>
      </w:r>
      <w:r>
        <w:t xml:space="preserve">among </w:t>
      </w:r>
      <w:r w:rsidRPr="001B3C12">
        <w:t xml:space="preserve">the </w:t>
      </w:r>
      <w:r>
        <w:t xml:space="preserve">various </w:t>
      </w:r>
      <w:r w:rsidRPr="001B3C12">
        <w:t>levels of government, the Federal authorities and the Länder maintained close collaboration and continuous dialogue on human rights issues. A report on the examination by the Commi</w:t>
      </w:r>
      <w:r>
        <w:t>ttee of the f</w:t>
      </w:r>
      <w:r w:rsidRPr="001B3C12">
        <w:t xml:space="preserve">ifth periodic report of </w:t>
      </w:r>
      <w:smartTag w:uri="urn:schemas-microsoft-com:office:smarttags" w:element="country-region">
        <w:smartTag w:uri="urn:schemas-microsoft-com:office:smarttags" w:element="place">
          <w:r w:rsidRPr="001B3C12">
            <w:t>Germany</w:t>
          </w:r>
        </w:smartTag>
      </w:smartTag>
      <w:r w:rsidRPr="001B3C12">
        <w:t xml:space="preserve"> and the Committee’s concluding observations would </w:t>
      </w:r>
      <w:r>
        <w:t xml:space="preserve">be </w:t>
      </w:r>
      <w:r w:rsidRPr="001B3C12">
        <w:t xml:space="preserve">sent to all Federal institutions and all the Länder. The </w:t>
      </w:r>
      <w:r>
        <w:t>f</w:t>
      </w:r>
      <w:r w:rsidRPr="001B3C12">
        <w:t xml:space="preserve">ederal authorities would also send them information on the Istanbul Protocol and recommend to them that all persons dealing with refugees should have access to the German version of that document. In that regard, it should be noted that the authorities were aware of the need to expand training on the detection of signs of torture to include </w:t>
      </w:r>
      <w:r>
        <w:t xml:space="preserve">the </w:t>
      </w:r>
      <w:r w:rsidRPr="001B3C12">
        <w:t>psychological aspects of torture.</w:t>
      </w:r>
    </w:p>
    <w:p w:rsidR="00B23C8A" w:rsidRPr="001B3C12" w:rsidRDefault="00B23C8A" w:rsidP="00500CB2">
      <w:pPr>
        <w:pStyle w:val="SingleTxtG"/>
      </w:pPr>
      <w:r w:rsidRPr="001B3C12">
        <w:t>51.</w:t>
      </w:r>
      <w:r w:rsidRPr="001B3C12">
        <w:tab/>
        <w:t xml:space="preserve">Regarding unaccompanied minors, it was </w:t>
      </w:r>
      <w:r>
        <w:t xml:space="preserve">awkward </w:t>
      </w:r>
      <w:r w:rsidRPr="001B3C12">
        <w:t xml:space="preserve">for </w:t>
      </w:r>
      <w:smartTag w:uri="urn:schemas-microsoft-com:office:smarttags" w:element="country-region">
        <w:smartTag w:uri="urn:schemas-microsoft-com:office:smarttags" w:element="place">
          <w:r w:rsidRPr="001B3C12">
            <w:t>Germany</w:t>
          </w:r>
        </w:smartTag>
      </w:smartTag>
      <w:r w:rsidRPr="001B3C12">
        <w:t xml:space="preserve"> to elaborate further on the position it defended in the context of the </w:t>
      </w:r>
      <w:r>
        <w:t xml:space="preserve">current </w:t>
      </w:r>
      <w:r w:rsidRPr="001B3C12">
        <w:t xml:space="preserve">debate within the European Union because it </w:t>
      </w:r>
      <w:r>
        <w:t>was an internal discussion. The</w:t>
      </w:r>
      <w:r w:rsidRPr="001B3C12">
        <w:t xml:space="preserve"> debate is ongoing and should </w:t>
      </w:r>
      <w:r>
        <w:t xml:space="preserve">have </w:t>
      </w:r>
      <w:r w:rsidRPr="001B3C12">
        <w:t>very positive results.</w:t>
      </w:r>
    </w:p>
    <w:p w:rsidR="00B23C8A" w:rsidRPr="001B3C12" w:rsidRDefault="00B23C8A" w:rsidP="00500CB2">
      <w:pPr>
        <w:pStyle w:val="SingleTxtG"/>
      </w:pPr>
      <w:r w:rsidRPr="001B3C12">
        <w:t>52.</w:t>
      </w:r>
      <w:r w:rsidRPr="001B3C12">
        <w:tab/>
        <w:t xml:space="preserve">It </w:t>
      </w:r>
      <w:r>
        <w:t xml:space="preserve">had to </w:t>
      </w:r>
      <w:r w:rsidRPr="001B3C12">
        <w:t xml:space="preserve">be </w:t>
      </w:r>
      <w:r>
        <w:t xml:space="preserve">acknowledged </w:t>
      </w:r>
      <w:r w:rsidRPr="001B3C12">
        <w:t>that the non-identification of police officers sometimes posed difficulties in terms of criminal proceedings and that, in cases such as that mentioned by Ms. Kleopas, the police must be identifiable; however</w:t>
      </w:r>
      <w:r>
        <w:t>,</w:t>
      </w:r>
      <w:r w:rsidRPr="001B3C12">
        <w:t xml:space="preserve"> it </w:t>
      </w:r>
      <w:r>
        <w:t xml:space="preserve">was </w:t>
      </w:r>
      <w:r w:rsidRPr="001B3C12">
        <w:t>also important to consider the inherent problem of the dissemination of names and addresses of officers, particularly on the Internet.</w:t>
      </w:r>
      <w:r>
        <w:t xml:space="preserve"> Debate on the issue was continued</w:t>
      </w:r>
      <w:r w:rsidRPr="001B3C12">
        <w:t xml:space="preserve"> and the study mentioned by Ms. Gaer would be taken into account.</w:t>
      </w:r>
    </w:p>
    <w:p w:rsidR="00B23C8A" w:rsidRPr="001B3C12" w:rsidRDefault="00B23C8A" w:rsidP="00500CB2">
      <w:pPr>
        <w:pStyle w:val="SingleTxtG"/>
      </w:pPr>
      <w:r w:rsidRPr="001B3C12">
        <w:t>53.</w:t>
      </w:r>
      <w:r w:rsidRPr="001B3C12">
        <w:tab/>
        <w:t xml:space="preserve">With regard to military </w:t>
      </w:r>
      <w:r>
        <w:t xml:space="preserve">facilities </w:t>
      </w:r>
      <w:r w:rsidRPr="001B3C12">
        <w:t xml:space="preserve">and detention centres that did not come under German jurisdiction, if the Government learned </w:t>
      </w:r>
      <w:r>
        <w:t xml:space="preserve">of cases of </w:t>
      </w:r>
      <w:r w:rsidRPr="001B3C12">
        <w:t>ill-treatment there, it would have no other choice but to address the issue via the normal diplomatic channels, government to government.</w:t>
      </w:r>
    </w:p>
    <w:p w:rsidR="00B23C8A" w:rsidRPr="001B3C12" w:rsidRDefault="00B23C8A" w:rsidP="00500CB2">
      <w:pPr>
        <w:pStyle w:val="SingleTxtG"/>
      </w:pPr>
      <w:r w:rsidRPr="001B3C12">
        <w:t>54.</w:t>
      </w:r>
      <w:r w:rsidRPr="001B3C12">
        <w:tab/>
      </w:r>
      <w:r>
        <w:t xml:space="preserve">Replying </w:t>
      </w:r>
      <w:r w:rsidRPr="001B3C12">
        <w:t xml:space="preserve">to the question asked by Ms. Sveaass, she said that the German authorities fully shared the opinion that the training for those </w:t>
      </w:r>
      <w:r>
        <w:t>assessing</w:t>
      </w:r>
      <w:r w:rsidRPr="001B3C12">
        <w:t xml:space="preserve"> the situation of vulnerable ref</w:t>
      </w:r>
      <w:r>
        <w:t xml:space="preserve">ugees and asylum </w:t>
      </w:r>
      <w:r w:rsidRPr="001B3C12">
        <w:t xml:space="preserve">seekers should </w:t>
      </w:r>
      <w:r>
        <w:t>focus</w:t>
      </w:r>
      <w:r w:rsidRPr="001B3C12">
        <w:t xml:space="preserve"> on </w:t>
      </w:r>
      <w:r>
        <w:t xml:space="preserve">enabling them </w:t>
      </w:r>
      <w:r w:rsidRPr="001B3C12">
        <w:t xml:space="preserve">to identify cases </w:t>
      </w:r>
      <w:r>
        <w:t>requiring</w:t>
      </w:r>
      <w:r w:rsidRPr="001B3C12">
        <w:t xml:space="preserve"> further examination. </w:t>
      </w:r>
      <w:r>
        <w:t>E</w:t>
      </w:r>
      <w:r w:rsidRPr="001B3C12">
        <w:t>fforts in that</w:t>
      </w:r>
      <w:r>
        <w:t xml:space="preserve"> direction would continue</w:t>
      </w:r>
      <w:r w:rsidRPr="001B3C12">
        <w:t>.</w:t>
      </w:r>
    </w:p>
    <w:p w:rsidR="00B23C8A" w:rsidRPr="001B3C12" w:rsidRDefault="00B23C8A" w:rsidP="00500CB2">
      <w:pPr>
        <w:pStyle w:val="SingleTxtG"/>
      </w:pPr>
      <w:r w:rsidRPr="001B3C12">
        <w:t>55.</w:t>
      </w:r>
      <w:r w:rsidRPr="001B3C12">
        <w:tab/>
        <w:t xml:space="preserve">There was no particular programme in place for foreigners </w:t>
      </w:r>
      <w:r>
        <w:t xml:space="preserve">who </w:t>
      </w:r>
      <w:r w:rsidRPr="001B3C12">
        <w:t>returned to their country on their own initiative and wished to consult a lawyer</w:t>
      </w:r>
      <w:r>
        <w:t xml:space="preserve"> in that connection</w:t>
      </w:r>
      <w:r w:rsidRPr="001B3C12">
        <w:t>. Everyone had the right to legal assistance and to con</w:t>
      </w:r>
      <w:r>
        <w:t>sult a lawyer, even foreigners.</w:t>
      </w:r>
    </w:p>
    <w:p w:rsidR="00B23C8A" w:rsidRPr="001B3C12" w:rsidRDefault="00B23C8A" w:rsidP="00500CB2">
      <w:pPr>
        <w:pStyle w:val="SingleTxtG"/>
      </w:pPr>
      <w:r w:rsidRPr="001B3C12">
        <w:t>56.</w:t>
      </w:r>
      <w:r w:rsidRPr="001B3C12">
        <w:tab/>
        <w:t>German legislation contained general provisions regarding reparation and compensation which could be used for asylum</w:t>
      </w:r>
      <w:r>
        <w:t xml:space="preserve"> </w:t>
      </w:r>
      <w:r w:rsidRPr="001B3C12">
        <w:t xml:space="preserve">seekers </w:t>
      </w:r>
      <w:r>
        <w:t xml:space="preserve">who </w:t>
      </w:r>
      <w:r w:rsidRPr="001B3C12">
        <w:t xml:space="preserve">had been denied asylum and returned to a country where they had then been a victim of torture. However, the adoption of such measures depended on the degree of responsibility of the </w:t>
      </w:r>
      <w:smartTag w:uri="urn:schemas-microsoft-com:office:smarttags" w:element="place">
        <w:smartTag w:uri="urn:schemas-microsoft-com:office:smarttags" w:element="PlaceName">
          <w:r w:rsidRPr="001B3C12">
            <w:t>German</w:t>
          </w:r>
        </w:smartTag>
        <w:r w:rsidRPr="001B3C12">
          <w:t xml:space="preserve"> </w:t>
        </w:r>
        <w:smartTag w:uri="urn:schemas-microsoft-com:office:smarttags" w:element="PlaceType">
          <w:r w:rsidRPr="001B3C12">
            <w:t>State</w:t>
          </w:r>
        </w:smartTag>
      </w:smartTag>
      <w:r w:rsidRPr="001B3C12">
        <w:t xml:space="preserve"> and should therefore be</w:t>
      </w:r>
      <w:r>
        <w:t xml:space="preserve"> decided on a case-by-</w:t>
      </w:r>
      <w:r w:rsidRPr="001B3C12">
        <w:t>case basis.</w:t>
      </w:r>
    </w:p>
    <w:p w:rsidR="00B23C8A" w:rsidRPr="001B3C12" w:rsidRDefault="00B23C8A" w:rsidP="00500CB2">
      <w:pPr>
        <w:pStyle w:val="SingleTxtG"/>
      </w:pPr>
      <w:r w:rsidRPr="001B3C12">
        <w:t>57.</w:t>
      </w:r>
      <w:r w:rsidRPr="001B3C12">
        <w:tab/>
        <w:t>She agreed that German legislation and courts, with a few exceptions, made very little reference to international law</w:t>
      </w:r>
      <w:r>
        <w:t>,</w:t>
      </w:r>
      <w:r w:rsidRPr="001B3C12">
        <w:t xml:space="preserve"> </w:t>
      </w:r>
      <w:r>
        <w:t xml:space="preserve">a fact she </w:t>
      </w:r>
      <w:r w:rsidRPr="001B3C12">
        <w:t>regretted. However, that did not mean that there were any gaps in human right</w:t>
      </w:r>
      <w:r>
        <w:t>s protection</w:t>
      </w:r>
      <w:r w:rsidRPr="001B3C12">
        <w:t xml:space="preserve">, since German legislation was usually sufficient to ensure compliance with international law and made it possible for courts to obtain the desired result. However, the Government organized seminars for judges to increase their awareness of international instruments, and the bar associations were working </w:t>
      </w:r>
      <w:r>
        <w:t>on raising</w:t>
      </w:r>
      <w:r w:rsidRPr="001B3C12">
        <w:t xml:space="preserve"> awareness of those instruments among lawyers.</w:t>
      </w:r>
    </w:p>
    <w:p w:rsidR="00B23C8A" w:rsidRPr="001B3C12" w:rsidRDefault="00B23C8A" w:rsidP="00500CB2">
      <w:pPr>
        <w:pStyle w:val="SingleTxtG"/>
      </w:pPr>
      <w:r w:rsidRPr="001B3C12">
        <w:t>58.</w:t>
      </w:r>
      <w:r w:rsidRPr="001B3C12">
        <w:tab/>
        <w:t>In conclusion, she said that written responses to all of the questions that had not been answered would be sent to the Committee. She welcomed the constructive dialogue that her delegation had had with the Committee, which would fuel the consideration of the authorities of the questions that had been tackled.</w:t>
      </w:r>
    </w:p>
    <w:p w:rsidR="00B23C8A" w:rsidRPr="001B3C12" w:rsidRDefault="00B23C8A" w:rsidP="00500CB2">
      <w:pPr>
        <w:pStyle w:val="SingleTxtG"/>
      </w:pPr>
      <w:r w:rsidRPr="001B3C12">
        <w:t>59.</w:t>
      </w:r>
      <w:r w:rsidRPr="001B3C12">
        <w:tab/>
      </w:r>
      <w:r w:rsidRPr="00C91E0C">
        <w:rPr>
          <w:b/>
        </w:rPr>
        <w:t>The Chairperson</w:t>
      </w:r>
      <w:r w:rsidRPr="001B3C12">
        <w:t xml:space="preserve"> thanked the German delegation for their detailed responses and </w:t>
      </w:r>
      <w:r>
        <w:t xml:space="preserve">announced </w:t>
      </w:r>
      <w:r w:rsidRPr="001B3C12">
        <w:t xml:space="preserve">that the Committee had concluded its consideration of the </w:t>
      </w:r>
      <w:r>
        <w:t>f</w:t>
      </w:r>
      <w:r w:rsidRPr="001B3C12">
        <w:t xml:space="preserve">ifth periodic report of </w:t>
      </w:r>
      <w:smartTag w:uri="urn:schemas-microsoft-com:office:smarttags" w:element="country-region">
        <w:smartTag w:uri="urn:schemas-microsoft-com:office:smarttags" w:element="place">
          <w:r w:rsidRPr="001B3C12">
            <w:t>Germany</w:t>
          </w:r>
        </w:smartTag>
      </w:smartTag>
      <w:r w:rsidRPr="001B3C12">
        <w:t>.</w:t>
      </w:r>
    </w:p>
    <w:p w:rsidR="00B23C8A" w:rsidRPr="001B3C12" w:rsidRDefault="00B23C8A" w:rsidP="00500CB2">
      <w:pPr>
        <w:pStyle w:val="SingleTxtG"/>
      </w:pPr>
      <w:r w:rsidRPr="001B3C12">
        <w:t>60.</w:t>
      </w:r>
      <w:r w:rsidRPr="001B3C12">
        <w:tab/>
      </w:r>
      <w:r w:rsidRPr="00C91E0C">
        <w:rPr>
          <w:i/>
        </w:rPr>
        <w:t xml:space="preserve">The delegation of </w:t>
      </w:r>
      <w:smartTag w:uri="urn:schemas-microsoft-com:office:smarttags" w:element="country-region">
        <w:smartTag w:uri="urn:schemas-microsoft-com:office:smarttags" w:element="place">
          <w:r w:rsidRPr="00C91E0C">
            <w:rPr>
              <w:i/>
            </w:rPr>
            <w:t>Germany</w:t>
          </w:r>
        </w:smartTag>
      </w:smartTag>
      <w:r w:rsidRPr="00C91E0C">
        <w:rPr>
          <w:i/>
        </w:rPr>
        <w:t xml:space="preserve"> withdrew</w:t>
      </w:r>
      <w:r w:rsidRPr="001B3C12">
        <w:t>.</w:t>
      </w:r>
    </w:p>
    <w:p w:rsidR="00B23C8A" w:rsidRPr="00B23C8A" w:rsidRDefault="00B23C8A" w:rsidP="00A15301">
      <w:pPr>
        <w:pStyle w:val="SingleTxtG"/>
        <w:rPr>
          <w:i/>
        </w:rPr>
      </w:pPr>
      <w:r w:rsidRPr="00C91E0C">
        <w:rPr>
          <w:i/>
        </w:rPr>
        <w:t>The meeting rose at 6.15 p.m.</w:t>
      </w:r>
    </w:p>
    <w:sectPr w:rsidR="00B23C8A" w:rsidRPr="00B23C8A" w:rsidSect="000C41E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CB0" w:rsidRDefault="00DD5CB0"/>
  </w:endnote>
  <w:endnote w:type="continuationSeparator" w:id="0">
    <w:p w:rsidR="00DD5CB0" w:rsidRDefault="00DD5CB0"/>
  </w:endnote>
  <w:endnote w:type="continuationNotice" w:id="1">
    <w:p w:rsidR="00DD5CB0" w:rsidRDefault="00DD5C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CB0" w:rsidRPr="000C41EE" w:rsidRDefault="00DD5CB0" w:rsidP="000C41EE">
    <w:pPr>
      <w:pStyle w:val="Footer"/>
      <w:tabs>
        <w:tab w:val="right" w:pos="9598"/>
      </w:tabs>
    </w:pPr>
    <w:r w:rsidRPr="000C41EE">
      <w:rPr>
        <w:b/>
        <w:sz w:val="18"/>
      </w:rPr>
      <w:fldChar w:fldCharType="begin"/>
    </w:r>
    <w:r w:rsidRPr="000C41EE">
      <w:rPr>
        <w:b/>
        <w:sz w:val="18"/>
      </w:rPr>
      <w:instrText xml:space="preserve"> PAGE</w:instrText>
    </w:r>
    <w:r>
      <w:rPr>
        <w:b/>
        <w:sz w:val="18"/>
      </w:rPr>
      <w:instrText xml:space="preserve"> </w:instrText>
    </w:r>
    <w:r w:rsidRPr="000C41EE">
      <w:rPr>
        <w:b/>
        <w:sz w:val="18"/>
      </w:rPr>
      <w:instrText xml:space="preserve">\* MERGEFORMAT </w:instrText>
    </w:r>
    <w:r w:rsidRPr="000C41EE">
      <w:rPr>
        <w:b/>
        <w:sz w:val="18"/>
      </w:rPr>
      <w:fldChar w:fldCharType="separate"/>
    </w:r>
    <w:r>
      <w:rPr>
        <w:b/>
        <w:noProof/>
        <w:sz w:val="18"/>
      </w:rPr>
      <w:t>10</w:t>
    </w:r>
    <w:r w:rsidRPr="000C41EE">
      <w:rPr>
        <w:b/>
        <w:sz w:val="18"/>
      </w:rPr>
      <w:fldChar w:fldCharType="end"/>
    </w:r>
    <w:r>
      <w:rPr>
        <w:sz w:val="18"/>
      </w:rPr>
      <w:tab/>
    </w:r>
    <w:r>
      <w:t>GE.11-46751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CB0" w:rsidRPr="000C41EE" w:rsidRDefault="00DD5CB0" w:rsidP="000C41EE">
    <w:pPr>
      <w:pStyle w:val="Footer"/>
      <w:tabs>
        <w:tab w:val="right" w:pos="9598"/>
      </w:tabs>
      <w:rPr>
        <w:b/>
        <w:sz w:val="18"/>
      </w:rPr>
    </w:pPr>
    <w:r>
      <w:t>GE.11-46751</w:t>
    </w:r>
    <w:r>
      <w:tab/>
    </w:r>
    <w:r w:rsidRPr="000C41EE">
      <w:rPr>
        <w:b/>
        <w:sz w:val="18"/>
      </w:rPr>
      <w:fldChar w:fldCharType="begin"/>
    </w:r>
    <w:r w:rsidRPr="000C41EE">
      <w:rPr>
        <w:b/>
        <w:sz w:val="18"/>
      </w:rPr>
      <w:instrText xml:space="preserve"> PAGE</w:instrText>
    </w:r>
    <w:r>
      <w:rPr>
        <w:b/>
        <w:sz w:val="18"/>
      </w:rPr>
      <w:instrText xml:space="preserve"> </w:instrText>
    </w:r>
    <w:r w:rsidRPr="000C41EE">
      <w:rPr>
        <w:b/>
        <w:sz w:val="18"/>
      </w:rPr>
      <w:instrText xml:space="preserve">\* MERGEFORMAT </w:instrText>
    </w:r>
    <w:r w:rsidRPr="000C41EE">
      <w:rPr>
        <w:b/>
        <w:sz w:val="18"/>
      </w:rPr>
      <w:fldChar w:fldCharType="separate"/>
    </w:r>
    <w:r>
      <w:rPr>
        <w:b/>
        <w:noProof/>
        <w:sz w:val="18"/>
      </w:rPr>
      <w:t>9</w:t>
    </w:r>
    <w:r w:rsidRPr="000C41E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CB0" w:rsidRDefault="00DD5CB0" w:rsidP="0050387B">
    <w:pPr>
      <w:pStyle w:val="FootnoteText"/>
      <w:pBdr>
        <w:bottom w:val="single" w:sz="4" w:space="1" w:color="auto"/>
      </w:pBdr>
      <w:tabs>
        <w:tab w:val="clear" w:pos="1021"/>
      </w:tabs>
      <w:ind w:left="0" w:right="0" w:firstLine="0"/>
    </w:pPr>
  </w:p>
  <w:p w:rsidR="00DD5CB0" w:rsidRDefault="00DD5CB0" w:rsidP="0050387B">
    <w:pPr>
      <w:pStyle w:val="FootnoteText"/>
      <w:spacing w:after="120"/>
      <w:ind w:firstLine="0"/>
    </w:pPr>
    <w:r>
      <w:t>This record is subject to correction.</w:t>
    </w:r>
  </w:p>
  <w:p w:rsidR="00DD5CB0" w:rsidRDefault="00DD5CB0" w:rsidP="0050387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D5CB0" w:rsidRPr="0050387B" w:rsidRDefault="00DD5CB0" w:rsidP="0050387B">
    <w:pPr>
      <w:pStyle w:val="FootnoteText"/>
      <w:spacing w:after="240"/>
      <w:ind w:firstLine="0"/>
    </w:pPr>
    <w:r>
      <w:t>Any corrections to the records of the public meetings of the Committee at this session will be consolidated in a single corrigendum, to be issued shortly after the end of the session.</w:t>
    </w:r>
  </w:p>
  <w:p w:rsidR="00DD5CB0" w:rsidRPr="007E2A1D" w:rsidRDefault="00DD5CB0">
    <w:pPr>
      <w:pStyle w:val="Footer"/>
      <w:rPr>
        <w:sz w:val="20"/>
      </w:rPr>
    </w:pPr>
    <w:r>
      <w:rPr>
        <w:sz w:val="20"/>
      </w:rPr>
      <w:t>GE.11-46751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180512    230512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CB0" w:rsidRPr="000B175B" w:rsidRDefault="00DD5CB0" w:rsidP="000B175B">
      <w:pPr>
        <w:tabs>
          <w:tab w:val="right" w:pos="2155"/>
        </w:tabs>
        <w:spacing w:after="80"/>
        <w:ind w:left="680"/>
        <w:rPr>
          <w:u w:val="single"/>
        </w:rPr>
      </w:pPr>
      <w:r>
        <w:rPr>
          <w:u w:val="single"/>
        </w:rPr>
        <w:tab/>
      </w:r>
    </w:p>
  </w:footnote>
  <w:footnote w:type="continuationSeparator" w:id="0">
    <w:p w:rsidR="00DD5CB0" w:rsidRPr="00FC68B7" w:rsidRDefault="00DD5CB0" w:rsidP="00FC68B7">
      <w:pPr>
        <w:tabs>
          <w:tab w:val="left" w:pos="2155"/>
        </w:tabs>
        <w:spacing w:after="80"/>
        <w:ind w:left="680"/>
        <w:rPr>
          <w:u w:val="single"/>
        </w:rPr>
      </w:pPr>
      <w:r>
        <w:rPr>
          <w:u w:val="single"/>
        </w:rPr>
        <w:tab/>
      </w:r>
    </w:p>
  </w:footnote>
  <w:footnote w:type="continuationNotice" w:id="1">
    <w:p w:rsidR="00DD5CB0" w:rsidRDefault="00DD5CB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CB0" w:rsidRPr="000C41EE" w:rsidRDefault="00DD5CB0" w:rsidP="000C41EE">
    <w:pPr>
      <w:pStyle w:val="Header"/>
    </w:pPr>
    <w:r w:rsidRPr="000C41EE">
      <w:t>CAT/C/SR.1031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CB0" w:rsidRPr="000C41EE" w:rsidRDefault="00DD5CB0" w:rsidP="000C41EE">
    <w:pPr>
      <w:pStyle w:val="Header"/>
      <w:jc w:val="right"/>
    </w:pPr>
    <w:r w:rsidRPr="000C41EE">
      <w:t>CAT/C/SR.1031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7295"/>
    <w:rsid w:val="00027F2B"/>
    <w:rsid w:val="00050F6B"/>
    <w:rsid w:val="00054D61"/>
    <w:rsid w:val="00072C8C"/>
    <w:rsid w:val="000733B5"/>
    <w:rsid w:val="000931C0"/>
    <w:rsid w:val="000B175B"/>
    <w:rsid w:val="000B3A0F"/>
    <w:rsid w:val="000B4EF7"/>
    <w:rsid w:val="000C2D2E"/>
    <w:rsid w:val="000C41EE"/>
    <w:rsid w:val="000C6CD1"/>
    <w:rsid w:val="000E0415"/>
    <w:rsid w:val="000E18BA"/>
    <w:rsid w:val="00103502"/>
    <w:rsid w:val="001103AA"/>
    <w:rsid w:val="00130539"/>
    <w:rsid w:val="001B0C71"/>
    <w:rsid w:val="001B4B04"/>
    <w:rsid w:val="001C6663"/>
    <w:rsid w:val="001C7895"/>
    <w:rsid w:val="001D26DF"/>
    <w:rsid w:val="001D4971"/>
    <w:rsid w:val="001E6639"/>
    <w:rsid w:val="00202DA8"/>
    <w:rsid w:val="00211E0B"/>
    <w:rsid w:val="002534C4"/>
    <w:rsid w:val="00257F1E"/>
    <w:rsid w:val="002611EE"/>
    <w:rsid w:val="00292104"/>
    <w:rsid w:val="002F175C"/>
    <w:rsid w:val="003229D8"/>
    <w:rsid w:val="00352709"/>
    <w:rsid w:val="003546ED"/>
    <w:rsid w:val="0036359E"/>
    <w:rsid w:val="00371178"/>
    <w:rsid w:val="003A6810"/>
    <w:rsid w:val="003C0C4E"/>
    <w:rsid w:val="003C2CC4"/>
    <w:rsid w:val="003D4B23"/>
    <w:rsid w:val="003F0898"/>
    <w:rsid w:val="00410C89"/>
    <w:rsid w:val="00426B9B"/>
    <w:rsid w:val="004325CB"/>
    <w:rsid w:val="004367C1"/>
    <w:rsid w:val="00440653"/>
    <w:rsid w:val="00443D92"/>
    <w:rsid w:val="00443F4C"/>
    <w:rsid w:val="00452F6D"/>
    <w:rsid w:val="0045495B"/>
    <w:rsid w:val="00456549"/>
    <w:rsid w:val="0047693D"/>
    <w:rsid w:val="004A3A3E"/>
    <w:rsid w:val="004D4CD5"/>
    <w:rsid w:val="00500CB2"/>
    <w:rsid w:val="0050387B"/>
    <w:rsid w:val="005420F2"/>
    <w:rsid w:val="0057264E"/>
    <w:rsid w:val="005B1BF6"/>
    <w:rsid w:val="005B3DB3"/>
    <w:rsid w:val="006001EE"/>
    <w:rsid w:val="00611FC4"/>
    <w:rsid w:val="006176FB"/>
    <w:rsid w:val="00640B26"/>
    <w:rsid w:val="006500BC"/>
    <w:rsid w:val="00652D0A"/>
    <w:rsid w:val="006C6E6B"/>
    <w:rsid w:val="006D088C"/>
    <w:rsid w:val="006E4EE9"/>
    <w:rsid w:val="006E564B"/>
    <w:rsid w:val="006E6E4C"/>
    <w:rsid w:val="00703CDA"/>
    <w:rsid w:val="0072114E"/>
    <w:rsid w:val="0072632A"/>
    <w:rsid w:val="00753631"/>
    <w:rsid w:val="007B6BA5"/>
    <w:rsid w:val="007C3390"/>
    <w:rsid w:val="007C4F4B"/>
    <w:rsid w:val="007D56AB"/>
    <w:rsid w:val="007E2A1D"/>
    <w:rsid w:val="007E36B7"/>
    <w:rsid w:val="007F6611"/>
    <w:rsid w:val="007F6CAD"/>
    <w:rsid w:val="008242D7"/>
    <w:rsid w:val="008979B1"/>
    <w:rsid w:val="008A6B25"/>
    <w:rsid w:val="008A6C4F"/>
    <w:rsid w:val="008B2335"/>
    <w:rsid w:val="008F6259"/>
    <w:rsid w:val="009026B5"/>
    <w:rsid w:val="0090482F"/>
    <w:rsid w:val="009223CA"/>
    <w:rsid w:val="00940F93"/>
    <w:rsid w:val="009824ED"/>
    <w:rsid w:val="00995E1A"/>
    <w:rsid w:val="009E29BB"/>
    <w:rsid w:val="00A01489"/>
    <w:rsid w:val="00A03DD4"/>
    <w:rsid w:val="00A05292"/>
    <w:rsid w:val="00A15301"/>
    <w:rsid w:val="00A43596"/>
    <w:rsid w:val="00A5384B"/>
    <w:rsid w:val="00A65379"/>
    <w:rsid w:val="00A72F22"/>
    <w:rsid w:val="00A748A6"/>
    <w:rsid w:val="00A776B4"/>
    <w:rsid w:val="00A94361"/>
    <w:rsid w:val="00AF39BE"/>
    <w:rsid w:val="00B20FFB"/>
    <w:rsid w:val="00B23C8A"/>
    <w:rsid w:val="00B30179"/>
    <w:rsid w:val="00B33CB1"/>
    <w:rsid w:val="00B541E4"/>
    <w:rsid w:val="00B56E9C"/>
    <w:rsid w:val="00B64B1F"/>
    <w:rsid w:val="00B6553F"/>
    <w:rsid w:val="00B81E12"/>
    <w:rsid w:val="00BA276C"/>
    <w:rsid w:val="00BB6B22"/>
    <w:rsid w:val="00BC74E9"/>
    <w:rsid w:val="00BE1491"/>
    <w:rsid w:val="00BE7C1F"/>
    <w:rsid w:val="00BF68A8"/>
    <w:rsid w:val="00C01FF8"/>
    <w:rsid w:val="00C0383E"/>
    <w:rsid w:val="00C463DD"/>
    <w:rsid w:val="00C46705"/>
    <w:rsid w:val="00C4724C"/>
    <w:rsid w:val="00C57295"/>
    <w:rsid w:val="00C629A0"/>
    <w:rsid w:val="00C6559E"/>
    <w:rsid w:val="00C745C3"/>
    <w:rsid w:val="00CA19B5"/>
    <w:rsid w:val="00CE0E13"/>
    <w:rsid w:val="00CE4A8F"/>
    <w:rsid w:val="00D2031B"/>
    <w:rsid w:val="00D25FE2"/>
    <w:rsid w:val="00D34284"/>
    <w:rsid w:val="00D43252"/>
    <w:rsid w:val="00D93FE0"/>
    <w:rsid w:val="00D95303"/>
    <w:rsid w:val="00D978C6"/>
    <w:rsid w:val="00DA3C1C"/>
    <w:rsid w:val="00DD1965"/>
    <w:rsid w:val="00DD5CB0"/>
    <w:rsid w:val="00DE5CF5"/>
    <w:rsid w:val="00E26D05"/>
    <w:rsid w:val="00E71BC8"/>
    <w:rsid w:val="00E7260F"/>
    <w:rsid w:val="00E803B3"/>
    <w:rsid w:val="00E96630"/>
    <w:rsid w:val="00EA69B9"/>
    <w:rsid w:val="00ED7A2A"/>
    <w:rsid w:val="00EF1D7F"/>
    <w:rsid w:val="00EF6DFD"/>
    <w:rsid w:val="00F85C54"/>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10</Pages>
  <Words>5368</Words>
  <Characters>28269</Characters>
  <Application>Microsoft Office Word</Application>
  <DocSecurity>4</DocSecurity>
  <Lines>427</Lines>
  <Paragraphs>79</Paragraphs>
  <ScaleCrop>false</ScaleCrop>
  <HeadingPairs>
    <vt:vector size="2" baseType="variant">
      <vt:variant>
        <vt:lpstr>Title</vt:lpstr>
      </vt:variant>
      <vt:variant>
        <vt:i4>1</vt:i4>
      </vt:variant>
    </vt:vector>
  </HeadingPairs>
  <TitlesOfParts>
    <vt:vector size="1" baseType="lpstr">
      <vt:lpstr>1146751</vt:lpstr>
    </vt:vector>
  </TitlesOfParts>
  <Company>CSD</Company>
  <LinksUpToDate>false</LinksUpToDate>
  <CharactersWithSpaces>33561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1146751</dc:title>
  <dc:subject>CAT/C/SR.1031</dc:subject>
  <dc:creator>Morris</dc:creator>
  <cp:keywords/>
  <dc:description>Final</dc:description>
  <cp:lastModifiedBy>Bunting Seeber</cp:lastModifiedBy>
  <cp:revision>2</cp:revision>
  <cp:lastPrinted>2012-05-22T08:43:00Z</cp:lastPrinted>
  <dcterms:created xsi:type="dcterms:W3CDTF">2012-05-23T07:35:00Z</dcterms:created>
  <dcterms:modified xsi:type="dcterms:W3CDTF">2012-05-23T07:35:00Z</dcterms:modified>
</cp:coreProperties>
</file>