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nl-NL"/>
              </w:rPr>
            </w:pPr>
            <w:r>
              <w:rPr>
                <w:lang w:val="nl-NL"/>
              </w:rPr>
              <w:t>CRC/C/44/1</w:t>
            </w:r>
            <w:r>
              <w:rPr>
                <w:lang w:val="nl-NL"/>
              </w:rPr>
              <w:br/>
            </w:r>
            <w:bookmarkStart w:id="1" w:name="a3"/>
            <w:r>
              <w:rPr>
                <w:lang w:val="nl-NL"/>
              </w:rPr>
              <w:t>3</w:t>
            </w:r>
            <w:r>
              <w:t xml:space="preserve"> novembre</w:t>
            </w:r>
            <w:r>
              <w:rPr>
                <w:lang w:val="nl-NL"/>
              </w:rPr>
              <w:t xml:space="preserve"> 200</w:t>
            </w:r>
            <w:bookmarkEnd w:id="1"/>
            <w:r>
              <w:rPr>
                <w:lang w:val="nl-NL"/>
              </w:rPr>
              <w:t>6</w:t>
            </w:r>
          </w:p>
          <w:p w:rsidR="00000000" w:rsidRDefault="00000000">
            <w:pPr>
              <w:spacing w:after="120"/>
              <w:ind w:left="618"/>
            </w:pPr>
            <w:r>
              <w:t>FRANÇAIS</w:t>
            </w:r>
            <w:r>
              <w:br/>
              <w:t>Original: ANGLAIS</w:t>
            </w:r>
          </w:p>
        </w:tc>
      </w:tr>
    </w:tbl>
    <w:p w:rsidR="00000000" w:rsidRDefault="00000000"/>
    <w:p w:rsidR="00000000" w:rsidRDefault="00000000">
      <w:pPr>
        <w:spacing w:after="720"/>
        <w:rPr>
          <w:noProof/>
        </w:rPr>
      </w:pPr>
      <w:r>
        <w:rPr>
          <w:noProof/>
        </w:rPr>
        <w:t>COMITÉ DES DROITS DE L’ENFANT</w:t>
      </w:r>
      <w:r>
        <w:rPr>
          <w:noProof/>
        </w:rPr>
        <w:br/>
        <w:t>Quarante</w:t>
      </w:r>
      <w:r>
        <w:rPr>
          <w:noProof/>
        </w:rPr>
        <w:noBreakHyphen/>
        <w:t>quatrième session</w:t>
      </w:r>
      <w:r>
        <w:rPr>
          <w:noProof/>
        </w:rPr>
        <w:br/>
        <w:t>Genève, 15 janvier</w:t>
      </w:r>
      <w:r>
        <w:rPr>
          <w:noProof/>
        </w:rPr>
        <w:noBreakHyphen/>
        <w:t>2 février 2007</w:t>
      </w:r>
    </w:p>
    <w:p w:rsidR="00000000" w:rsidRDefault="00000000">
      <w:pPr>
        <w:spacing w:after="240"/>
        <w:jc w:val="center"/>
        <w:rPr>
          <w:b/>
          <w:bCs/>
        </w:rPr>
      </w:pPr>
      <w:r>
        <w:rPr>
          <w:b/>
          <w:bCs/>
        </w:rPr>
        <w:t>ORDRE DU JOUR PROVISOIRE ET ORDRE DU JOUR</w:t>
      </w:r>
      <w:r>
        <w:rPr>
          <w:b/>
          <w:bCs/>
        </w:rPr>
        <w:br/>
        <w:t>PROVISOIRE ANNOTÉ</w:t>
      </w:r>
    </w:p>
    <w:p w:rsidR="00000000" w:rsidRDefault="00000000">
      <w:pPr>
        <w:spacing w:after="360"/>
        <w:jc w:val="center"/>
        <w:rPr>
          <w:b/>
          <w:bCs/>
        </w:rPr>
      </w:pPr>
      <w:r>
        <w:rPr>
          <w:b/>
          <w:bCs/>
        </w:rPr>
        <w:t>Note du Secrétaire général</w:t>
      </w:r>
    </w:p>
    <w:p w:rsidR="00000000" w:rsidRDefault="00000000">
      <w:pPr>
        <w:spacing w:after="240"/>
      </w:pPr>
      <w:r>
        <w:t>1.</w:t>
      </w:r>
      <w:r>
        <w:tab/>
        <w:t>La quarante</w:t>
      </w:r>
      <w:r>
        <w:noBreakHyphen/>
        <w:t>quatrième session du Comité des droits de l’enfant se tiendra à l’Office des Nations Unies à Genève du 15 janvier au 2 février 2007. La session s’ouvrira le lundi 15 janvier 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quarante</w:t>
      </w:r>
      <w:r>
        <w:noBreakHyphen/>
        <w:t>quatrième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quarante</w:t>
      </w:r>
      <w:r>
        <w:noBreakHyphen/>
        <w:t>quatrième session.</w:t>
      </w:r>
    </w:p>
    <w:p w:rsidR="00000000" w:rsidRDefault="00000000">
      <w:pPr>
        <w:spacing w:after="240"/>
      </w:pPr>
      <w:r>
        <w:t>5.</w:t>
      </w:r>
      <w:r>
        <w:tab/>
        <w:t>Un groupe de travail de présession, établi conformément à l’article 63 du règlement intérieur provisoire, s’est réuni à l’Office des Nations Unies à Genève du 2 au 6 octobre 2006.</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pPr>
      <w:r>
        <w:t>6.</w:t>
      </w:r>
      <w:r>
        <w:tab/>
        <w:t>Méthodes de travail du Comité.</w:t>
      </w:r>
    </w:p>
    <w:p w:rsidR="00000000" w:rsidRDefault="00000000">
      <w:pPr>
        <w:spacing w:after="240"/>
      </w:pPr>
      <w:r>
        <w:t>7.</w:t>
      </w:r>
      <w:r>
        <w:tab/>
        <w:t>Observations générales.</w:t>
      </w:r>
    </w:p>
    <w:p w:rsidR="00000000" w:rsidRDefault="00000000">
      <w:pPr>
        <w:spacing w:after="240"/>
      </w:pPr>
      <w:r>
        <w:t>8.</w:t>
      </w:r>
      <w:r>
        <w:tab/>
        <w:t>Réunions futures.</w:t>
      </w:r>
    </w:p>
    <w:p w:rsidR="00000000" w:rsidRDefault="00000000">
      <w:pPr>
        <w:spacing w:after="240"/>
      </w:pPr>
      <w:r>
        <w:t>9.</w:t>
      </w:r>
      <w:r>
        <w:tab/>
        <w:t>Questions diverses.</w:t>
      </w:r>
    </w:p>
    <w:p w:rsidR="00000000" w:rsidRDefault="00000000">
      <w:pPr>
        <w:keepNext/>
        <w:spacing w:after="220"/>
        <w:jc w:val="center"/>
        <w:rPr>
          <w:b/>
          <w:bCs/>
        </w:rPr>
      </w:pPr>
      <w:r>
        <w:br w:type="page"/>
      </w:r>
      <w:r>
        <w:rPr>
          <w:b/>
          <w:bCs/>
        </w:rPr>
        <w:t>Ordre du jour provisoire annoté</w:t>
      </w:r>
    </w:p>
    <w:p w:rsidR="00000000" w:rsidRDefault="00000000">
      <w:pPr>
        <w:keepNext/>
        <w:spacing w:after="220"/>
        <w:jc w:val="center"/>
        <w:rPr>
          <w:b/>
          <w:bCs/>
        </w:rPr>
      </w:pPr>
      <w:r>
        <w:rPr>
          <w:b/>
          <w:bCs/>
        </w:rPr>
        <w:t>Point 1.  Adoption de l’ordre du jour</w:t>
      </w:r>
    </w:p>
    <w:p w:rsidR="00000000" w:rsidRDefault="00000000">
      <w:pPr>
        <w:spacing w:after="22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20"/>
        <w:jc w:val="center"/>
        <w:rPr>
          <w:b/>
          <w:bCs/>
        </w:rPr>
      </w:pPr>
      <w:r>
        <w:rPr>
          <w:b/>
          <w:bCs/>
        </w:rPr>
        <w:t>Point 2.  Questions d’organisation</w:t>
      </w:r>
    </w:p>
    <w:p w:rsidR="00000000" w:rsidRDefault="00000000">
      <w:pPr>
        <w:spacing w:after="220"/>
      </w:pPr>
      <w:r>
        <w:t>2.</w:t>
      </w:r>
      <w:r>
        <w:tab/>
        <w:t>Au titre de ce point, le Comité voudra peut</w:t>
      </w:r>
      <w:r>
        <w:noBreakHyphen/>
        <w:t>être examiner le programme de travail de la</w:t>
      </w:r>
      <w:r>
        <w:rPr>
          <w:b/>
          <w:bCs/>
        </w:rPr>
        <w:t xml:space="preserve"> </w:t>
      </w:r>
      <w:r>
        <w:t>session et toute autre question concernant les modalités de l’accomplissement des fonctions qui</w:t>
      </w:r>
      <w:r>
        <w:rPr>
          <w:b/>
          <w:bCs/>
        </w:rPr>
        <w:t xml:space="preserve"> </w:t>
      </w:r>
      <w:r>
        <w:t>lui sont assignées en vertu de la</w:t>
      </w:r>
      <w:r>
        <w:rPr>
          <w:b/>
          <w:bCs/>
        </w:rPr>
        <w:t xml:space="preserve"> </w:t>
      </w:r>
      <w:r>
        <w:t>Convention.</w:t>
      </w:r>
    </w:p>
    <w:p w:rsidR="00000000" w:rsidRDefault="00000000">
      <w:pPr>
        <w:keepNext/>
        <w:spacing w:after="220"/>
        <w:jc w:val="center"/>
        <w:rPr>
          <w:b/>
          <w:bCs/>
        </w:rPr>
      </w:pPr>
      <w:r>
        <w:rPr>
          <w:b/>
          <w:bCs/>
        </w:rPr>
        <w:t>Point 3.  Présentation de rapports par les États parties</w:t>
      </w:r>
    </w:p>
    <w:p w:rsidR="00000000" w:rsidRDefault="00000000">
      <w:pPr>
        <w:keepNext/>
        <w:spacing w:after="220"/>
        <w:jc w:val="center"/>
        <w:rPr>
          <w:b/>
          <w:bCs/>
        </w:rPr>
      </w:pPr>
      <w:r>
        <w:rPr>
          <w:b/>
          <w:bCs/>
        </w:rPr>
        <w:t>Rapports reçus</w:t>
      </w:r>
    </w:p>
    <w:p w:rsidR="00000000" w:rsidRDefault="00000000">
      <w:pPr>
        <w:spacing w:after="220"/>
      </w:pPr>
      <w:r>
        <w:t>3.</w:t>
      </w:r>
      <w:r>
        <w:tab/>
        <w:t>Outre les rapports qu’il est prévu d’examiner à la quarante</w:t>
      </w:r>
      <w:r>
        <w:noBreakHyphen/>
        <w:t>quatrième session du Comité (voir</w:t>
      </w:r>
      <w:r>
        <w:rPr>
          <w:b/>
          <w:bCs/>
        </w:rPr>
        <w:t xml:space="preserve"> </w:t>
      </w:r>
      <w:r>
        <w:t>plus loin le calendrier de l’examen des rapports au titre du point 4) et les rapports mentionnés dans l’ordre du jour provisoire de la quarante</w:t>
      </w:r>
      <w:r>
        <w:noBreakHyphen/>
        <w:t>troisième session (CRC/C/43/1), le Secrétaire général a</w:t>
      </w:r>
      <w:r>
        <w:rPr>
          <w:b/>
          <w:bCs/>
        </w:rPr>
        <w:t xml:space="preserve"> </w:t>
      </w:r>
      <w:r>
        <w:t>reçu les rapports suivants au titre de la Convention et des Protocoles</w:t>
      </w:r>
      <w:r>
        <w:rPr>
          <w:b/>
          <w:bCs/>
        </w:rPr>
        <w:t xml:space="preserve"> </w:t>
      </w:r>
      <w:r>
        <w:t>facultatifs se rapportant à la Convention:</w:t>
      </w:r>
    </w:p>
    <w:p w:rsidR="00000000" w:rsidRDefault="00000000">
      <w:pPr>
        <w:keepNext/>
        <w:spacing w:after="220"/>
        <w:jc w:val="center"/>
        <w:rPr>
          <w:b/>
          <w:bCs/>
          <w:u w:val="single"/>
        </w:rPr>
      </w:pPr>
      <w:r>
        <w:rPr>
          <w:b/>
          <w:bCs/>
          <w:u w:val="single"/>
        </w:rPr>
        <w:t>Convention relative aux droits de l’enfant</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rPr>
          <w:cantSplit/>
          <w:tblHeader/>
        </w:trPr>
        <w:tc>
          <w:tcPr>
            <w:tcW w:w="3969" w:type="dxa"/>
          </w:tcPr>
          <w:p w:rsidR="00000000" w:rsidRDefault="00000000">
            <w:pPr>
              <w:keepNext/>
              <w:jc w:val="center"/>
              <w:rPr>
                <w:u w:val="single"/>
              </w:rPr>
            </w:pPr>
            <w:r>
              <w:rPr>
                <w:u w:val="single"/>
              </w:rPr>
              <w:t>État partie</w:t>
            </w:r>
          </w:p>
        </w:tc>
        <w:tc>
          <w:tcPr>
            <w:tcW w:w="2835" w:type="dxa"/>
          </w:tcPr>
          <w:p w:rsidR="00000000" w:rsidRDefault="00000000">
            <w:pPr>
              <w:keepNext/>
              <w:jc w:val="center"/>
              <w:rPr>
                <w:u w:val="single"/>
              </w:rPr>
            </w:pPr>
            <w:r>
              <w:rPr>
                <w:u w:val="single"/>
              </w:rPr>
              <w:t>Attendu en</w:t>
            </w:r>
          </w:p>
        </w:tc>
        <w:tc>
          <w:tcPr>
            <w:tcW w:w="2693" w:type="dxa"/>
          </w:tcPr>
          <w:p w:rsidR="00000000" w:rsidRDefault="00000000">
            <w:pPr>
              <w:keepNext/>
              <w:jc w:val="center"/>
              <w:rPr>
                <w:u w:val="single"/>
              </w:rPr>
            </w:pPr>
            <w:r>
              <w:rPr>
                <w:u w:val="single"/>
              </w:rPr>
              <w:t>Cote</w:t>
            </w:r>
          </w:p>
        </w:tc>
      </w:tr>
      <w:tr w:rsidR="00000000">
        <w:tblPrEx>
          <w:tblCellMar>
            <w:top w:w="0" w:type="dxa"/>
            <w:bottom w:w="0" w:type="dxa"/>
          </w:tblCellMar>
        </w:tblPrEx>
        <w:trPr>
          <w:cantSplit/>
        </w:trPr>
        <w:tc>
          <w:tcPr>
            <w:tcW w:w="3969" w:type="dxa"/>
          </w:tcPr>
          <w:p w:rsidR="00000000" w:rsidRDefault="00000000">
            <w:pPr>
              <w:keepNext/>
            </w:pPr>
            <w:r>
              <w:t>Sierra Leone, deuxième</w:t>
            </w:r>
          </w:p>
        </w:tc>
        <w:tc>
          <w:tcPr>
            <w:tcW w:w="2835" w:type="dxa"/>
          </w:tcPr>
          <w:p w:rsidR="00000000" w:rsidRDefault="00000000">
            <w:pPr>
              <w:keepNext/>
            </w:pPr>
            <w:r>
              <w:t>Septembre 1997</w:t>
            </w:r>
          </w:p>
        </w:tc>
        <w:tc>
          <w:tcPr>
            <w:tcW w:w="2693" w:type="dxa"/>
          </w:tcPr>
          <w:p w:rsidR="00000000" w:rsidRDefault="00000000">
            <w:pPr>
              <w:keepNext/>
            </w:pPr>
            <w:r>
              <w:t>CRC/C/SLE/2</w:t>
            </w:r>
          </w:p>
        </w:tc>
      </w:tr>
      <w:tr w:rsidR="00000000">
        <w:tblPrEx>
          <w:tblCellMar>
            <w:top w:w="0" w:type="dxa"/>
            <w:bottom w:w="0" w:type="dxa"/>
          </w:tblCellMar>
        </w:tblPrEx>
        <w:trPr>
          <w:cantSplit/>
        </w:trPr>
        <w:tc>
          <w:tcPr>
            <w:tcW w:w="3969" w:type="dxa"/>
          </w:tcPr>
          <w:p w:rsidR="00000000" w:rsidRDefault="00000000">
            <w:pPr>
              <w:keepNext/>
            </w:pPr>
            <w:r>
              <w:t>Slovaquie, deuxième</w:t>
            </w:r>
          </w:p>
        </w:tc>
        <w:tc>
          <w:tcPr>
            <w:tcW w:w="2835" w:type="dxa"/>
          </w:tcPr>
          <w:p w:rsidR="00000000" w:rsidRDefault="00000000">
            <w:r>
              <w:t>Décembre 1999</w:t>
            </w:r>
          </w:p>
        </w:tc>
        <w:tc>
          <w:tcPr>
            <w:tcW w:w="2693" w:type="dxa"/>
          </w:tcPr>
          <w:p w:rsidR="00000000" w:rsidRDefault="00000000">
            <w:r>
              <w:t>CRC/C/SVK/2</w:t>
            </w:r>
          </w:p>
        </w:tc>
      </w:tr>
      <w:tr w:rsidR="00000000">
        <w:tblPrEx>
          <w:tblCellMar>
            <w:top w:w="0" w:type="dxa"/>
            <w:bottom w:w="0" w:type="dxa"/>
          </w:tblCellMar>
        </w:tblPrEx>
        <w:trPr>
          <w:cantSplit/>
        </w:trPr>
        <w:tc>
          <w:tcPr>
            <w:tcW w:w="3969" w:type="dxa"/>
          </w:tcPr>
          <w:p w:rsidR="00000000" w:rsidRDefault="00000000">
            <w:pPr>
              <w:keepNext/>
            </w:pPr>
            <w:r>
              <w:t>Kazakhstan, deuxième et troisième</w:t>
            </w:r>
          </w:p>
        </w:tc>
        <w:tc>
          <w:tcPr>
            <w:tcW w:w="2835" w:type="dxa"/>
          </w:tcPr>
          <w:p w:rsidR="00000000" w:rsidRDefault="00000000">
            <w:r>
              <w:t>Septembre 2006</w:t>
            </w:r>
          </w:p>
        </w:tc>
        <w:tc>
          <w:tcPr>
            <w:tcW w:w="2693" w:type="dxa"/>
          </w:tcPr>
          <w:p w:rsidR="00000000" w:rsidRDefault="00000000">
            <w:r>
              <w:t>CRC/C/KAZ/3</w:t>
            </w:r>
          </w:p>
        </w:tc>
      </w:tr>
      <w:tr w:rsidR="00000000">
        <w:tblPrEx>
          <w:tblCellMar>
            <w:top w:w="0" w:type="dxa"/>
            <w:bottom w:w="0" w:type="dxa"/>
          </w:tblCellMar>
        </w:tblPrEx>
        <w:trPr>
          <w:cantSplit/>
        </w:trPr>
        <w:tc>
          <w:tcPr>
            <w:tcW w:w="3969" w:type="dxa"/>
          </w:tcPr>
          <w:p w:rsidR="00000000" w:rsidRDefault="00000000">
            <w:pPr>
              <w:spacing w:after="120"/>
            </w:pPr>
            <w:r>
              <w:t>Uruguay, deuxième</w:t>
            </w:r>
          </w:p>
        </w:tc>
        <w:tc>
          <w:tcPr>
            <w:tcW w:w="2835" w:type="dxa"/>
          </w:tcPr>
          <w:p w:rsidR="00000000" w:rsidRDefault="00000000">
            <w:pPr>
              <w:spacing w:after="120"/>
            </w:pPr>
            <w:r>
              <w:t>Décembre 1997</w:t>
            </w:r>
          </w:p>
        </w:tc>
        <w:tc>
          <w:tcPr>
            <w:tcW w:w="2693" w:type="dxa"/>
          </w:tcPr>
          <w:p w:rsidR="00000000" w:rsidRDefault="00000000">
            <w:pPr>
              <w:spacing w:after="120"/>
              <w:rPr>
                <w:lang w:val="en-GB"/>
              </w:rPr>
            </w:pPr>
            <w:r>
              <w:rPr>
                <w:lang w:val="en-GB"/>
              </w:rPr>
              <w:t>CRC/C/URY/2</w:t>
            </w:r>
          </w:p>
        </w:tc>
      </w:tr>
    </w:tbl>
    <w:p w:rsidR="00000000" w:rsidRDefault="00000000">
      <w:pPr>
        <w:keepNext/>
        <w:tabs>
          <w:tab w:val="left" w:pos="3969"/>
          <w:tab w:val="left" w:pos="6804"/>
          <w:tab w:val="left" w:pos="9497"/>
        </w:tabs>
        <w:spacing w:before="220" w:after="220"/>
        <w:jc w:val="center"/>
        <w:rPr>
          <w:b/>
          <w:bCs/>
        </w:rPr>
      </w:pPr>
      <w:r>
        <w:rPr>
          <w:b/>
          <w:bCs/>
        </w:rPr>
        <w:t>Protocole facultatif concernant l’implication d’enfants dans les conflits armés</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rPr>
          <w:cantSplit/>
          <w:tblHeader/>
        </w:trPr>
        <w:tc>
          <w:tcPr>
            <w:tcW w:w="3969" w:type="dxa"/>
          </w:tcPr>
          <w:p w:rsidR="00000000" w:rsidRDefault="00000000">
            <w:pPr>
              <w:keepNext/>
              <w:jc w:val="center"/>
              <w:rPr>
                <w:u w:val="single"/>
              </w:rPr>
            </w:pPr>
            <w:r>
              <w:rPr>
                <w:u w:val="single"/>
              </w:rPr>
              <w:t>État partie</w:t>
            </w:r>
          </w:p>
        </w:tc>
        <w:tc>
          <w:tcPr>
            <w:tcW w:w="2835" w:type="dxa"/>
          </w:tcPr>
          <w:p w:rsidR="00000000" w:rsidRDefault="00000000">
            <w:pPr>
              <w:keepNext/>
              <w:jc w:val="center"/>
              <w:rPr>
                <w:u w:val="single"/>
              </w:rPr>
            </w:pPr>
            <w:r>
              <w:rPr>
                <w:u w:val="single"/>
              </w:rPr>
              <w:t>Attendu en</w:t>
            </w:r>
          </w:p>
        </w:tc>
        <w:tc>
          <w:tcPr>
            <w:tcW w:w="2693" w:type="dxa"/>
          </w:tcPr>
          <w:p w:rsidR="00000000" w:rsidRDefault="00000000">
            <w:pPr>
              <w:keepNext/>
              <w:jc w:val="center"/>
              <w:rPr>
                <w:u w:val="single"/>
              </w:rPr>
            </w:pPr>
            <w:r>
              <w:rPr>
                <w:u w:val="single"/>
              </w:rPr>
              <w:t>Cote</w:t>
            </w:r>
          </w:p>
        </w:tc>
      </w:tr>
      <w:tr w:rsidR="00000000">
        <w:tblPrEx>
          <w:tblCellMar>
            <w:top w:w="0" w:type="dxa"/>
            <w:bottom w:w="0" w:type="dxa"/>
          </w:tblCellMar>
        </w:tblPrEx>
        <w:trPr>
          <w:cantSplit/>
        </w:trPr>
        <w:tc>
          <w:tcPr>
            <w:tcW w:w="3969" w:type="dxa"/>
          </w:tcPr>
          <w:p w:rsidR="00000000" w:rsidRDefault="00000000">
            <w:pPr>
              <w:keepNext/>
            </w:pPr>
            <w:r>
              <w:t>Luxembourg</w:t>
            </w:r>
          </w:p>
        </w:tc>
        <w:tc>
          <w:tcPr>
            <w:tcW w:w="2835" w:type="dxa"/>
          </w:tcPr>
          <w:p w:rsidR="00000000" w:rsidRDefault="00000000">
            <w:r>
              <w:t>Septembre 2006</w:t>
            </w:r>
          </w:p>
        </w:tc>
        <w:tc>
          <w:tcPr>
            <w:tcW w:w="2693" w:type="dxa"/>
          </w:tcPr>
          <w:p w:rsidR="00000000" w:rsidRDefault="00000000">
            <w:r>
              <w:t>CRC/C/OPAC/LUX/1</w:t>
            </w:r>
          </w:p>
        </w:tc>
      </w:tr>
      <w:tr w:rsidR="00000000">
        <w:tblPrEx>
          <w:tblCellMar>
            <w:top w:w="0" w:type="dxa"/>
            <w:bottom w:w="0" w:type="dxa"/>
          </w:tblCellMar>
        </w:tblPrEx>
        <w:trPr>
          <w:cantSplit/>
        </w:trPr>
        <w:tc>
          <w:tcPr>
            <w:tcW w:w="3969" w:type="dxa"/>
          </w:tcPr>
          <w:p w:rsidR="00000000" w:rsidRDefault="00000000">
            <w:pPr>
              <w:keepNext/>
            </w:pPr>
            <w:r>
              <w:t>Espagne</w:t>
            </w:r>
          </w:p>
        </w:tc>
        <w:tc>
          <w:tcPr>
            <w:tcW w:w="2835" w:type="dxa"/>
          </w:tcPr>
          <w:p w:rsidR="00000000" w:rsidRDefault="00000000">
            <w:r>
              <w:t>Avril 2004</w:t>
            </w:r>
          </w:p>
        </w:tc>
        <w:tc>
          <w:tcPr>
            <w:tcW w:w="2693" w:type="dxa"/>
          </w:tcPr>
          <w:p w:rsidR="00000000" w:rsidRDefault="00000000">
            <w:r>
              <w:t>CRC/C/OPAC/ESP/1</w:t>
            </w:r>
          </w:p>
        </w:tc>
      </w:tr>
      <w:tr w:rsidR="00000000">
        <w:tblPrEx>
          <w:tblCellMar>
            <w:top w:w="0" w:type="dxa"/>
            <w:bottom w:w="0" w:type="dxa"/>
          </w:tblCellMar>
        </w:tblPrEx>
        <w:trPr>
          <w:cantSplit/>
        </w:trPr>
        <w:tc>
          <w:tcPr>
            <w:tcW w:w="3969" w:type="dxa"/>
          </w:tcPr>
          <w:p w:rsidR="00000000" w:rsidRDefault="00000000">
            <w:pPr>
              <w:keepNext/>
            </w:pPr>
            <w:r>
              <w:t xml:space="preserve">France </w:t>
            </w:r>
          </w:p>
        </w:tc>
        <w:tc>
          <w:tcPr>
            <w:tcW w:w="2835" w:type="dxa"/>
          </w:tcPr>
          <w:p w:rsidR="00000000" w:rsidRDefault="00000000">
            <w:r>
              <w:t>Mars 2005</w:t>
            </w:r>
          </w:p>
        </w:tc>
        <w:tc>
          <w:tcPr>
            <w:tcW w:w="2693" w:type="dxa"/>
          </w:tcPr>
          <w:p w:rsidR="00000000" w:rsidRDefault="00000000">
            <w:r>
              <w:t>CRC/C/OPAC/FRA/1</w:t>
            </w:r>
          </w:p>
        </w:tc>
      </w:tr>
      <w:tr w:rsidR="00000000">
        <w:tblPrEx>
          <w:tblCellMar>
            <w:top w:w="0" w:type="dxa"/>
            <w:bottom w:w="0" w:type="dxa"/>
          </w:tblCellMar>
        </w:tblPrEx>
        <w:trPr>
          <w:cantSplit/>
        </w:trPr>
        <w:tc>
          <w:tcPr>
            <w:tcW w:w="3969" w:type="dxa"/>
          </w:tcPr>
          <w:p w:rsidR="00000000" w:rsidRDefault="00000000">
            <w:pPr>
              <w:spacing w:after="120"/>
            </w:pPr>
            <w:r>
              <w:t>République arabe syrienne</w:t>
            </w:r>
          </w:p>
        </w:tc>
        <w:tc>
          <w:tcPr>
            <w:tcW w:w="2835" w:type="dxa"/>
          </w:tcPr>
          <w:p w:rsidR="00000000" w:rsidRDefault="00000000">
            <w:pPr>
              <w:spacing w:after="120"/>
            </w:pPr>
            <w:r>
              <w:t>Novembre 2005</w:t>
            </w:r>
          </w:p>
        </w:tc>
        <w:tc>
          <w:tcPr>
            <w:tcW w:w="2693" w:type="dxa"/>
          </w:tcPr>
          <w:p w:rsidR="00000000" w:rsidRDefault="00000000">
            <w:pPr>
              <w:spacing w:after="120"/>
            </w:pPr>
            <w:r>
              <w:t>CRC/C/OPAC/SYR/1</w:t>
            </w:r>
          </w:p>
        </w:tc>
      </w:tr>
    </w:tbl>
    <w:p w:rsidR="00000000" w:rsidRDefault="00000000">
      <w:pPr>
        <w:keepNext/>
        <w:spacing w:before="220" w:after="220"/>
        <w:jc w:val="center"/>
        <w:rPr>
          <w:b/>
          <w:bCs/>
        </w:rPr>
      </w:pPr>
      <w:r>
        <w:rPr>
          <w:b/>
          <w:bCs/>
        </w:rPr>
        <w:t>Protocole facultatif concernant la vente d’enfants, la prostitution des enfants</w:t>
      </w:r>
      <w:r>
        <w:rPr>
          <w:b/>
          <w:bCs/>
        </w:rPr>
        <w:br/>
        <w:t>et la pornographie mettant en scène des enfants</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c>
          <w:tcPr>
            <w:tcW w:w="3969" w:type="dxa"/>
          </w:tcPr>
          <w:p w:rsidR="00000000" w:rsidRDefault="00000000">
            <w:pPr>
              <w:keepNext/>
              <w:jc w:val="center"/>
              <w:rPr>
                <w:u w:val="single"/>
              </w:rPr>
            </w:pPr>
            <w:r>
              <w:rPr>
                <w:u w:val="single"/>
              </w:rPr>
              <w:t>État partie</w:t>
            </w:r>
          </w:p>
        </w:tc>
        <w:tc>
          <w:tcPr>
            <w:tcW w:w="2835" w:type="dxa"/>
          </w:tcPr>
          <w:p w:rsidR="00000000" w:rsidRDefault="00000000">
            <w:pPr>
              <w:jc w:val="center"/>
              <w:rPr>
                <w:u w:val="single"/>
              </w:rPr>
            </w:pPr>
            <w:r>
              <w:rPr>
                <w:u w:val="single"/>
              </w:rPr>
              <w:t>Attendu en</w:t>
            </w:r>
          </w:p>
        </w:tc>
        <w:tc>
          <w:tcPr>
            <w:tcW w:w="2693" w:type="dxa"/>
          </w:tcPr>
          <w:p w:rsidR="00000000" w:rsidRDefault="00000000">
            <w:pPr>
              <w:jc w:val="center"/>
              <w:rPr>
                <w:u w:val="single"/>
              </w:rPr>
            </w:pPr>
            <w:r>
              <w:rPr>
                <w:u w:val="single"/>
              </w:rPr>
              <w:t>Cote</w:t>
            </w:r>
          </w:p>
        </w:tc>
      </w:tr>
      <w:tr w:rsidR="00000000">
        <w:tblPrEx>
          <w:tblCellMar>
            <w:top w:w="0" w:type="dxa"/>
            <w:bottom w:w="0" w:type="dxa"/>
          </w:tblCellMar>
        </w:tblPrEx>
        <w:tc>
          <w:tcPr>
            <w:tcW w:w="3969" w:type="dxa"/>
          </w:tcPr>
          <w:p w:rsidR="00000000" w:rsidRDefault="00000000">
            <w:pPr>
              <w:keepNext/>
            </w:pPr>
            <w:r>
              <w:t xml:space="preserve">Espagne </w:t>
            </w:r>
          </w:p>
        </w:tc>
        <w:tc>
          <w:tcPr>
            <w:tcW w:w="2835" w:type="dxa"/>
          </w:tcPr>
          <w:p w:rsidR="00000000" w:rsidRDefault="00000000">
            <w:pPr>
              <w:keepNext/>
            </w:pPr>
            <w:r>
              <w:t>Janvier 2004</w:t>
            </w:r>
          </w:p>
        </w:tc>
        <w:tc>
          <w:tcPr>
            <w:tcW w:w="2693" w:type="dxa"/>
          </w:tcPr>
          <w:p w:rsidR="00000000" w:rsidRDefault="00000000">
            <w:pPr>
              <w:keepNext/>
              <w:rPr>
                <w:lang w:val="en-GB"/>
              </w:rPr>
            </w:pPr>
            <w:r>
              <w:rPr>
                <w:lang w:val="en-GB"/>
              </w:rPr>
              <w:t>CRC/C/OPSC/ESP/1</w:t>
            </w:r>
          </w:p>
        </w:tc>
      </w:tr>
      <w:tr w:rsidR="00000000">
        <w:tblPrEx>
          <w:tblCellMar>
            <w:top w:w="0" w:type="dxa"/>
            <w:bottom w:w="0" w:type="dxa"/>
          </w:tblCellMar>
        </w:tblPrEx>
        <w:tc>
          <w:tcPr>
            <w:tcW w:w="3969" w:type="dxa"/>
          </w:tcPr>
          <w:p w:rsidR="00000000" w:rsidRDefault="00000000">
            <w:r>
              <w:t>France</w:t>
            </w:r>
          </w:p>
        </w:tc>
        <w:tc>
          <w:tcPr>
            <w:tcW w:w="2835" w:type="dxa"/>
          </w:tcPr>
          <w:p w:rsidR="00000000" w:rsidRDefault="00000000">
            <w:r>
              <w:t>Mars 2005</w:t>
            </w:r>
          </w:p>
        </w:tc>
        <w:tc>
          <w:tcPr>
            <w:tcW w:w="2693" w:type="dxa"/>
          </w:tcPr>
          <w:p w:rsidR="00000000" w:rsidRDefault="00000000">
            <w:r>
              <w:t>CRC/C/OPSC/FRA/1</w:t>
            </w:r>
          </w:p>
        </w:tc>
      </w:tr>
    </w:tbl>
    <w:p w:rsidR="00000000" w:rsidRDefault="00000000">
      <w:pPr>
        <w:keepNext/>
        <w:spacing w:after="240"/>
        <w:jc w:val="center"/>
        <w:rPr>
          <w:b/>
          <w:bCs/>
        </w:rPr>
      </w:pPr>
      <w:r>
        <w:rPr>
          <w:b/>
          <w:bCs/>
        </w:rPr>
        <w:t>Rapports en retard</w:t>
      </w:r>
    </w:p>
    <w:p w:rsidR="00000000" w:rsidRDefault="00000000">
      <w:pPr>
        <w:spacing w:after="240"/>
      </w:pPr>
      <w:r>
        <w:t>4.</w:t>
      </w:r>
      <w:r>
        <w:tab/>
        <w:t>Conformément à l’article 67 du règlement intérieur provisoire, le</w:t>
      </w:r>
      <w:r>
        <w:rPr>
          <w:b/>
          <w:bCs/>
        </w:rPr>
        <w:t xml:space="preserve"> </w:t>
      </w:r>
      <w:r>
        <w:t>Secrétaire général est tenu de faire part au Comité, à chaque session, de tous les cas de non</w:t>
      </w:r>
      <w:r>
        <w:noBreakHyphen/>
        <w:t>présentation de rapport. La liste complète des rapports initiaux et périodiques à présenter au titre de la Convention et des</w:t>
      </w:r>
      <w:r>
        <w:rPr>
          <w:b/>
          <w:bCs/>
        </w:rPr>
        <w:t xml:space="preserve"> </w:t>
      </w:r>
      <w:r>
        <w:t>rapports initiaux à présenter au titre des deux Protocoles facultatifs figure dans le document sur la situation en matière de présentation des rapports (CRC/C/44/2),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w:t>
      </w:r>
      <w:r>
        <w:rPr>
          <w:b/>
          <w:bCs/>
        </w:rPr>
        <w:t> </w:t>
      </w:r>
      <w:r>
        <w:t>recommandations ne s’appliquent qu’à titre de mesure exceptionnelle ne pouvant être prise</w:t>
      </w:r>
      <w:r>
        <w:rPr>
          <w:b/>
          <w:bCs/>
        </w:rPr>
        <w:t xml:space="preserve"> </w:t>
      </w:r>
      <w:r>
        <w:t>qu’une seule fois.</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5.</w:t>
      </w:r>
      <w:r>
        <w:tab/>
        <w:t>On trouvera ci</w:t>
      </w:r>
      <w:r>
        <w:noBreakHyphen/>
        <w:t>après le calendrier provisoire de l’examen des rapports à la quarante</w:t>
      </w:r>
      <w:r>
        <w:noBreakHyphen/>
        <w:t>quatrième</w:t>
      </w:r>
      <w:r>
        <w:rPr>
          <w:b/>
          <w:bCs/>
        </w:rPr>
        <w:t xml:space="preserve"> </w:t>
      </w:r>
      <w:r>
        <w:t>session, établi par le Secrétaire général en concertation avec la présidence et</w:t>
      </w:r>
      <w:r>
        <w:rPr>
          <w:b/>
          <w:bCs/>
        </w:rPr>
        <w:t xml:space="preserve"> </w:t>
      </w:r>
      <w:r>
        <w:t>soumis</w:t>
      </w:r>
      <w:r>
        <w:rPr>
          <w:b/>
          <w:bCs/>
        </w:rPr>
        <w:t xml:space="preserve"> </w:t>
      </w:r>
      <w:r>
        <w:t>à l’approbation du Comité.</w:t>
      </w:r>
    </w:p>
    <w:p w:rsidR="00000000" w:rsidRDefault="00000000">
      <w:pPr>
        <w:keepNext/>
        <w:spacing w:after="240"/>
        <w:jc w:val="center"/>
        <w:rPr>
          <w:b/>
          <w:bCs/>
        </w:rPr>
      </w:pPr>
      <w:r>
        <w:rPr>
          <w:b/>
          <w:bCs/>
        </w:rPr>
        <w:t>Calendrier provisoire pour l’examen des rapports présentés par les États parties</w:t>
      </w:r>
    </w:p>
    <w:tbl>
      <w:tblPr>
        <w:tblW w:w="9497" w:type="dxa"/>
        <w:tblLayout w:type="fixed"/>
        <w:tblCellMar>
          <w:left w:w="70" w:type="dxa"/>
          <w:right w:w="70" w:type="dxa"/>
        </w:tblCellMar>
        <w:tblLook w:val="0000" w:firstRow="0" w:lastRow="0" w:firstColumn="0" w:lastColumn="0" w:noHBand="0" w:noVBand="0"/>
      </w:tblPr>
      <w:tblGrid>
        <w:gridCol w:w="2591"/>
        <w:gridCol w:w="1151"/>
        <w:gridCol w:w="2302"/>
        <w:gridCol w:w="3453"/>
      </w:tblGrid>
      <w:tr w:rsidR="00000000">
        <w:tblPrEx>
          <w:tblCellMar>
            <w:top w:w="0" w:type="dxa"/>
            <w:bottom w:w="0" w:type="dxa"/>
          </w:tblCellMar>
        </w:tblPrEx>
        <w:trPr>
          <w:cantSplit/>
          <w:tblHeader/>
        </w:trPr>
        <w:tc>
          <w:tcPr>
            <w:tcW w:w="2552" w:type="dxa"/>
            <w:vAlign w:val="center"/>
          </w:tcPr>
          <w:p w:rsidR="00000000" w:rsidRDefault="00000000">
            <w:pPr>
              <w:keepNext/>
              <w:spacing w:after="240"/>
              <w:rPr>
                <w:sz w:val="22"/>
                <w:u w:val="single"/>
              </w:rPr>
            </w:pPr>
            <w:r>
              <w:rPr>
                <w:sz w:val="22"/>
                <w:u w:val="single"/>
              </w:rPr>
              <w:t>Date</w:t>
            </w:r>
          </w:p>
        </w:tc>
        <w:tc>
          <w:tcPr>
            <w:tcW w:w="1134" w:type="dxa"/>
            <w:vAlign w:val="center"/>
          </w:tcPr>
          <w:p w:rsidR="00000000" w:rsidRDefault="00000000">
            <w:pPr>
              <w:spacing w:after="240"/>
              <w:jc w:val="center"/>
              <w:rPr>
                <w:sz w:val="22"/>
                <w:u w:val="single"/>
              </w:rPr>
            </w:pPr>
            <w:r>
              <w:rPr>
                <w:sz w:val="22"/>
                <w:u w:val="single"/>
              </w:rPr>
              <w:t>Heure</w:t>
            </w:r>
          </w:p>
        </w:tc>
        <w:tc>
          <w:tcPr>
            <w:tcW w:w="2268" w:type="dxa"/>
            <w:vAlign w:val="center"/>
          </w:tcPr>
          <w:p w:rsidR="00000000" w:rsidRDefault="00000000">
            <w:pPr>
              <w:spacing w:after="240"/>
              <w:jc w:val="center"/>
              <w:rPr>
                <w:sz w:val="22"/>
                <w:u w:val="single"/>
              </w:rPr>
            </w:pPr>
            <w:r>
              <w:rPr>
                <w:sz w:val="22"/>
                <w:u w:val="single"/>
              </w:rPr>
              <w:t>Point de l’ordre du jour</w:t>
            </w:r>
          </w:p>
        </w:tc>
        <w:tc>
          <w:tcPr>
            <w:tcW w:w="3402" w:type="dxa"/>
            <w:vAlign w:val="center"/>
          </w:tcPr>
          <w:p w:rsidR="00000000" w:rsidRDefault="00000000">
            <w:pPr>
              <w:spacing w:after="240"/>
              <w:rPr>
                <w:sz w:val="22"/>
                <w:u w:val="single"/>
              </w:rPr>
            </w:pPr>
            <w:r>
              <w:rPr>
                <w:sz w:val="22"/>
                <w:u w:val="single"/>
              </w:rPr>
              <w:t>Chambre A</w:t>
            </w:r>
          </w:p>
        </w:tc>
      </w:tr>
      <w:tr w:rsidR="00000000">
        <w:tblPrEx>
          <w:tblCellMar>
            <w:top w:w="0" w:type="dxa"/>
            <w:bottom w:w="0" w:type="dxa"/>
          </w:tblCellMar>
        </w:tblPrEx>
        <w:trPr>
          <w:cantSplit/>
        </w:trPr>
        <w:tc>
          <w:tcPr>
            <w:tcW w:w="2552" w:type="dxa"/>
          </w:tcPr>
          <w:p w:rsidR="00000000" w:rsidRDefault="00000000">
            <w:pPr>
              <w:spacing w:after="120"/>
              <w:rPr>
                <w:sz w:val="22"/>
              </w:rPr>
            </w:pPr>
            <w:r>
              <w:rPr>
                <w:sz w:val="22"/>
              </w:rPr>
              <w:t>Lundi 15 janvier 2007</w:t>
            </w:r>
          </w:p>
        </w:tc>
        <w:tc>
          <w:tcPr>
            <w:tcW w:w="1134" w:type="dxa"/>
          </w:tcPr>
          <w:p w:rsidR="00000000" w:rsidRDefault="00000000">
            <w:pPr>
              <w:jc w:val="center"/>
              <w:rPr>
                <w:sz w:val="22"/>
              </w:rPr>
            </w:pPr>
            <w:r>
              <w:rPr>
                <w:sz w:val="22"/>
              </w:rPr>
              <w:t>11 h 00</w:t>
            </w:r>
          </w:p>
          <w:p w:rsidR="00000000" w:rsidRDefault="00000000">
            <w:pPr>
              <w:spacing w:after="120"/>
              <w:jc w:val="center"/>
              <w:rPr>
                <w:sz w:val="22"/>
              </w:rPr>
            </w:pPr>
            <w:r>
              <w:rPr>
                <w:sz w:val="22"/>
              </w:rPr>
              <w:t>15 h 00</w:t>
            </w:r>
          </w:p>
        </w:tc>
        <w:tc>
          <w:tcPr>
            <w:tcW w:w="2268" w:type="dxa"/>
          </w:tcPr>
          <w:p w:rsidR="00000000" w:rsidRDefault="00000000">
            <w:pPr>
              <w:spacing w:after="120"/>
              <w:jc w:val="center"/>
              <w:rPr>
                <w:sz w:val="22"/>
              </w:rPr>
            </w:pPr>
            <w:r>
              <w:rPr>
                <w:sz w:val="22"/>
              </w:rPr>
              <w:t>4</w:t>
            </w:r>
          </w:p>
        </w:tc>
        <w:tc>
          <w:tcPr>
            <w:tcW w:w="3402" w:type="dxa"/>
          </w:tcPr>
          <w:p w:rsidR="00000000" w:rsidRDefault="00000000">
            <w:pPr>
              <w:spacing w:after="120"/>
              <w:rPr>
                <w:sz w:val="22"/>
              </w:rPr>
            </w:pPr>
            <w:r>
              <w:rPr>
                <w:sz w:val="22"/>
              </w:rPr>
              <w:t>Costa Rica OPAC et OPSC</w:t>
            </w:r>
          </w:p>
        </w:tc>
      </w:tr>
      <w:tr w:rsidR="00000000">
        <w:tblPrEx>
          <w:tblCellMar>
            <w:top w:w="0" w:type="dxa"/>
            <w:bottom w:w="0" w:type="dxa"/>
          </w:tblCellMar>
        </w:tblPrEx>
        <w:trPr>
          <w:cantSplit/>
        </w:trPr>
        <w:tc>
          <w:tcPr>
            <w:tcW w:w="2552" w:type="dxa"/>
          </w:tcPr>
          <w:p w:rsidR="00000000" w:rsidRDefault="00000000">
            <w:pPr>
              <w:spacing w:after="240"/>
              <w:rPr>
                <w:sz w:val="22"/>
              </w:rPr>
            </w:pPr>
            <w:r>
              <w:rPr>
                <w:sz w:val="22"/>
              </w:rPr>
              <w:t>Mardi 16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pPr>
              <w:rPr>
                <w:sz w:val="22"/>
              </w:rPr>
            </w:pPr>
            <w:r>
              <w:rPr>
                <w:sz w:val="22"/>
              </w:rPr>
              <w:t>Kenya, deuxième</w:t>
            </w:r>
          </w:p>
          <w:p w:rsidR="00000000" w:rsidRDefault="00000000">
            <w:pPr>
              <w:spacing w:after="120"/>
              <w:rPr>
                <w:sz w:val="22"/>
              </w:rPr>
            </w:pPr>
            <w:r>
              <w:rPr>
                <w:sz w:val="22"/>
              </w:rPr>
              <w:t>Kenya, deuxième</w:t>
            </w:r>
          </w:p>
        </w:tc>
      </w:tr>
      <w:tr w:rsidR="00000000">
        <w:tblPrEx>
          <w:tblCellMar>
            <w:top w:w="0" w:type="dxa"/>
            <w:bottom w:w="0" w:type="dxa"/>
          </w:tblCellMar>
        </w:tblPrEx>
        <w:trPr>
          <w:cantSplit/>
        </w:trPr>
        <w:tc>
          <w:tcPr>
            <w:tcW w:w="2552" w:type="dxa"/>
          </w:tcPr>
          <w:p w:rsidR="00000000" w:rsidRDefault="00000000">
            <w:pPr>
              <w:spacing w:after="240"/>
              <w:rPr>
                <w:sz w:val="22"/>
              </w:rPr>
            </w:pPr>
            <w:r>
              <w:rPr>
                <w:sz w:val="22"/>
              </w:rPr>
              <w:t>Mercredi 17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pPr>
              <w:rPr>
                <w:sz w:val="22"/>
              </w:rPr>
            </w:pPr>
            <w:r>
              <w:rPr>
                <w:sz w:val="22"/>
              </w:rPr>
              <w:t>Maldives, deuxième et troisième</w:t>
            </w:r>
          </w:p>
          <w:p w:rsidR="00000000" w:rsidRDefault="00000000">
            <w:pPr>
              <w:spacing w:after="120"/>
              <w:rPr>
                <w:sz w:val="22"/>
              </w:rPr>
            </w:pPr>
            <w:r>
              <w:rPr>
                <w:sz w:val="22"/>
              </w:rPr>
              <w:t>Maldives, deuxième et troisième</w:t>
            </w:r>
          </w:p>
        </w:tc>
      </w:tr>
      <w:tr w:rsidR="00000000">
        <w:tblPrEx>
          <w:tblCellMar>
            <w:top w:w="0" w:type="dxa"/>
            <w:bottom w:w="0" w:type="dxa"/>
          </w:tblCellMar>
        </w:tblPrEx>
        <w:trPr>
          <w:cantSplit/>
        </w:trPr>
        <w:tc>
          <w:tcPr>
            <w:tcW w:w="2552" w:type="dxa"/>
          </w:tcPr>
          <w:p w:rsidR="00000000" w:rsidRDefault="00000000">
            <w:pPr>
              <w:spacing w:after="240"/>
              <w:rPr>
                <w:sz w:val="22"/>
              </w:rPr>
            </w:pPr>
            <w:r>
              <w:rPr>
                <w:sz w:val="22"/>
              </w:rPr>
              <w:t>Jeudi 18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pPr>
              <w:rPr>
                <w:sz w:val="22"/>
              </w:rPr>
            </w:pPr>
            <w:r>
              <w:rPr>
                <w:sz w:val="22"/>
              </w:rPr>
              <w:t>Mali, deuxième</w:t>
            </w:r>
          </w:p>
          <w:p w:rsidR="00000000" w:rsidRDefault="00000000">
            <w:pPr>
              <w:spacing w:after="120"/>
              <w:rPr>
                <w:sz w:val="22"/>
              </w:rPr>
            </w:pPr>
            <w:r>
              <w:rPr>
                <w:sz w:val="22"/>
              </w:rPr>
              <w:t>Mali, deuxième</w:t>
            </w:r>
          </w:p>
        </w:tc>
      </w:tr>
      <w:tr w:rsidR="00000000">
        <w:tblPrEx>
          <w:tblCellMar>
            <w:top w:w="0" w:type="dxa"/>
            <w:bottom w:w="0" w:type="dxa"/>
          </w:tblCellMar>
        </w:tblPrEx>
        <w:trPr>
          <w:cantSplit/>
        </w:trPr>
        <w:tc>
          <w:tcPr>
            <w:tcW w:w="2552" w:type="dxa"/>
          </w:tcPr>
          <w:p w:rsidR="00000000" w:rsidRDefault="00000000">
            <w:pPr>
              <w:spacing w:after="240"/>
              <w:rPr>
                <w:sz w:val="22"/>
              </w:rPr>
            </w:pPr>
            <w:r>
              <w:rPr>
                <w:sz w:val="22"/>
              </w:rPr>
              <w:t>Vendredi 19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pPr>
              <w:rPr>
                <w:sz w:val="22"/>
              </w:rPr>
            </w:pPr>
            <w:r>
              <w:rPr>
                <w:sz w:val="22"/>
              </w:rPr>
              <w:t>Honduras, troisième</w:t>
            </w:r>
          </w:p>
          <w:p w:rsidR="00000000" w:rsidRDefault="00000000">
            <w:pPr>
              <w:spacing w:after="120"/>
              <w:rPr>
                <w:sz w:val="22"/>
              </w:rPr>
            </w:pPr>
            <w:r>
              <w:rPr>
                <w:sz w:val="22"/>
              </w:rPr>
              <w:t>Honduras, troisième</w:t>
            </w:r>
          </w:p>
        </w:tc>
      </w:tr>
      <w:tr w:rsidR="00000000">
        <w:tblPrEx>
          <w:tblCellMar>
            <w:top w:w="0" w:type="dxa"/>
            <w:bottom w:w="0" w:type="dxa"/>
          </w:tblCellMar>
        </w:tblPrEx>
        <w:trPr>
          <w:cantSplit/>
        </w:trPr>
        <w:tc>
          <w:tcPr>
            <w:tcW w:w="2552" w:type="dxa"/>
          </w:tcPr>
          <w:p w:rsidR="00000000" w:rsidRDefault="00000000">
            <w:pPr>
              <w:spacing w:after="240"/>
              <w:rPr>
                <w:sz w:val="22"/>
              </w:rPr>
            </w:pPr>
            <w:r>
              <w:rPr>
                <w:sz w:val="22"/>
              </w:rPr>
              <w:t>Lundi 22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r>
              <w:t>Îles Marshall, deuxième</w:t>
            </w:r>
          </w:p>
          <w:p w:rsidR="00000000" w:rsidRDefault="00000000">
            <w:pPr>
              <w:spacing w:after="120"/>
            </w:pPr>
            <w:r>
              <w:t>Îles Marshall, deuxième</w:t>
            </w:r>
          </w:p>
        </w:tc>
      </w:tr>
      <w:tr w:rsidR="00000000">
        <w:tblPrEx>
          <w:tblCellMar>
            <w:top w:w="0" w:type="dxa"/>
            <w:bottom w:w="0" w:type="dxa"/>
          </w:tblCellMar>
        </w:tblPrEx>
        <w:trPr>
          <w:cantSplit/>
        </w:trPr>
        <w:tc>
          <w:tcPr>
            <w:tcW w:w="2552" w:type="dxa"/>
          </w:tcPr>
          <w:p w:rsidR="00000000" w:rsidRDefault="00000000">
            <w:pPr>
              <w:spacing w:after="240"/>
              <w:rPr>
                <w:sz w:val="22"/>
              </w:rPr>
            </w:pPr>
            <w:r>
              <w:rPr>
                <w:sz w:val="22"/>
              </w:rPr>
              <w:t>Mercredi 24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pPr>
              <w:rPr>
                <w:sz w:val="22"/>
              </w:rPr>
            </w:pPr>
            <w:r>
              <w:rPr>
                <w:sz w:val="22"/>
              </w:rPr>
              <w:t>Suriname, deuxième</w:t>
            </w:r>
          </w:p>
          <w:p w:rsidR="00000000" w:rsidRDefault="00000000">
            <w:pPr>
              <w:spacing w:after="120"/>
              <w:rPr>
                <w:sz w:val="22"/>
              </w:rPr>
            </w:pPr>
            <w:r>
              <w:rPr>
                <w:sz w:val="22"/>
              </w:rPr>
              <w:t>Suriname, deuxième</w:t>
            </w:r>
          </w:p>
        </w:tc>
      </w:tr>
      <w:tr w:rsidR="00000000">
        <w:tblPrEx>
          <w:tblCellMar>
            <w:top w:w="0" w:type="dxa"/>
            <w:bottom w:w="0" w:type="dxa"/>
          </w:tblCellMar>
        </w:tblPrEx>
        <w:trPr>
          <w:cantSplit/>
        </w:trPr>
        <w:tc>
          <w:tcPr>
            <w:tcW w:w="2552" w:type="dxa"/>
          </w:tcPr>
          <w:p w:rsidR="00000000" w:rsidRDefault="00000000">
            <w:pPr>
              <w:keepNext/>
              <w:spacing w:after="240"/>
              <w:rPr>
                <w:sz w:val="22"/>
              </w:rPr>
            </w:pPr>
            <w:r>
              <w:rPr>
                <w:sz w:val="22"/>
              </w:rPr>
              <w:t>Jeudi 25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pPr>
              <w:rPr>
                <w:sz w:val="22"/>
              </w:rPr>
            </w:pPr>
            <w:r>
              <w:rPr>
                <w:sz w:val="22"/>
              </w:rPr>
              <w:t>Malaisie</w:t>
            </w:r>
          </w:p>
          <w:p w:rsidR="00000000" w:rsidRDefault="00000000">
            <w:pPr>
              <w:spacing w:after="120"/>
              <w:rPr>
                <w:sz w:val="22"/>
              </w:rPr>
            </w:pPr>
            <w:r>
              <w:rPr>
                <w:sz w:val="22"/>
              </w:rPr>
              <w:t>Malaisie</w:t>
            </w:r>
          </w:p>
        </w:tc>
      </w:tr>
      <w:tr w:rsidR="00000000">
        <w:tblPrEx>
          <w:tblCellMar>
            <w:top w:w="0" w:type="dxa"/>
            <w:bottom w:w="0" w:type="dxa"/>
          </w:tblCellMar>
        </w:tblPrEx>
        <w:trPr>
          <w:cantSplit/>
        </w:trPr>
        <w:tc>
          <w:tcPr>
            <w:tcW w:w="2552" w:type="dxa"/>
          </w:tcPr>
          <w:p w:rsidR="00000000" w:rsidRDefault="00000000">
            <w:pPr>
              <w:keepNext/>
              <w:spacing w:after="240"/>
              <w:rPr>
                <w:sz w:val="22"/>
              </w:rPr>
            </w:pPr>
            <w:r>
              <w:rPr>
                <w:sz w:val="22"/>
              </w:rPr>
              <w:t>Vendredi 26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pPr>
              <w:rPr>
                <w:sz w:val="22"/>
              </w:rPr>
            </w:pPr>
            <w:r>
              <w:rPr>
                <w:sz w:val="22"/>
              </w:rPr>
              <w:t>Chili, troisième</w:t>
            </w:r>
          </w:p>
          <w:p w:rsidR="00000000" w:rsidRDefault="00000000">
            <w:pPr>
              <w:spacing w:after="120"/>
              <w:rPr>
                <w:sz w:val="22"/>
              </w:rPr>
            </w:pPr>
            <w:r>
              <w:rPr>
                <w:sz w:val="22"/>
              </w:rPr>
              <w:t>Chili, troisième</w:t>
            </w:r>
          </w:p>
        </w:tc>
      </w:tr>
      <w:tr w:rsidR="00000000">
        <w:tblPrEx>
          <w:tblCellMar>
            <w:top w:w="0" w:type="dxa"/>
            <w:bottom w:w="0" w:type="dxa"/>
          </w:tblCellMar>
        </w:tblPrEx>
        <w:trPr>
          <w:cantSplit/>
        </w:trPr>
        <w:tc>
          <w:tcPr>
            <w:tcW w:w="2552" w:type="dxa"/>
          </w:tcPr>
          <w:p w:rsidR="00000000" w:rsidRDefault="00000000">
            <w:pPr>
              <w:spacing w:after="240"/>
              <w:rPr>
                <w:sz w:val="22"/>
              </w:rPr>
            </w:pPr>
            <w:r>
              <w:rPr>
                <w:sz w:val="22"/>
              </w:rPr>
              <w:t>Lundi 29 janvier 2007</w:t>
            </w:r>
          </w:p>
        </w:tc>
        <w:tc>
          <w:tcPr>
            <w:tcW w:w="1134" w:type="dxa"/>
          </w:tcPr>
          <w:p w:rsidR="00000000" w:rsidRDefault="00000000">
            <w:pPr>
              <w:jc w:val="center"/>
              <w:rPr>
                <w:sz w:val="22"/>
              </w:rPr>
            </w:pPr>
            <w:r>
              <w:rPr>
                <w:sz w:val="22"/>
              </w:rPr>
              <w:t>10 h 00</w:t>
            </w:r>
          </w:p>
          <w:p w:rsidR="00000000" w:rsidRDefault="00000000">
            <w:pPr>
              <w:spacing w:after="120"/>
              <w:jc w:val="center"/>
              <w:rPr>
                <w:sz w:val="22"/>
              </w:rPr>
            </w:pPr>
            <w:r>
              <w:rPr>
                <w:sz w:val="22"/>
              </w:rPr>
              <w:t>15 h 00</w:t>
            </w:r>
          </w:p>
        </w:tc>
        <w:tc>
          <w:tcPr>
            <w:tcW w:w="2268" w:type="dxa"/>
          </w:tcPr>
          <w:p w:rsidR="00000000" w:rsidRDefault="00000000">
            <w:pPr>
              <w:jc w:val="center"/>
              <w:rPr>
                <w:sz w:val="22"/>
              </w:rPr>
            </w:pPr>
            <w:r>
              <w:rPr>
                <w:sz w:val="22"/>
              </w:rPr>
              <w:t>4</w:t>
            </w:r>
          </w:p>
          <w:p w:rsidR="00000000" w:rsidRDefault="00000000">
            <w:pPr>
              <w:spacing w:after="120"/>
              <w:jc w:val="center"/>
              <w:rPr>
                <w:sz w:val="22"/>
              </w:rPr>
            </w:pPr>
            <w:r>
              <w:rPr>
                <w:sz w:val="22"/>
              </w:rPr>
              <w:t>4</w:t>
            </w:r>
          </w:p>
        </w:tc>
        <w:tc>
          <w:tcPr>
            <w:tcW w:w="3402" w:type="dxa"/>
          </w:tcPr>
          <w:p w:rsidR="00000000" w:rsidRDefault="00000000">
            <w:pPr>
              <w:rPr>
                <w:sz w:val="22"/>
              </w:rPr>
            </w:pPr>
            <w:r>
              <w:rPr>
                <w:sz w:val="22"/>
              </w:rPr>
              <w:t>Kirghizistan OPAC et OPSC</w:t>
            </w:r>
          </w:p>
          <w:p w:rsidR="00000000" w:rsidRDefault="00000000">
            <w:pPr>
              <w:spacing w:after="120"/>
              <w:rPr>
                <w:sz w:val="22"/>
              </w:rPr>
            </w:pPr>
            <w:r>
              <w:rPr>
                <w:sz w:val="22"/>
              </w:rPr>
              <w:t>Kirghizistan OPAC et OPSC</w:t>
            </w:r>
          </w:p>
        </w:tc>
      </w:tr>
    </w:tbl>
    <w:p w:rsidR="00000000" w:rsidRDefault="00000000">
      <w:pPr>
        <w:keepLines/>
        <w:spacing w:after="240"/>
      </w:pPr>
      <w:r>
        <w:t>6.</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w:t>
      </w:r>
    </w:p>
    <w:p w:rsidR="00000000" w:rsidRDefault="00000000">
      <w:pPr>
        <w:spacing w:after="240"/>
      </w:pPr>
      <w:r>
        <w:t>7.</w:t>
      </w:r>
      <w:r>
        <w:tab/>
        <w:t>Conformément à l’article 68 du règlement intérieur provisoire, le Secrétaire général a notifié aux États parties concernés la date d’ouverture, la durée et le lieu de la quarante</w:t>
      </w:r>
      <w:r>
        <w:noBreakHyphen/>
        <w:t>quatrième session du Comité, au</w:t>
      </w:r>
      <w:r>
        <w:rPr>
          <w:b/>
          <w:bCs/>
        </w:rPr>
        <w:t xml:space="preserve"> </w:t>
      </w:r>
      <w:r>
        <w:t>cours de laquelle leur rapport sera examiné, et les a invités à envoyer des représentants qui assisteront aux séances du Comité.</w:t>
      </w:r>
    </w:p>
    <w:p w:rsidR="00000000" w:rsidRDefault="00000000">
      <w:pPr>
        <w:keepNext/>
        <w:spacing w:after="240"/>
        <w:jc w:val="center"/>
        <w:rPr>
          <w:b/>
          <w:bCs/>
        </w:rPr>
      </w:pPr>
      <w:r>
        <w:rPr>
          <w:b/>
          <w:bCs/>
          <w:noProof/>
        </w:rPr>
        <w:t xml:space="preserve">Point 5.  </w:t>
      </w:r>
      <w:r>
        <w:rPr>
          <w:b/>
          <w:bCs/>
        </w:rPr>
        <w:t>Coopération avec d’autres organismes des Nations Unies, les institutions spécialisées et d’autres organismes compétents</w:t>
      </w:r>
    </w:p>
    <w:p w:rsidR="00000000" w:rsidRDefault="00000000">
      <w:pPr>
        <w:spacing w:after="240"/>
      </w:pPr>
      <w:r>
        <w:t>8.</w:t>
      </w:r>
      <w:r>
        <w:tab/>
        <w:t>Au titre de ce point, le Comité continuera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6.  Méthodes de travail du Comité</w:t>
      </w:r>
    </w:p>
    <w:p w:rsidR="00000000" w:rsidRDefault="00000000">
      <w:pPr>
        <w:spacing w:after="240"/>
      </w:pPr>
      <w:r>
        <w:t>9.</w:t>
      </w:r>
      <w:r>
        <w:tab/>
        <w:t>Au titre de ce point, le Comité poursuivra les débats sur l’organisation de</w:t>
      </w:r>
      <w:r>
        <w:rPr>
          <w:b/>
          <w:bCs/>
        </w:rPr>
        <w:t xml:space="preserve"> </w:t>
      </w:r>
      <w:r>
        <w:t>ses travaux futurs, ainsi que sur la procédure à suivre pour l’examen et le suivi des rapports des États parties, y</w:t>
      </w:r>
      <w:r>
        <w:rPr>
          <w:b/>
          <w:bCs/>
        </w:rPr>
        <w:t xml:space="preserve"> </w:t>
      </w:r>
      <w:r>
        <w:t>compris, le cas échéant, les domaines dans lesquels une assistance technique se révèle nécessaire. Il invitera également les États parties à une réunion informelle au cours de laquelle seront examinées différentes questions se rapportant à ses méthodes de travail, en particulier en ce qui concerne les travaux du Comité dans deux chambres.</w:t>
      </w:r>
    </w:p>
    <w:p w:rsidR="00000000" w:rsidRDefault="00000000">
      <w:pPr>
        <w:keepNext/>
        <w:spacing w:after="240"/>
        <w:jc w:val="center"/>
        <w:rPr>
          <w:b/>
          <w:bCs/>
        </w:rPr>
      </w:pPr>
      <w:r>
        <w:rPr>
          <w:b/>
          <w:bCs/>
        </w:rPr>
        <w:t>Point 7.  Observations générales</w:t>
      </w:r>
    </w:p>
    <w:p w:rsidR="00000000" w:rsidRDefault="00000000">
      <w:pPr>
        <w:spacing w:after="240"/>
      </w:pPr>
      <w:r>
        <w:t>10.</w:t>
      </w:r>
      <w:r>
        <w:tab/>
        <w:t>Au titre de ce point, le Comité poursuivra l’élaboration d’observations générales fondées sur les principes et dispositions de la</w:t>
      </w:r>
      <w:r>
        <w:rPr>
          <w:b/>
          <w:bCs/>
        </w:rPr>
        <w:t xml:space="preserve"> </w:t>
      </w:r>
      <w:r>
        <w:t>Convention.</w:t>
      </w:r>
    </w:p>
    <w:p w:rsidR="00000000" w:rsidRDefault="00000000">
      <w:pPr>
        <w:keepNext/>
        <w:spacing w:after="240"/>
        <w:jc w:val="center"/>
        <w:rPr>
          <w:b/>
          <w:bCs/>
        </w:rPr>
      </w:pPr>
      <w:r>
        <w:rPr>
          <w:b/>
          <w:bCs/>
        </w:rPr>
        <w:t>Point 8.  Réunions futures</w:t>
      </w:r>
    </w:p>
    <w:p w:rsidR="00000000" w:rsidRDefault="00000000">
      <w:pPr>
        <w:spacing w:after="240"/>
      </w:pPr>
      <w:r>
        <w:t>11.</w:t>
      </w:r>
      <w:r>
        <w:tab/>
        <w:t>Au titre de ce point, le Comité sera informé de tous faits récents ayant une incidence sur le</w:t>
      </w:r>
      <w:r>
        <w:rPr>
          <w:b/>
          <w:bCs/>
        </w:rPr>
        <w:t> </w:t>
      </w:r>
      <w:r>
        <w:t>calendrier de ses réunions à venir.</w:t>
      </w:r>
    </w:p>
    <w:p w:rsidR="00000000" w:rsidRDefault="00000000">
      <w:pPr>
        <w:keepNext/>
        <w:spacing w:after="240"/>
        <w:jc w:val="center"/>
        <w:rPr>
          <w:b/>
          <w:bCs/>
        </w:rPr>
      </w:pPr>
      <w:r>
        <w:rPr>
          <w:b/>
          <w:bCs/>
        </w:rPr>
        <w:t>Point 9.  Questions diverses</w:t>
      </w:r>
    </w:p>
    <w:p w:rsidR="00000000" w:rsidRDefault="00000000">
      <w:pPr>
        <w:spacing w:after="240"/>
      </w:pPr>
      <w:r>
        <w:t>12.</w:t>
      </w:r>
      <w:r>
        <w:tab/>
        <w:t>Au titre de ce point, les membres examineront, si</w:t>
      </w:r>
      <w:r>
        <w:rPr>
          <w:b/>
          <w:bCs/>
        </w:rPr>
        <w:t xml:space="preserve"> </w:t>
      </w:r>
      <w:r>
        <w:t>nécessaire, toute autre question intéressant les travaux du Comité.</w:t>
      </w:r>
    </w:p>
    <w:p w:rsidR="00000000" w:rsidRDefault="00000000">
      <w:pPr>
        <w:tabs>
          <w:tab w:val="right" w:pos="3195"/>
        </w:tabs>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45137  (F)    091106    141106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CRC/C/44/1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pPr>
    <w:r>
      <w:t>CRC/C/44/1</w:t>
    </w:r>
  </w:p>
  <w:p w:rsidR="00000000" w:rsidRDefault="00000000">
    <w:pPr>
      <w:pStyle w:val="Header"/>
      <w:ind w:left="7371"/>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320"/>
        <w:tab w:val="clear" w:pos="8640"/>
        <w:tab w:val="left" w:pos="1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fr-CH"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Pages>
  <Words>1192</Words>
  <Characters>6800</Characters>
  <Application>Microsoft Office Word</Application>
  <DocSecurity>4</DocSecurity>
  <Lines>56</Lines>
  <Paragraphs>13</Paragraphs>
  <ScaleCrop>false</ScaleCrop>
  <HeadingPairs>
    <vt:vector size="2" baseType="variant">
      <vt:variant>
        <vt:lpstr>Titre</vt:lpstr>
      </vt:variant>
      <vt:variant>
        <vt:i4>1</vt:i4>
      </vt:variant>
    </vt:vector>
  </HeadingPairs>
  <TitlesOfParts>
    <vt:vector size="1" baseType="lpstr">
      <vt:lpstr>CRC/C/44/1</vt:lpstr>
    </vt:vector>
  </TitlesOfParts>
  <Manager>cmv</Manager>
  <Company/>
  <LinksUpToDate>false</LinksUpToDate>
  <CharactersWithSpaces>8350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CRC/C/44/1</dc:title>
  <dc:subject>Final CRC</dc:subject>
  <dc:creator>N-Rossi</dc:creator>
  <cp:keywords/>
  <dc:description/>
  <cp:lastModifiedBy>Moret-Var</cp:lastModifiedBy>
  <cp:revision>2</cp:revision>
  <cp:lastPrinted>2006-11-14T11:56:00Z</cp:lastPrinted>
  <dcterms:created xsi:type="dcterms:W3CDTF">2006-11-14T11:58:00Z</dcterms:created>
  <dcterms:modified xsi:type="dcterms:W3CDTF">2006-11-14T11:58:00Z</dcterms:modified>
</cp:coreProperties>
</file>