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4FFF" w:rsidRDefault="00344FFF" w:rsidP="00344FFF">
      <w:pPr>
        <w:spacing w:line="60" w:lineRule="exact"/>
        <w:rPr>
          <w:sz w:val="6"/>
        </w:rPr>
        <w:sectPr w:rsidR="00344FFF" w:rsidSect="00344FF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344FFF" w:rsidRDefault="00344FFF" w:rsidP="00344FFF">
      <w:pPr>
        <w:spacing w:line="60" w:lineRule="exact"/>
        <w:rPr>
          <w:sz w:val="6"/>
        </w:rPr>
      </w:pPr>
    </w:p>
    <w:p w:rsidR="00FC75B1" w:rsidRDefault="00FC75B1" w:rsidP="00D97B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7" w:right="1260" w:hanging="1267"/>
        <w:rPr>
          <w:rFonts w:hint="eastAsia"/>
        </w:rPr>
      </w:pPr>
      <w:r>
        <w:rPr>
          <w:rFonts w:hint="eastAsia"/>
        </w:rPr>
        <w:t>消除对妇女歧视委员会</w:t>
      </w:r>
    </w:p>
    <w:p w:rsidR="002E08E2" w:rsidRPr="00D97B52" w:rsidRDefault="002E08E2" w:rsidP="002E08E2">
      <w:pPr>
        <w:pStyle w:val="H23"/>
        <w:spacing w:after="80"/>
        <w:rPr>
          <w:rFonts w:hint="eastAsia"/>
        </w:rPr>
      </w:pPr>
      <w:r w:rsidRPr="00D97B52">
        <w:rPr>
          <w:rFonts w:hint="eastAsia"/>
        </w:rPr>
        <w:t>会前工作组</w:t>
      </w:r>
    </w:p>
    <w:p w:rsidR="00C13ADD" w:rsidRDefault="00FC75B1" w:rsidP="00D97B52">
      <w:pPr>
        <w:pStyle w:val="H23"/>
        <w:spacing w:after="80"/>
        <w:rPr>
          <w:rFonts w:hint="eastAsia"/>
        </w:rPr>
      </w:pPr>
      <w:r w:rsidRPr="00D97B52">
        <w:rPr>
          <w:rFonts w:hint="eastAsia"/>
        </w:rPr>
        <w:t>第三十九届会议</w:t>
      </w:r>
    </w:p>
    <w:p w:rsidR="00FC75B1" w:rsidRDefault="00FC75B1" w:rsidP="00D97B52">
      <w:pPr>
        <w:pStyle w:val="SingleTxt"/>
        <w:spacing w:after="80"/>
        <w:ind w:left="0"/>
        <w:rPr>
          <w:rFonts w:hint="eastAsia"/>
        </w:rPr>
      </w:pPr>
      <w:r>
        <w:rPr>
          <w:rFonts w:hint="eastAsia"/>
        </w:rPr>
        <w:t>2007年7月23日至8月10日</w:t>
      </w:r>
    </w:p>
    <w:p w:rsidR="00D97B52" w:rsidRPr="00D97B52" w:rsidRDefault="00D97B52" w:rsidP="00D97B52">
      <w:pPr>
        <w:pStyle w:val="SingleTxt"/>
        <w:spacing w:after="0" w:line="120" w:lineRule="exact"/>
        <w:rPr>
          <w:rFonts w:hint="eastAsia"/>
          <w:sz w:val="10"/>
        </w:rPr>
      </w:pPr>
    </w:p>
    <w:p w:rsidR="00D97B52" w:rsidRPr="00D97B52" w:rsidRDefault="00D97B52" w:rsidP="00D97B52">
      <w:pPr>
        <w:pStyle w:val="SingleTxt"/>
        <w:spacing w:after="0" w:line="120" w:lineRule="exact"/>
        <w:rPr>
          <w:rFonts w:hint="eastAsia"/>
          <w:sz w:val="10"/>
        </w:rPr>
      </w:pPr>
    </w:p>
    <w:p w:rsidR="00FC75B1" w:rsidRDefault="00D97B52" w:rsidP="00D97B52">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FC75B1">
        <w:rPr>
          <w:rFonts w:hint="eastAsia"/>
        </w:rPr>
        <w:t>与审议定期报告有关的议题和问题清单</w:t>
      </w:r>
    </w:p>
    <w:p w:rsidR="00D97B52" w:rsidRPr="00D97B52" w:rsidRDefault="00D97B52" w:rsidP="00D97B52">
      <w:pPr>
        <w:pStyle w:val="SingleTxt"/>
        <w:spacing w:after="0" w:line="120" w:lineRule="exact"/>
        <w:rPr>
          <w:rFonts w:hint="eastAsia"/>
          <w:sz w:val="10"/>
        </w:rPr>
      </w:pPr>
    </w:p>
    <w:p w:rsidR="00D97B52" w:rsidRPr="00D97B52" w:rsidRDefault="00D97B52" w:rsidP="00D97B52">
      <w:pPr>
        <w:pStyle w:val="SingleTxt"/>
        <w:spacing w:after="0" w:line="120" w:lineRule="exact"/>
        <w:rPr>
          <w:rFonts w:hint="eastAsia"/>
          <w:sz w:val="10"/>
        </w:rPr>
      </w:pPr>
    </w:p>
    <w:p w:rsidR="00FC75B1" w:rsidRDefault="00D97B52" w:rsidP="00D97B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FC75B1">
        <w:rPr>
          <w:rFonts w:hint="eastAsia"/>
        </w:rPr>
        <w:t>几内亚</w:t>
      </w:r>
    </w:p>
    <w:p w:rsidR="00D97B52" w:rsidRPr="00D97B52" w:rsidRDefault="00D97B52" w:rsidP="00D97B52">
      <w:pPr>
        <w:pStyle w:val="SingleTxt"/>
        <w:spacing w:after="0" w:line="120" w:lineRule="exact"/>
        <w:rPr>
          <w:rFonts w:hint="eastAsia"/>
          <w:sz w:val="10"/>
        </w:rPr>
      </w:pPr>
    </w:p>
    <w:p w:rsidR="00D97B52" w:rsidRPr="00D97B52" w:rsidRDefault="00D97B52" w:rsidP="00D97B52">
      <w:pPr>
        <w:pStyle w:val="SingleTxt"/>
        <w:spacing w:after="0" w:line="120" w:lineRule="exact"/>
        <w:rPr>
          <w:rFonts w:hint="eastAsia"/>
          <w:sz w:val="10"/>
        </w:rPr>
      </w:pPr>
    </w:p>
    <w:p w:rsidR="00FC75B1" w:rsidRDefault="00FC75B1" w:rsidP="00FC75B1">
      <w:pPr>
        <w:pStyle w:val="SingleTxt"/>
        <w:rPr>
          <w:rFonts w:hint="eastAsia"/>
        </w:rPr>
      </w:pPr>
      <w:r>
        <w:rPr>
          <w:rFonts w:hint="eastAsia"/>
        </w:rPr>
        <w:t>1.</w:t>
      </w:r>
      <w:r>
        <w:rPr>
          <w:rFonts w:hint="eastAsia"/>
        </w:rPr>
        <w:tab/>
        <w:t>会前工作组审查了几内亚第四次、第五次和第六次定期报告（CEDAW/C/GIN/</w:t>
      </w:r>
      <w:r w:rsidR="00D97B52">
        <w:t xml:space="preserve"> </w:t>
      </w:r>
      <w:r>
        <w:rPr>
          <w:rFonts w:hint="eastAsia"/>
        </w:rPr>
        <w:t>4-6）。</w:t>
      </w:r>
    </w:p>
    <w:p w:rsidR="00FC75B1" w:rsidRPr="00D97B52" w:rsidRDefault="00FC75B1" w:rsidP="00FC75B1">
      <w:pPr>
        <w:pStyle w:val="SingleTxt"/>
        <w:rPr>
          <w:rFonts w:ascii="SimHei" w:eastAsia="SimHei" w:hint="eastAsia"/>
          <w:color w:val="FF0000"/>
        </w:rPr>
      </w:pPr>
      <w:r w:rsidRPr="00D97B52">
        <w:rPr>
          <w:rFonts w:ascii="SimHei" w:eastAsia="SimHei" w:hint="eastAsia"/>
          <w:color w:val="FF0000"/>
        </w:rPr>
        <w:t>概要</w:t>
      </w:r>
    </w:p>
    <w:p w:rsidR="00FC75B1" w:rsidRDefault="00FC75B1" w:rsidP="00FC75B1">
      <w:pPr>
        <w:pStyle w:val="SingleTxt"/>
        <w:rPr>
          <w:rFonts w:hint="eastAsia"/>
        </w:rPr>
      </w:pPr>
      <w:r>
        <w:rPr>
          <w:rFonts w:hint="eastAsia"/>
        </w:rPr>
        <w:t>2.</w:t>
      </w:r>
      <w:r>
        <w:rPr>
          <w:rFonts w:hint="eastAsia"/>
        </w:rPr>
        <w:tab/>
        <w:t>请提供资料说明编写报告的过程。提供的资料应表明哪些政府部门参与编写，以及它们参与的性质和程度，是否征求了非政府组织的意见，以及该报告是否由政府通过并提交给国民议会。</w:t>
      </w:r>
    </w:p>
    <w:p w:rsidR="00FC75B1" w:rsidRDefault="00FC75B1" w:rsidP="00FC75B1">
      <w:pPr>
        <w:pStyle w:val="SingleTxt"/>
        <w:rPr>
          <w:rFonts w:hint="eastAsia"/>
        </w:rPr>
      </w:pPr>
      <w:r>
        <w:rPr>
          <w:rFonts w:hint="eastAsia"/>
        </w:rPr>
        <w:t>3.</w:t>
      </w:r>
      <w:r>
        <w:rPr>
          <w:rFonts w:hint="eastAsia"/>
        </w:rPr>
        <w:tab/>
        <w:t>委员会定期报告编写导则（见HRI/GEN/2/Rev.1/Add.2,E节）建议，后来的定期报告应将重点放在审议</w:t>
      </w:r>
      <w:r w:rsidR="00D60B52">
        <w:rPr>
          <w:rFonts w:hint="eastAsia"/>
        </w:rPr>
        <w:t>上</w:t>
      </w:r>
      <w:r>
        <w:rPr>
          <w:rFonts w:hint="eastAsia"/>
        </w:rPr>
        <w:t>次报告至提交目前报告之间的一段时间。第四次、第五次和第六次合并定期报告的日期为2002年12月，但该报告直到2005年才提交。请解释拖延提交的原因。</w:t>
      </w:r>
    </w:p>
    <w:p w:rsidR="00FC75B1" w:rsidRDefault="00FC75B1" w:rsidP="00FC75B1">
      <w:pPr>
        <w:pStyle w:val="SingleTxt"/>
        <w:rPr>
          <w:rFonts w:hint="eastAsia"/>
        </w:rPr>
      </w:pPr>
      <w:r>
        <w:rPr>
          <w:rFonts w:hint="eastAsia"/>
        </w:rPr>
        <w:t>4.</w:t>
      </w:r>
      <w:r>
        <w:rPr>
          <w:rFonts w:hint="eastAsia"/>
        </w:rPr>
        <w:tab/>
        <w:t>委员会要求在几内亚广泛分发关于几内亚初次、第二次和第三次合并定期报告的结论意见。</w:t>
      </w:r>
      <w:r w:rsidR="00D97B52">
        <w:rPr>
          <w:rStyle w:val="FootnoteReference"/>
        </w:rPr>
        <w:footnoteReference w:id="1"/>
      </w:r>
      <w:r>
        <w:rPr>
          <w:rFonts w:hint="eastAsia"/>
        </w:rPr>
        <w:t xml:space="preserve"> 请提供资料，说明已采取什么行动使政府行政人员和政治家意识到，已采取步骤促进实现妇女在法律上和事实上的平等，以及仍然需要作出的努力。</w:t>
      </w:r>
    </w:p>
    <w:p w:rsidR="00FC75B1" w:rsidRDefault="00FC75B1" w:rsidP="00FC75B1">
      <w:pPr>
        <w:pStyle w:val="SingleTxt"/>
        <w:rPr>
          <w:rFonts w:hint="eastAsia"/>
        </w:rPr>
      </w:pPr>
      <w:r>
        <w:rPr>
          <w:rFonts w:hint="eastAsia"/>
        </w:rPr>
        <w:t>5.</w:t>
      </w:r>
      <w:r>
        <w:rPr>
          <w:rFonts w:hint="eastAsia"/>
        </w:rPr>
        <w:tab/>
        <w:t>报告没有就妇女在《公约》涵盖领域的情况提供充分的按性别分列以及与男子比较的统计数据。请提供在该国收集一般数据的情况的资料，并说明按性别分列这种数据的程度。请说明，政府为了支助决策和制订方案及衡量执行《公约》的进展情况，打算如何改进按性别收集与《公约》领域有关的数据的工作。</w:t>
      </w:r>
    </w:p>
    <w:p w:rsidR="00FC75B1" w:rsidRPr="00D97B52" w:rsidRDefault="00FC75B1" w:rsidP="00FC75B1">
      <w:pPr>
        <w:pStyle w:val="SingleTxt"/>
        <w:rPr>
          <w:rFonts w:ascii="SimHei" w:eastAsia="SimHei" w:hint="eastAsia"/>
          <w:color w:val="FF0000"/>
        </w:rPr>
      </w:pPr>
      <w:r w:rsidRPr="00D97B52">
        <w:rPr>
          <w:rFonts w:ascii="SimHei" w:eastAsia="SimHei" w:hint="eastAsia"/>
          <w:color w:val="FF0000"/>
        </w:rPr>
        <w:t>宪法、立法和体制框架以及《公约》的现况</w:t>
      </w:r>
    </w:p>
    <w:p w:rsidR="00FC75B1" w:rsidRDefault="00FC75B1" w:rsidP="00FC75B1">
      <w:pPr>
        <w:pStyle w:val="SingleTxt"/>
        <w:rPr>
          <w:rFonts w:hint="eastAsia"/>
        </w:rPr>
      </w:pPr>
      <w:r>
        <w:rPr>
          <w:rFonts w:hint="eastAsia"/>
        </w:rPr>
        <w:t>6.</w:t>
      </w:r>
      <w:r>
        <w:rPr>
          <w:rFonts w:hint="eastAsia"/>
        </w:rPr>
        <w:tab/>
        <w:t>报告提到，“法院可援引《公约》规定”，以及“法官应当在其判决中适用现行法律，包括《公约》”。请提供资料说明《公约》在国内法院被直接援引或被国内法院采用的案例。</w:t>
      </w:r>
    </w:p>
    <w:p w:rsidR="00FC75B1" w:rsidRDefault="00FC75B1" w:rsidP="00FC75B1">
      <w:pPr>
        <w:pStyle w:val="SingleTxt"/>
        <w:rPr>
          <w:rFonts w:hint="eastAsia"/>
        </w:rPr>
      </w:pPr>
      <w:r>
        <w:rPr>
          <w:rFonts w:hint="eastAsia"/>
        </w:rPr>
        <w:t>7.</w:t>
      </w:r>
      <w:r>
        <w:rPr>
          <w:rFonts w:hint="eastAsia"/>
        </w:rPr>
        <w:tab/>
        <w:t>报告提到成立国家和区域《消除对妇女歧视公约》监测委员会。请说明这些委员会的任务规定，及其对保护和促进妇女人权的影响。</w:t>
      </w:r>
    </w:p>
    <w:p w:rsidR="00FC75B1" w:rsidRDefault="00FC75B1" w:rsidP="00FC75B1">
      <w:pPr>
        <w:pStyle w:val="SingleTxt"/>
        <w:rPr>
          <w:rFonts w:hint="eastAsia"/>
        </w:rPr>
      </w:pPr>
      <w:r>
        <w:rPr>
          <w:rFonts w:hint="eastAsia"/>
        </w:rPr>
        <w:t>8.</w:t>
      </w:r>
      <w:r>
        <w:rPr>
          <w:rFonts w:hint="eastAsia"/>
        </w:rPr>
        <w:tab/>
        <w:t>请提供资料说明迄今为止在执行《性别和发展框架方案》方面的进展，包括获得资源的情况，已取得的结果和参与执行该方案的主要行动者。</w:t>
      </w:r>
    </w:p>
    <w:p w:rsidR="00FC75B1" w:rsidRPr="00D97B52" w:rsidRDefault="00FC75B1" w:rsidP="00FC75B1">
      <w:pPr>
        <w:pStyle w:val="SingleTxt"/>
        <w:rPr>
          <w:rFonts w:ascii="SimHei" w:eastAsia="SimHei" w:hint="eastAsia"/>
          <w:color w:val="FF0000"/>
        </w:rPr>
      </w:pPr>
      <w:r w:rsidRPr="00D97B52">
        <w:rPr>
          <w:rFonts w:ascii="SimHei" w:eastAsia="SimHei" w:hint="eastAsia"/>
          <w:color w:val="FF0000"/>
        </w:rPr>
        <w:t>暴力侵害妇女行为</w:t>
      </w:r>
    </w:p>
    <w:p w:rsidR="00FC75B1" w:rsidRDefault="00FC75B1" w:rsidP="00FC75B1">
      <w:pPr>
        <w:pStyle w:val="SingleTxt"/>
        <w:rPr>
          <w:rFonts w:hint="eastAsia"/>
        </w:rPr>
      </w:pPr>
      <w:r>
        <w:rPr>
          <w:rFonts w:hint="eastAsia"/>
        </w:rPr>
        <w:t>9.</w:t>
      </w:r>
      <w:r>
        <w:rPr>
          <w:rFonts w:hint="eastAsia"/>
        </w:rPr>
        <w:tab/>
        <w:t>委员会在上次结论意见中，</w:t>
      </w:r>
      <w:r w:rsidR="00D97B52">
        <w:rPr>
          <w:rStyle w:val="FootnoteReference"/>
        </w:rPr>
        <w:footnoteReference w:id="2"/>
      </w:r>
      <w:r>
        <w:rPr>
          <w:rFonts w:hint="eastAsia"/>
        </w:rPr>
        <w:t xml:space="preserve"> 敦促几内亚政府将暴力侵害妇女行为问题视为高度优先事项，并尽快制定关于家庭暴力的立法，确保受暴力侵害的妇女可立即获得补救和保护手段。委员会还建议对所有公职人员实行性别培训，特别是对执法人员和司法人员医疗卫生工作者，教育他们认识一切形式的暴力侵害妇女和女孩行为。本报告没有提到对暴力侵害妇女行为。请提供资料说明根据委员会请求采取的措施，包括已取得的结果。</w:t>
      </w:r>
    </w:p>
    <w:p w:rsidR="00FC75B1" w:rsidRPr="00D97B52" w:rsidRDefault="00FC75B1" w:rsidP="00FC75B1">
      <w:pPr>
        <w:pStyle w:val="SingleTxt"/>
        <w:rPr>
          <w:rFonts w:ascii="SimHei" w:eastAsia="SimHei" w:hint="eastAsia"/>
          <w:color w:val="FF0000"/>
        </w:rPr>
      </w:pPr>
      <w:r w:rsidRPr="00D97B52">
        <w:rPr>
          <w:rFonts w:ascii="SimHei" w:eastAsia="SimHei" w:hint="eastAsia"/>
          <w:color w:val="FF0000"/>
        </w:rPr>
        <w:t>贩运</w:t>
      </w:r>
    </w:p>
    <w:p w:rsidR="00FC75B1" w:rsidRDefault="00FC75B1" w:rsidP="00FC75B1">
      <w:pPr>
        <w:pStyle w:val="SingleTxt"/>
        <w:rPr>
          <w:rFonts w:hint="eastAsia"/>
        </w:rPr>
      </w:pPr>
      <w:r>
        <w:rPr>
          <w:rFonts w:hint="eastAsia"/>
        </w:rPr>
        <w:t>10.</w:t>
      </w:r>
      <w:r>
        <w:rPr>
          <w:rFonts w:hint="eastAsia"/>
        </w:rPr>
        <w:tab/>
        <w:t>报告没有表明贩运妇女和女孩的严重程度。暴力侵害妇女行为及其因果问题特别报告员提到，“女孩在本国和国际上被贩运，用于性贸易和非法劳工”，而且“农村人口被贩运到城市日益被认为是该国的一项问题”（见E/CN.4/2003/75/</w:t>
      </w:r>
      <w:r w:rsidR="00D97B52">
        <w:t xml:space="preserve"> </w:t>
      </w:r>
      <w:r>
        <w:rPr>
          <w:rFonts w:hint="eastAsia"/>
        </w:rPr>
        <w:t>Add.1,第303段）。政府已采取什么措施评估贩运妇女和女孩问题的严重程度和长期趋势，并打击该现象？</w:t>
      </w:r>
    </w:p>
    <w:p w:rsidR="00FC75B1" w:rsidRPr="00D97B52" w:rsidRDefault="00FC75B1" w:rsidP="00FC75B1">
      <w:pPr>
        <w:pStyle w:val="SingleTxt"/>
        <w:rPr>
          <w:rFonts w:ascii="SimHei" w:eastAsia="SimHei" w:hint="eastAsia"/>
          <w:color w:val="FF0000"/>
        </w:rPr>
      </w:pPr>
      <w:r w:rsidRPr="00D97B52">
        <w:rPr>
          <w:rFonts w:ascii="SimHei" w:eastAsia="SimHei" w:hint="eastAsia"/>
          <w:color w:val="FF0000"/>
        </w:rPr>
        <w:t>参与政治和公共生活及决策</w:t>
      </w:r>
    </w:p>
    <w:p w:rsidR="00FC75B1" w:rsidRDefault="00FC75B1" w:rsidP="00FC75B1">
      <w:pPr>
        <w:pStyle w:val="SingleTxt"/>
        <w:rPr>
          <w:rFonts w:hint="eastAsia"/>
        </w:rPr>
      </w:pPr>
      <w:r>
        <w:rPr>
          <w:rFonts w:hint="eastAsia"/>
        </w:rPr>
        <w:t>11.</w:t>
      </w:r>
      <w:r>
        <w:rPr>
          <w:rFonts w:hint="eastAsia"/>
        </w:rPr>
        <w:tab/>
        <w:t>请提供关于与男子相比妇女参与各级政府、议会和司法部门的统计资料，以及长期趋势。</w:t>
      </w:r>
    </w:p>
    <w:p w:rsidR="00FC75B1" w:rsidRDefault="00FC75B1" w:rsidP="00FC75B1">
      <w:pPr>
        <w:pStyle w:val="SingleTxt"/>
        <w:rPr>
          <w:rFonts w:hint="eastAsia"/>
        </w:rPr>
      </w:pPr>
      <w:r>
        <w:rPr>
          <w:rFonts w:hint="eastAsia"/>
        </w:rPr>
        <w:t>12.</w:t>
      </w:r>
      <w:r>
        <w:rPr>
          <w:rFonts w:hint="eastAsia"/>
        </w:rPr>
        <w:tab/>
        <w:t>委员会在上一次结论意见中，</w:t>
      </w:r>
      <w:r w:rsidR="00D97B52">
        <w:rPr>
          <w:rStyle w:val="FootnoteReference"/>
        </w:rPr>
        <w:footnoteReference w:id="3"/>
      </w:r>
      <w:r>
        <w:rPr>
          <w:rFonts w:hint="eastAsia"/>
        </w:rPr>
        <w:t xml:space="preserve"> 建议几内亚政府采取暂行特别措施，增加妇女在各级和各领域的决策机关任职的人数，并建议几内亚政府加紧努力，提升妇女担任有实权的职位，办法是举办妇女特别培训方案，就妇女参与各级决策的重要性开展提高认识运动。根据《公约》第四条第1款的规定，以及委员会一般性建议23和25，请表明根据这项请求已采取的措施，以及已取得的成果。</w:t>
      </w:r>
    </w:p>
    <w:p w:rsidR="00FC75B1" w:rsidRPr="00D97B52" w:rsidRDefault="00FC75B1" w:rsidP="00FC75B1">
      <w:pPr>
        <w:pStyle w:val="SingleTxt"/>
        <w:rPr>
          <w:rFonts w:ascii="SimHei" w:eastAsia="SimHei" w:hint="eastAsia"/>
          <w:color w:val="FF0000"/>
        </w:rPr>
      </w:pPr>
      <w:r w:rsidRPr="00D97B52">
        <w:rPr>
          <w:rFonts w:ascii="SimHei" w:eastAsia="SimHei" w:hint="eastAsia"/>
          <w:color w:val="FF0000"/>
        </w:rPr>
        <w:t>定型观念和教育</w:t>
      </w:r>
    </w:p>
    <w:p w:rsidR="00FC75B1" w:rsidRDefault="00FC75B1" w:rsidP="00FC75B1">
      <w:pPr>
        <w:pStyle w:val="SingleTxt"/>
        <w:rPr>
          <w:rFonts w:hint="eastAsia"/>
        </w:rPr>
      </w:pPr>
      <w:r>
        <w:rPr>
          <w:rFonts w:hint="eastAsia"/>
        </w:rPr>
        <w:t>13.</w:t>
      </w:r>
      <w:r>
        <w:rPr>
          <w:rFonts w:hint="eastAsia"/>
        </w:rPr>
        <w:tab/>
        <w:t>请提供更多资料，说明如何执行《国家防止切割女性生殖器战略计划》和《防止切割女性生殖器操作行动计划》，包括如何监测这两项计划的执行情况。自从政府开始努力防止切割女性生殖器做法以来，这种做法是否有减少？请提供这方面的数据。</w:t>
      </w:r>
    </w:p>
    <w:p w:rsidR="00FC75B1" w:rsidRDefault="00FC75B1" w:rsidP="00FC75B1">
      <w:pPr>
        <w:pStyle w:val="SingleTxt"/>
        <w:rPr>
          <w:rFonts w:hint="eastAsia"/>
        </w:rPr>
      </w:pPr>
      <w:r>
        <w:rPr>
          <w:rFonts w:hint="eastAsia"/>
        </w:rPr>
        <w:t>14.</w:t>
      </w:r>
      <w:r>
        <w:rPr>
          <w:rFonts w:hint="eastAsia"/>
        </w:rPr>
        <w:tab/>
        <w:t>报告提到，女性文盲和女孩辍学率已经减少，但没有包括目前的统计数据或长期趋势。请提供按性别分列和按城乡地区分列的最近统计数据，以表明女孩在各级教育中总体的识字率、入学率和继续就学率，以及长期趋势。</w:t>
      </w:r>
    </w:p>
    <w:p w:rsidR="00FC75B1" w:rsidRDefault="00FC75B1" w:rsidP="00FC75B1">
      <w:pPr>
        <w:pStyle w:val="SingleTxt"/>
        <w:rPr>
          <w:rFonts w:hint="eastAsia"/>
        </w:rPr>
      </w:pPr>
      <w:r>
        <w:rPr>
          <w:rFonts w:hint="eastAsia"/>
        </w:rPr>
        <w:t>15.</w:t>
      </w:r>
      <w:r>
        <w:rPr>
          <w:rFonts w:hint="eastAsia"/>
        </w:rPr>
        <w:tab/>
        <w:t>报告提到为实现男女教育平等所制定的各项计划、方案和战略。请提供执行这些计划、方案和战略以及已取得成果的最新资料。</w:t>
      </w:r>
    </w:p>
    <w:p w:rsidR="00FC75B1" w:rsidRPr="00D97B52" w:rsidRDefault="00FC75B1" w:rsidP="00FC75B1">
      <w:pPr>
        <w:pStyle w:val="SingleTxt"/>
        <w:rPr>
          <w:rFonts w:ascii="SimHei" w:eastAsia="SimHei" w:hint="eastAsia"/>
          <w:color w:val="FF0000"/>
        </w:rPr>
      </w:pPr>
      <w:r w:rsidRPr="00D97B52">
        <w:rPr>
          <w:rFonts w:ascii="SimHei" w:eastAsia="SimHei" w:hint="eastAsia"/>
          <w:color w:val="FF0000"/>
        </w:rPr>
        <w:t>医疗保健</w:t>
      </w:r>
    </w:p>
    <w:p w:rsidR="00FC75B1" w:rsidRDefault="00FC75B1" w:rsidP="009B1A1E">
      <w:pPr>
        <w:pStyle w:val="SingleTxt"/>
        <w:rPr>
          <w:rFonts w:hint="eastAsia"/>
        </w:rPr>
      </w:pPr>
      <w:r>
        <w:rPr>
          <w:rFonts w:hint="eastAsia"/>
        </w:rPr>
        <w:t>16.</w:t>
      </w:r>
      <w:r>
        <w:rPr>
          <w:rFonts w:hint="eastAsia"/>
        </w:rPr>
        <w:tab/>
        <w:t>报告详细说明了缔约国在医疗保健领域的政策、计划和方案以及各项目标。然而，这些资料并非始终按照性别分列，也没有明确表明是否正在实现为男女制定的目标，也没有说明如何监测执行情况。请提供按城乡地区分列的具体资料，说明在报告所述领域中为改善妇女健康已取得的成果。也请提供关于妇女使用医疗保健设施的数据。</w:t>
      </w:r>
    </w:p>
    <w:p w:rsidR="00FC75B1" w:rsidRDefault="00FC75B1" w:rsidP="00FC75B1">
      <w:pPr>
        <w:pStyle w:val="SingleTxt"/>
        <w:rPr>
          <w:rFonts w:hint="eastAsia"/>
        </w:rPr>
      </w:pPr>
      <w:r>
        <w:rPr>
          <w:rFonts w:hint="eastAsia"/>
        </w:rPr>
        <w:t>17.</w:t>
      </w:r>
      <w:r>
        <w:rPr>
          <w:rFonts w:hint="eastAsia"/>
        </w:rPr>
        <w:tab/>
        <w:t>请提供资料说明为抗击艾滋病毒/艾滋病已采取的措施，尤其是预防性措施（见委员会上一次结论意见）。</w:t>
      </w:r>
      <w:r w:rsidR="00D97B52">
        <w:rPr>
          <w:rStyle w:val="FootnoteReference"/>
        </w:rPr>
        <w:footnoteReference w:id="4"/>
      </w:r>
      <w:r>
        <w:rPr>
          <w:rFonts w:hint="eastAsia"/>
        </w:rPr>
        <w:t xml:space="preserve"> 请表明患有艾滋病毒/艾滋病的妇女能获得哪些治疗，并说明这些努力所能获得的财政支持及其来源。</w:t>
      </w:r>
    </w:p>
    <w:p w:rsidR="00FC75B1" w:rsidRPr="00D97B52" w:rsidRDefault="00FC75B1" w:rsidP="00FC75B1">
      <w:pPr>
        <w:pStyle w:val="SingleTxt"/>
        <w:rPr>
          <w:rFonts w:ascii="SimHei" w:eastAsia="SimHei" w:hint="eastAsia"/>
          <w:color w:val="FF0000"/>
        </w:rPr>
      </w:pPr>
      <w:r w:rsidRPr="00D97B52">
        <w:rPr>
          <w:rFonts w:ascii="SimHei" w:eastAsia="SimHei" w:hint="eastAsia"/>
          <w:color w:val="FF0000"/>
        </w:rPr>
        <w:t>就业、农村妇女、获得财产和贫穷状况</w:t>
      </w:r>
    </w:p>
    <w:p w:rsidR="00FC75B1" w:rsidRDefault="00FC75B1" w:rsidP="00FC75B1">
      <w:pPr>
        <w:pStyle w:val="SingleTxt"/>
        <w:rPr>
          <w:rFonts w:hint="eastAsia"/>
        </w:rPr>
      </w:pPr>
      <w:r>
        <w:rPr>
          <w:rFonts w:hint="eastAsia"/>
        </w:rPr>
        <w:t>18.</w:t>
      </w:r>
      <w:r>
        <w:rPr>
          <w:rFonts w:hint="eastAsia"/>
        </w:rPr>
        <w:tab/>
        <w:t>报告提到减贫战略文件。请表明该文件以及政府的努力如何能实现千年发展目标，纳入性别观点，并促进实施《公约》。也请评估迄今为止为妇女参与执行该战略已取得的成果。</w:t>
      </w:r>
    </w:p>
    <w:p w:rsidR="00FC75B1" w:rsidRDefault="00FC75B1" w:rsidP="009B1A1E">
      <w:pPr>
        <w:pStyle w:val="SingleTxt"/>
        <w:rPr>
          <w:rFonts w:hint="eastAsia"/>
        </w:rPr>
      </w:pPr>
      <w:r>
        <w:rPr>
          <w:rFonts w:hint="eastAsia"/>
        </w:rPr>
        <w:t>19.</w:t>
      </w:r>
      <w:r>
        <w:rPr>
          <w:rFonts w:hint="eastAsia"/>
        </w:rPr>
        <w:tab/>
        <w:t>请表明已采取什么措施支持非正规部门的妇女，以及低收入和贫穷的妇女，尤其是在农村地区的妇女进入市场和获得技术。已采取哪些政策支持妇女自助小组向城乡地区女企业家提供服务？</w:t>
      </w:r>
    </w:p>
    <w:p w:rsidR="00FC75B1" w:rsidRDefault="00FC75B1" w:rsidP="009B1A1E">
      <w:pPr>
        <w:pStyle w:val="SingleTxt"/>
        <w:rPr>
          <w:rFonts w:hint="eastAsia"/>
        </w:rPr>
      </w:pPr>
      <w:r>
        <w:rPr>
          <w:rFonts w:hint="eastAsia"/>
        </w:rPr>
        <w:t>20.</w:t>
      </w:r>
      <w:r>
        <w:rPr>
          <w:rFonts w:hint="eastAsia"/>
        </w:rPr>
        <w:tab/>
        <w:t>委员会在上一次结论意见中，</w:t>
      </w:r>
      <w:r w:rsidR="009B1A1E">
        <w:rPr>
          <w:rStyle w:val="FootnoteReference"/>
        </w:rPr>
        <w:footnoteReference w:id="5"/>
      </w:r>
      <w:r>
        <w:rPr>
          <w:rFonts w:hint="eastAsia"/>
        </w:rPr>
        <w:t xml:space="preserve"> 对于农村妇女状况表示关切，并敦促几内亚政府确保她们受益于在各个领域采行的政策和方案，并确保农村妇女平等参与决策，获得医疗保健服务和信贷设施的机会。请说明几内亚政府已采取或规划采取什么措施，并提供执行委员会在这方面通过的各项建议的详细时间表。</w:t>
      </w:r>
    </w:p>
    <w:p w:rsidR="00FC75B1" w:rsidRDefault="00FC75B1" w:rsidP="009B1A1E">
      <w:pPr>
        <w:pStyle w:val="SingleTxt"/>
        <w:rPr>
          <w:rFonts w:hint="eastAsia"/>
        </w:rPr>
      </w:pPr>
      <w:r>
        <w:rPr>
          <w:rFonts w:hint="eastAsia"/>
        </w:rPr>
        <w:t>21.</w:t>
      </w:r>
      <w:r>
        <w:rPr>
          <w:rFonts w:hint="eastAsia"/>
        </w:rPr>
        <w:tab/>
        <w:t>尽管法律承认妇女平等继承权和财产权，但报告承认，实际上，寡妇在继承丈夫财产方面仍存在问题，该问题在没有子女的寡妇情况中尤为明显。例如，在不动产方面，有一种错误的观点是，依照法律，财产应归男孩。政府如何打算提高妇女和公众对妇女在继承和遗产方面的权利的认识，以确保在实际情况中妇女能够根据几内亚毫无保留批准的《公约》的规定主张自己的权利？</w:t>
      </w:r>
    </w:p>
    <w:p w:rsidR="00FC75B1" w:rsidRPr="00D97B52" w:rsidRDefault="00FC75B1" w:rsidP="00FC75B1">
      <w:pPr>
        <w:pStyle w:val="SingleTxt"/>
        <w:rPr>
          <w:rFonts w:ascii="SimHei" w:eastAsia="SimHei" w:hint="eastAsia"/>
          <w:color w:val="FF0000"/>
        </w:rPr>
      </w:pPr>
      <w:r w:rsidRPr="00D97B52">
        <w:rPr>
          <w:rFonts w:ascii="SimHei" w:eastAsia="SimHei" w:hint="eastAsia"/>
          <w:color w:val="FF0000"/>
        </w:rPr>
        <w:t>婚姻和家庭关系</w:t>
      </w:r>
    </w:p>
    <w:p w:rsidR="00FC75B1" w:rsidRDefault="00FC75B1" w:rsidP="00FC75B1">
      <w:pPr>
        <w:pStyle w:val="SingleTxt"/>
        <w:rPr>
          <w:rFonts w:hint="eastAsia"/>
        </w:rPr>
      </w:pPr>
      <w:r>
        <w:rPr>
          <w:rFonts w:hint="eastAsia"/>
        </w:rPr>
        <w:t>22.</w:t>
      </w:r>
      <w:r>
        <w:rPr>
          <w:rFonts w:hint="eastAsia"/>
        </w:rPr>
        <w:tab/>
        <w:t>尽管报告提到修订和修正《民法典》和《人身和家庭法典》，尚不明确的是，哪些修正案已经生效。请提供更多资料，说明自2001年审议上次报告以来已生效的修正案，以及经修正的法典符合《公约》规定的情况。也请评估这些经修订的法律的效力。尤其是，请阐明根据相关的法典，丈夫是否仍然被视为户主，而且丈夫是否可以确定家庭住所地点；子女出生时，如果不是由医生和护士或其他出生时在场的人申报，是否仍然必须由父亲申报；除非当事方之间有特殊协议，子女在七岁以后是否仍然由父亲监护。还请说明没有子女的寡妇是否仍然受到歧视，另外，如果父亲丧失能力，无法行使父母权力，是否应优先将该项权力给予孩子的叔伯而非给予母亲。</w:t>
      </w:r>
    </w:p>
    <w:p w:rsidR="00FC75B1" w:rsidRDefault="00FC75B1" w:rsidP="00FC75B1">
      <w:pPr>
        <w:pStyle w:val="SingleTxt"/>
        <w:rPr>
          <w:rFonts w:hint="eastAsia"/>
        </w:rPr>
      </w:pPr>
      <w:r>
        <w:rPr>
          <w:rFonts w:hint="eastAsia"/>
        </w:rPr>
        <w:t>23.</w:t>
      </w:r>
      <w:r>
        <w:rPr>
          <w:rFonts w:hint="eastAsia"/>
        </w:rPr>
        <w:tab/>
        <w:t>几内亚政府是否考虑使结婚最低年龄符合《儿童权利公约》和《消除对妇女一切形式歧视公约》的规定？</w:t>
      </w:r>
    </w:p>
    <w:p w:rsidR="00FC75B1" w:rsidRPr="00D97B52" w:rsidRDefault="00FC75B1" w:rsidP="00FC75B1">
      <w:pPr>
        <w:pStyle w:val="SingleTxt"/>
        <w:rPr>
          <w:rFonts w:ascii="SimHei" w:eastAsia="SimHei" w:hint="eastAsia"/>
          <w:color w:val="FF0000"/>
        </w:rPr>
      </w:pPr>
      <w:r w:rsidRPr="00D97B52">
        <w:rPr>
          <w:rFonts w:ascii="SimHei" w:eastAsia="SimHei" w:hint="eastAsia"/>
          <w:color w:val="FF0000"/>
        </w:rPr>
        <w:t>国籍</w:t>
      </w:r>
    </w:p>
    <w:p w:rsidR="00FC75B1" w:rsidRDefault="00FC75B1" w:rsidP="00FC75B1">
      <w:pPr>
        <w:pStyle w:val="SingleTxt"/>
        <w:rPr>
          <w:rFonts w:hint="eastAsia"/>
        </w:rPr>
      </w:pPr>
      <w:r>
        <w:rPr>
          <w:rFonts w:hint="eastAsia"/>
        </w:rPr>
        <w:t>24.</w:t>
      </w:r>
      <w:r>
        <w:rPr>
          <w:rFonts w:hint="eastAsia"/>
        </w:rPr>
        <w:tab/>
        <w:t>报告指出《民法典》载有一些歧视妇女的规定，尤其是几内亚父亲所生的合法子女自动获得父亲的国籍。请提供最新资料，说明《民法典》的修正案草案是否废除这些已生效的歧视性规定。</w:t>
      </w:r>
    </w:p>
    <w:p w:rsidR="00FC75B1" w:rsidRPr="00D97B52" w:rsidRDefault="00FC75B1" w:rsidP="00FC75B1">
      <w:pPr>
        <w:pStyle w:val="SingleTxt"/>
        <w:rPr>
          <w:rFonts w:ascii="SimHei" w:eastAsia="SimHei" w:hint="eastAsia"/>
          <w:color w:val="FF0000"/>
        </w:rPr>
      </w:pPr>
      <w:r w:rsidRPr="00D97B52">
        <w:rPr>
          <w:rFonts w:ascii="SimHei" w:eastAsia="SimHei" w:hint="eastAsia"/>
          <w:color w:val="FF0000"/>
        </w:rPr>
        <w:t>难民妇女和境内流离失所妇女</w:t>
      </w:r>
    </w:p>
    <w:p w:rsidR="00FC75B1" w:rsidRDefault="00FC75B1" w:rsidP="00FC75B1">
      <w:pPr>
        <w:pStyle w:val="SingleTxt"/>
        <w:rPr>
          <w:rFonts w:hint="eastAsia"/>
        </w:rPr>
      </w:pPr>
      <w:r>
        <w:rPr>
          <w:rFonts w:hint="eastAsia"/>
        </w:rPr>
        <w:t>25.</w:t>
      </w:r>
      <w:r>
        <w:rPr>
          <w:rFonts w:hint="eastAsia"/>
        </w:rPr>
        <w:tab/>
        <w:t>请提供资料说明几内亚的难民妇女和境内流离失所妇女及其经济和社会状况，以及已采取什么措施支持这些妇女。政府是否已经从联合国系统或其他捐助者获得向这类妇女提供的任何援助？</w:t>
      </w:r>
    </w:p>
    <w:p w:rsidR="00FC75B1" w:rsidRPr="00D97B52" w:rsidRDefault="00FC75B1" w:rsidP="00FC75B1">
      <w:pPr>
        <w:pStyle w:val="SingleTxt"/>
        <w:rPr>
          <w:rFonts w:ascii="SimHei" w:eastAsia="SimHei" w:hint="eastAsia"/>
          <w:color w:val="FF0000"/>
        </w:rPr>
      </w:pPr>
      <w:r w:rsidRPr="00D97B52">
        <w:rPr>
          <w:rFonts w:ascii="SimHei" w:eastAsia="SimHei" w:hint="eastAsia"/>
          <w:color w:val="FF0000"/>
        </w:rPr>
        <w:t>《任择议定书》和对第二十条第1款的修正案</w:t>
      </w:r>
    </w:p>
    <w:p w:rsidR="00EA31C3" w:rsidRDefault="00FC75B1" w:rsidP="00FC75B1">
      <w:pPr>
        <w:pStyle w:val="SingleTxt"/>
        <w:rPr>
          <w:rFonts w:hint="eastAsia"/>
        </w:rPr>
      </w:pPr>
      <w:r>
        <w:rPr>
          <w:rFonts w:hint="eastAsia"/>
        </w:rPr>
        <w:t>26.</w:t>
      </w:r>
      <w:r>
        <w:rPr>
          <w:rFonts w:hint="eastAsia"/>
        </w:rPr>
        <w:tab/>
        <w:t>请表明《公约任择议定书》的批准和加入是否已取得进展。也请说明在核准对《公约》第二十条第1款的修正案方面所取得的进展。</w:t>
      </w:r>
    </w:p>
    <w:p w:rsidR="00D97B52" w:rsidRPr="00D97B52" w:rsidRDefault="00D97B52" w:rsidP="00D97B52">
      <w:pPr>
        <w:pStyle w:val="SingleTxt"/>
        <w:spacing w:after="0" w:line="240" w:lineRule="auto"/>
        <w:rPr>
          <w:sz w:val="20"/>
        </w:rPr>
      </w:pPr>
      <w:r>
        <w:rPr>
          <w:noProof/>
          <w:sz w:val="20"/>
        </w:rPr>
        <w:pict>
          <v:line id="_x0000_s1026" style="position:absolute;left:0;text-align:left;z-index:1" from="210.25pt,20.2pt" to="282.25pt,20.2pt" strokeweight=".25pt"/>
        </w:pict>
      </w:r>
    </w:p>
    <w:sectPr w:rsidR="00D97B52" w:rsidRPr="00D97B52" w:rsidSect="00344FFF">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6T10:27:00Z" w:initials="Start">
    <w:p w:rsidR="00C13ADD" w:rsidRDefault="00C13AD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NO&gt;&gt;N0725021C&lt;&lt;ODS JOB NO&gt;&gt;</w:t>
      </w:r>
    </w:p>
    <w:p w:rsidR="00C13ADD" w:rsidRDefault="00C13ADD">
      <w:pPr>
        <w:pStyle w:val="CommentText"/>
      </w:pPr>
      <w:r>
        <w:t>&lt;&lt;ODS DOC SYMBOL1&gt;&gt;CEDAW/C/GIN/Q/6&lt;&lt;ODS DOC SYMBOL1&gt;&gt;</w:t>
      </w:r>
    </w:p>
    <w:p w:rsidR="00C13ADD" w:rsidRDefault="00C13AD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00EE" w:rsidRDefault="00D300EE">
      <w:r>
        <w:separator/>
      </w:r>
    </w:p>
  </w:endnote>
  <w:endnote w:type="continuationSeparator" w:id="0">
    <w:p w:rsidR="00D300EE" w:rsidRDefault="00D30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13ADD" w:rsidTr="00344FFF">
      <w:tblPrEx>
        <w:tblCellMar>
          <w:top w:w="0" w:type="dxa"/>
          <w:bottom w:w="0" w:type="dxa"/>
        </w:tblCellMar>
      </w:tblPrEx>
      <w:tc>
        <w:tcPr>
          <w:tcW w:w="5033" w:type="dxa"/>
          <w:shd w:val="clear" w:color="auto" w:fill="auto"/>
          <w:vAlign w:val="bottom"/>
        </w:tcPr>
        <w:p w:rsidR="00C13ADD" w:rsidRPr="00344FFF" w:rsidRDefault="00C13ADD" w:rsidP="00344FFF">
          <w:pPr>
            <w:pStyle w:val="Footer"/>
            <w:jc w:val="left"/>
          </w:pPr>
          <w:r>
            <w:fldChar w:fldCharType="begin"/>
          </w:r>
          <w:r>
            <w:instrText xml:space="preserve"> PAGE  \* MERGEFORMAT </w:instrText>
          </w:r>
          <w:r>
            <w:fldChar w:fldCharType="separate"/>
          </w:r>
          <w:r w:rsidR="002E08E2">
            <w:t>4</w:t>
          </w:r>
          <w:r>
            <w:fldChar w:fldCharType="end"/>
          </w:r>
        </w:p>
      </w:tc>
      <w:tc>
        <w:tcPr>
          <w:tcW w:w="5033" w:type="dxa"/>
          <w:shd w:val="clear" w:color="auto" w:fill="auto"/>
          <w:vAlign w:val="bottom"/>
        </w:tcPr>
        <w:p w:rsidR="00C13ADD" w:rsidRPr="00344FFF" w:rsidRDefault="00C13ADD" w:rsidP="00344FFF">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E08E2">
            <w:rPr>
              <w:b w:val="0"/>
              <w:sz w:val="14"/>
            </w:rPr>
            <w:t>07-25021</w:t>
          </w:r>
          <w:r>
            <w:rPr>
              <w:b w:val="0"/>
              <w:sz w:val="14"/>
            </w:rPr>
            <w:fldChar w:fldCharType="end"/>
          </w:r>
        </w:p>
      </w:tc>
    </w:tr>
  </w:tbl>
  <w:p w:rsidR="00C13ADD" w:rsidRPr="00344FFF" w:rsidRDefault="00C13ADD" w:rsidP="00344FF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13ADD" w:rsidTr="00344FFF">
      <w:tblPrEx>
        <w:tblCellMar>
          <w:top w:w="0" w:type="dxa"/>
          <w:bottom w:w="0" w:type="dxa"/>
        </w:tblCellMar>
      </w:tblPrEx>
      <w:tc>
        <w:tcPr>
          <w:tcW w:w="5033" w:type="dxa"/>
          <w:shd w:val="clear" w:color="auto" w:fill="auto"/>
          <w:vAlign w:val="bottom"/>
        </w:tcPr>
        <w:p w:rsidR="00C13ADD" w:rsidRPr="00344FFF" w:rsidRDefault="00C13ADD" w:rsidP="00344FFF">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E08E2">
            <w:rPr>
              <w:b w:val="0"/>
              <w:sz w:val="14"/>
            </w:rPr>
            <w:t>07-25021</w:t>
          </w:r>
          <w:r>
            <w:rPr>
              <w:b w:val="0"/>
              <w:sz w:val="14"/>
            </w:rPr>
            <w:fldChar w:fldCharType="end"/>
          </w:r>
        </w:p>
      </w:tc>
      <w:tc>
        <w:tcPr>
          <w:tcW w:w="5033" w:type="dxa"/>
          <w:shd w:val="clear" w:color="auto" w:fill="auto"/>
          <w:vAlign w:val="bottom"/>
        </w:tcPr>
        <w:p w:rsidR="00C13ADD" w:rsidRPr="00344FFF" w:rsidRDefault="00C13ADD" w:rsidP="00344FFF">
          <w:pPr>
            <w:pStyle w:val="Footer"/>
            <w:jc w:val="right"/>
          </w:pPr>
          <w:r>
            <w:fldChar w:fldCharType="begin"/>
          </w:r>
          <w:r>
            <w:instrText xml:space="preserve"> PAGE  \* MERGEFORMAT </w:instrText>
          </w:r>
          <w:r>
            <w:fldChar w:fldCharType="separate"/>
          </w:r>
          <w:r w:rsidR="002E08E2">
            <w:t>3</w:t>
          </w:r>
          <w:r>
            <w:fldChar w:fldCharType="end"/>
          </w:r>
        </w:p>
      </w:tc>
    </w:tr>
  </w:tbl>
  <w:p w:rsidR="00C13ADD" w:rsidRPr="00344FFF" w:rsidRDefault="00C13ADD" w:rsidP="00344FF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ADD" w:rsidRDefault="00C13ADD" w:rsidP="00344FFF">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2E08E2">
      <w:rPr>
        <w:b w:val="0"/>
        <w:sz w:val="21"/>
      </w:rPr>
      <w:t>07-25021 (C)</w:t>
    </w:r>
    <w:r>
      <w:rPr>
        <w:b w:val="0"/>
        <w:sz w:val="21"/>
      </w:rPr>
      <w:fldChar w:fldCharType="end"/>
    </w:r>
    <w:r>
      <w:rPr>
        <w:b w:val="0"/>
        <w:sz w:val="21"/>
      </w:rPr>
      <w:t xml:space="preserve">    150307    160307</w:t>
    </w:r>
  </w:p>
  <w:p w:rsidR="00C13ADD" w:rsidRPr="00344FFF" w:rsidRDefault="00C13ADD" w:rsidP="00344FFF">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2E08E2">
      <w:rPr>
        <w:rFonts w:ascii="Barcode 3 of 9 by request" w:hAnsi="Barcode 3 of 9 by request"/>
        <w:sz w:val="24"/>
      </w:rPr>
      <w:t>*0725021*</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00EE" w:rsidRPr="00D97B52" w:rsidRDefault="00D300EE" w:rsidP="00D97B52">
      <w:pPr>
        <w:pStyle w:val="Footer"/>
        <w:spacing w:after="80"/>
        <w:ind w:left="792"/>
        <w:rPr>
          <w:sz w:val="16"/>
        </w:rPr>
      </w:pPr>
      <w:r w:rsidRPr="00D97B52">
        <w:rPr>
          <w:sz w:val="16"/>
        </w:rPr>
        <w:t>__________________</w:t>
      </w:r>
    </w:p>
  </w:footnote>
  <w:footnote w:type="continuationSeparator" w:id="0">
    <w:p w:rsidR="00D300EE" w:rsidRPr="00D97B52" w:rsidRDefault="00D300EE" w:rsidP="00D97B52">
      <w:pPr>
        <w:pStyle w:val="Footer"/>
        <w:spacing w:after="80"/>
        <w:ind w:left="792"/>
        <w:rPr>
          <w:sz w:val="16"/>
        </w:rPr>
      </w:pPr>
      <w:r w:rsidRPr="00D97B52">
        <w:rPr>
          <w:sz w:val="16"/>
        </w:rPr>
        <w:t>__________________</w:t>
      </w:r>
    </w:p>
  </w:footnote>
  <w:footnote w:id="1">
    <w:p w:rsidR="00C13ADD" w:rsidRDefault="00C13ADD" w:rsidP="00D97B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rFonts w:hint="eastAsia"/>
        </w:rPr>
        <w:t>见《大会正式记录，第五十六届会议，补编第38号（A</w:t>
      </w:r>
      <w:r>
        <w:t>/56/38</w:t>
      </w:r>
      <w:r>
        <w:rPr>
          <w:rFonts w:hint="eastAsia"/>
        </w:rPr>
        <w:t>），第二部分，第四章，</w:t>
      </w:r>
      <w:r>
        <w:t>B</w:t>
      </w:r>
      <w:r>
        <w:rPr>
          <w:rFonts w:hint="eastAsia"/>
        </w:rPr>
        <w:t>节，第144段。</w:t>
      </w:r>
    </w:p>
  </w:footnote>
  <w:footnote w:id="2">
    <w:p w:rsidR="00C13ADD" w:rsidRDefault="00C13ADD" w:rsidP="00D97B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rFonts w:hint="eastAsia"/>
        </w:rPr>
        <w:t>同上，第135段。</w:t>
      </w:r>
    </w:p>
  </w:footnote>
  <w:footnote w:id="3">
    <w:p w:rsidR="00C13ADD" w:rsidRDefault="00C13ADD" w:rsidP="00D97B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rFonts w:hint="eastAsia"/>
        </w:rPr>
        <w:t>同上，第133段。</w:t>
      </w:r>
    </w:p>
  </w:footnote>
  <w:footnote w:id="4">
    <w:p w:rsidR="00C13ADD" w:rsidRDefault="00C13ADD" w:rsidP="00D97B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rFonts w:hint="eastAsia"/>
        </w:rPr>
        <w:t>同上，第130和第131段。</w:t>
      </w:r>
    </w:p>
  </w:footnote>
  <w:footnote w:id="5">
    <w:p w:rsidR="00C13ADD" w:rsidRDefault="00C13ADD" w:rsidP="009B1A1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Pr>
          <w:rFonts w:hint="eastAsia"/>
        </w:rPr>
        <w:t>同上，第138和第139段。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13ADD" w:rsidTr="00344FFF">
      <w:tblPrEx>
        <w:tblCellMar>
          <w:top w:w="0" w:type="dxa"/>
          <w:bottom w:w="0" w:type="dxa"/>
        </w:tblCellMar>
      </w:tblPrEx>
      <w:trPr>
        <w:trHeight w:hRule="exact" w:val="864"/>
      </w:trPr>
      <w:tc>
        <w:tcPr>
          <w:tcW w:w="4838" w:type="dxa"/>
          <w:shd w:val="clear" w:color="auto" w:fill="auto"/>
          <w:vAlign w:val="bottom"/>
        </w:tcPr>
        <w:p w:rsidR="00C13ADD" w:rsidRPr="00344FFF" w:rsidRDefault="00C13ADD" w:rsidP="00344FFF">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E08E2">
            <w:rPr>
              <w:b/>
              <w:sz w:val="17"/>
            </w:rPr>
            <w:t>CEDAW/C/GIN/Q/6</w:t>
          </w:r>
          <w:r>
            <w:rPr>
              <w:b/>
              <w:sz w:val="17"/>
            </w:rPr>
            <w:fldChar w:fldCharType="end"/>
          </w:r>
        </w:p>
      </w:tc>
      <w:tc>
        <w:tcPr>
          <w:tcW w:w="5033" w:type="dxa"/>
          <w:shd w:val="clear" w:color="auto" w:fill="auto"/>
          <w:vAlign w:val="bottom"/>
        </w:tcPr>
        <w:p w:rsidR="00C13ADD" w:rsidRDefault="00C13ADD" w:rsidP="00344FFF">
          <w:pPr>
            <w:pStyle w:val="Header"/>
          </w:pPr>
        </w:p>
      </w:tc>
    </w:tr>
  </w:tbl>
  <w:p w:rsidR="00C13ADD" w:rsidRPr="00344FFF" w:rsidRDefault="00C13ADD" w:rsidP="00344F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13ADD" w:rsidTr="00344FFF">
      <w:tblPrEx>
        <w:tblCellMar>
          <w:top w:w="0" w:type="dxa"/>
          <w:bottom w:w="0" w:type="dxa"/>
        </w:tblCellMar>
      </w:tblPrEx>
      <w:trPr>
        <w:trHeight w:hRule="exact" w:val="864"/>
      </w:trPr>
      <w:tc>
        <w:tcPr>
          <w:tcW w:w="4838" w:type="dxa"/>
          <w:shd w:val="clear" w:color="auto" w:fill="auto"/>
          <w:vAlign w:val="bottom"/>
        </w:tcPr>
        <w:p w:rsidR="00C13ADD" w:rsidRDefault="00C13ADD" w:rsidP="00344FFF">
          <w:pPr>
            <w:pStyle w:val="Header"/>
          </w:pPr>
        </w:p>
      </w:tc>
      <w:tc>
        <w:tcPr>
          <w:tcW w:w="5033" w:type="dxa"/>
          <w:shd w:val="clear" w:color="auto" w:fill="auto"/>
          <w:vAlign w:val="bottom"/>
        </w:tcPr>
        <w:p w:rsidR="00C13ADD" w:rsidRPr="00344FFF" w:rsidRDefault="00C13ADD" w:rsidP="00344FFF">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E08E2">
            <w:rPr>
              <w:b/>
              <w:sz w:val="17"/>
            </w:rPr>
            <w:t>CEDAW/C/GIN/Q/6</w:t>
          </w:r>
          <w:r>
            <w:rPr>
              <w:b/>
              <w:sz w:val="17"/>
            </w:rPr>
            <w:fldChar w:fldCharType="end"/>
          </w:r>
        </w:p>
      </w:tc>
    </w:tr>
  </w:tbl>
  <w:p w:rsidR="00C13ADD" w:rsidRPr="00344FFF" w:rsidRDefault="00C13ADD" w:rsidP="00344FF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13ADD" w:rsidTr="00344FF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13ADD" w:rsidRDefault="00C13ADD" w:rsidP="00344FFF">
          <w:pPr>
            <w:pStyle w:val="Header"/>
            <w:spacing w:after="120"/>
          </w:pPr>
        </w:p>
      </w:tc>
      <w:tc>
        <w:tcPr>
          <w:tcW w:w="1872" w:type="dxa"/>
          <w:tcBorders>
            <w:bottom w:val="single" w:sz="4" w:space="0" w:color="auto"/>
          </w:tcBorders>
          <w:shd w:val="clear" w:color="auto" w:fill="auto"/>
          <w:vAlign w:val="bottom"/>
        </w:tcPr>
        <w:p w:rsidR="00C13ADD" w:rsidRPr="00344FFF" w:rsidRDefault="00C13ADD" w:rsidP="00344FF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C13ADD" w:rsidRDefault="00C13ADD" w:rsidP="00344FFF">
          <w:pPr>
            <w:pStyle w:val="Header"/>
            <w:spacing w:after="120"/>
          </w:pPr>
        </w:p>
      </w:tc>
      <w:tc>
        <w:tcPr>
          <w:tcW w:w="6523" w:type="dxa"/>
          <w:gridSpan w:val="3"/>
          <w:tcBorders>
            <w:bottom w:val="single" w:sz="4" w:space="0" w:color="auto"/>
          </w:tcBorders>
          <w:shd w:val="clear" w:color="auto" w:fill="auto"/>
          <w:vAlign w:val="bottom"/>
        </w:tcPr>
        <w:p w:rsidR="00C13ADD" w:rsidRPr="00344FFF" w:rsidRDefault="00C13ADD" w:rsidP="00344FFF">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/C/GIN/Q/6</w:t>
          </w:r>
        </w:p>
      </w:tc>
    </w:tr>
    <w:tr w:rsidR="00C13ADD" w:rsidRPr="00344FFF" w:rsidTr="00344FF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13ADD" w:rsidRDefault="00C13ADD" w:rsidP="00344FF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13ADD" w:rsidRPr="00344FFF" w:rsidRDefault="00C13ADD" w:rsidP="00344FFF">
          <w:pPr>
            <w:pStyle w:val="Header"/>
            <w:spacing w:before="109"/>
            <w:ind w:left="-72"/>
          </w:pPr>
        </w:p>
      </w:tc>
      <w:tc>
        <w:tcPr>
          <w:tcW w:w="5227" w:type="dxa"/>
          <w:gridSpan w:val="3"/>
          <w:tcBorders>
            <w:top w:val="single" w:sz="4" w:space="0" w:color="auto"/>
            <w:bottom w:val="single" w:sz="12" w:space="0" w:color="auto"/>
          </w:tcBorders>
          <w:shd w:val="clear" w:color="auto" w:fill="auto"/>
        </w:tcPr>
        <w:p w:rsidR="00C13ADD" w:rsidRPr="00344FFF" w:rsidRDefault="00C13ADD" w:rsidP="00344FF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C13ADD" w:rsidRPr="00344FFF" w:rsidRDefault="00C13ADD" w:rsidP="00344FFF">
          <w:pPr>
            <w:pStyle w:val="Header"/>
            <w:spacing w:before="109"/>
          </w:pPr>
        </w:p>
      </w:tc>
      <w:tc>
        <w:tcPr>
          <w:tcW w:w="3180" w:type="dxa"/>
          <w:gridSpan w:val="2"/>
          <w:tcBorders>
            <w:top w:val="single" w:sz="4" w:space="0" w:color="auto"/>
            <w:bottom w:val="single" w:sz="12" w:space="0" w:color="auto"/>
          </w:tcBorders>
          <w:shd w:val="clear" w:color="auto" w:fill="auto"/>
        </w:tcPr>
        <w:p w:rsidR="00C13ADD" w:rsidRDefault="00C13ADD" w:rsidP="00344FFF">
          <w:pPr>
            <w:spacing w:before="240" w:line="240" w:lineRule="exact"/>
            <w:rPr>
              <w:rFonts w:ascii="Times New Roman"/>
            </w:rPr>
          </w:pPr>
          <w:r>
            <w:rPr>
              <w:rFonts w:ascii="Times New Roman"/>
            </w:rPr>
            <w:t>Distr.: General</w:t>
          </w:r>
        </w:p>
        <w:p w:rsidR="00C13ADD" w:rsidRDefault="00C13ADD" w:rsidP="00344FFF">
          <w:pPr>
            <w:spacing w:line="240" w:lineRule="exact"/>
            <w:rPr>
              <w:rFonts w:ascii="Times New Roman"/>
            </w:rPr>
          </w:pPr>
          <w:r>
            <w:rPr>
              <w:rFonts w:ascii="Times New Roman"/>
            </w:rPr>
            <w:t>26 February 2007</w:t>
          </w:r>
        </w:p>
        <w:p w:rsidR="00C13ADD" w:rsidRDefault="00C13ADD" w:rsidP="00344FFF">
          <w:pPr>
            <w:spacing w:line="240" w:lineRule="exact"/>
            <w:rPr>
              <w:rFonts w:ascii="Times New Roman"/>
            </w:rPr>
          </w:pPr>
          <w:r>
            <w:rPr>
              <w:rFonts w:ascii="Times New Roman"/>
            </w:rPr>
            <w:t>Chinese</w:t>
          </w:r>
        </w:p>
        <w:p w:rsidR="00C13ADD" w:rsidRPr="00344FFF" w:rsidRDefault="00C13ADD" w:rsidP="00344FFF">
          <w:pPr>
            <w:spacing w:line="240" w:lineRule="exact"/>
            <w:rPr>
              <w:rFonts w:ascii="Times New Roman"/>
            </w:rPr>
          </w:pPr>
          <w:r>
            <w:rPr>
              <w:rFonts w:ascii="Times New Roman"/>
            </w:rPr>
            <w:t>Original: English</w:t>
          </w:r>
        </w:p>
      </w:tc>
    </w:tr>
  </w:tbl>
  <w:p w:rsidR="00C13ADD" w:rsidRPr="00344FFF" w:rsidRDefault="00C13ADD" w:rsidP="00344FF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021*"/>
    <w:docVar w:name="CreationDt" w:val="16/03/2007 09:22:11"/>
    <w:docVar w:name="DocCategory" w:val="Doc"/>
    <w:docVar w:name="DocType" w:val="Final"/>
    <w:docVar w:name="FooterJN" w:val="07-25021"/>
    <w:docVar w:name="jobn" w:val="07-25021 (C)"/>
    <w:docVar w:name="jobnDT" w:val="07-25021 (C)   160307"/>
    <w:docVar w:name="jobnDTDT" w:val="07-25021 (C)   160307   160307"/>
    <w:docVar w:name="JobNo" w:val="0725021C"/>
    <w:docVar w:name="OandT" w:val="geng"/>
    <w:docVar w:name="sss1" w:val="CEDAW/C/GIN/Q/6"/>
    <w:docVar w:name="sss2" w:val="-"/>
    <w:docVar w:name="Symbol1" w:val="CEDAW/C/GIN/Q/6"/>
    <w:docVar w:name="Symbol2" w:val="-"/>
  </w:docVars>
  <w:rsids>
    <w:rsidRoot w:val="00FC432D"/>
    <w:rsid w:val="000125BC"/>
    <w:rsid w:val="00021A2B"/>
    <w:rsid w:val="00037B39"/>
    <w:rsid w:val="00044CA4"/>
    <w:rsid w:val="00045EFE"/>
    <w:rsid w:val="0007337D"/>
    <w:rsid w:val="000758DF"/>
    <w:rsid w:val="00076EB8"/>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3EED"/>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08E2"/>
    <w:rsid w:val="002E66D5"/>
    <w:rsid w:val="002F41E2"/>
    <w:rsid w:val="00320C99"/>
    <w:rsid w:val="003274A9"/>
    <w:rsid w:val="00331221"/>
    <w:rsid w:val="00344FFF"/>
    <w:rsid w:val="00356369"/>
    <w:rsid w:val="003649EE"/>
    <w:rsid w:val="00371BC6"/>
    <w:rsid w:val="00373A15"/>
    <w:rsid w:val="00394A02"/>
    <w:rsid w:val="003C7B20"/>
    <w:rsid w:val="003E4565"/>
    <w:rsid w:val="003E748F"/>
    <w:rsid w:val="003E7612"/>
    <w:rsid w:val="00414423"/>
    <w:rsid w:val="004424EF"/>
    <w:rsid w:val="00453BB0"/>
    <w:rsid w:val="00460162"/>
    <w:rsid w:val="004620A8"/>
    <w:rsid w:val="004A06D1"/>
    <w:rsid w:val="004A11FC"/>
    <w:rsid w:val="004C3255"/>
    <w:rsid w:val="004D1C19"/>
    <w:rsid w:val="004F29B8"/>
    <w:rsid w:val="0050413E"/>
    <w:rsid w:val="00515657"/>
    <w:rsid w:val="00521275"/>
    <w:rsid w:val="0052216F"/>
    <w:rsid w:val="00522602"/>
    <w:rsid w:val="005232CA"/>
    <w:rsid w:val="00523636"/>
    <w:rsid w:val="005335B9"/>
    <w:rsid w:val="00536CCE"/>
    <w:rsid w:val="005541E4"/>
    <w:rsid w:val="0058302A"/>
    <w:rsid w:val="00596857"/>
    <w:rsid w:val="005B7338"/>
    <w:rsid w:val="005C02AB"/>
    <w:rsid w:val="005D0F04"/>
    <w:rsid w:val="005F3273"/>
    <w:rsid w:val="005F34A3"/>
    <w:rsid w:val="00610CF2"/>
    <w:rsid w:val="006479F1"/>
    <w:rsid w:val="00650BEE"/>
    <w:rsid w:val="006520FA"/>
    <w:rsid w:val="0065377D"/>
    <w:rsid w:val="006740A7"/>
    <w:rsid w:val="00691524"/>
    <w:rsid w:val="006A654B"/>
    <w:rsid w:val="006E2924"/>
    <w:rsid w:val="006E7A26"/>
    <w:rsid w:val="006F2B3D"/>
    <w:rsid w:val="007319E0"/>
    <w:rsid w:val="00737B00"/>
    <w:rsid w:val="0075155C"/>
    <w:rsid w:val="00753A05"/>
    <w:rsid w:val="00761190"/>
    <w:rsid w:val="00776537"/>
    <w:rsid w:val="00783A25"/>
    <w:rsid w:val="007E1B5E"/>
    <w:rsid w:val="007F2278"/>
    <w:rsid w:val="00805783"/>
    <w:rsid w:val="00806F57"/>
    <w:rsid w:val="00806F90"/>
    <w:rsid w:val="00824C19"/>
    <w:rsid w:val="008378D1"/>
    <w:rsid w:val="00846462"/>
    <w:rsid w:val="0086691F"/>
    <w:rsid w:val="00884C8F"/>
    <w:rsid w:val="008C2406"/>
    <w:rsid w:val="008C3296"/>
    <w:rsid w:val="008F2BB5"/>
    <w:rsid w:val="008F5472"/>
    <w:rsid w:val="008F5D0F"/>
    <w:rsid w:val="009122E0"/>
    <w:rsid w:val="00913351"/>
    <w:rsid w:val="0096193C"/>
    <w:rsid w:val="009769E1"/>
    <w:rsid w:val="00977E0D"/>
    <w:rsid w:val="00986C04"/>
    <w:rsid w:val="009A2F76"/>
    <w:rsid w:val="009B1A1E"/>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C5EB6"/>
    <w:rsid w:val="00BE365A"/>
    <w:rsid w:val="00BE47C4"/>
    <w:rsid w:val="00C052A2"/>
    <w:rsid w:val="00C06A4A"/>
    <w:rsid w:val="00C1391A"/>
    <w:rsid w:val="00C13ADD"/>
    <w:rsid w:val="00C14CE6"/>
    <w:rsid w:val="00C2725D"/>
    <w:rsid w:val="00C42033"/>
    <w:rsid w:val="00C8588D"/>
    <w:rsid w:val="00CB2B1E"/>
    <w:rsid w:val="00CC3E8B"/>
    <w:rsid w:val="00CC4E84"/>
    <w:rsid w:val="00CD5641"/>
    <w:rsid w:val="00CD7E47"/>
    <w:rsid w:val="00CE64AC"/>
    <w:rsid w:val="00CF7718"/>
    <w:rsid w:val="00D177F1"/>
    <w:rsid w:val="00D300EE"/>
    <w:rsid w:val="00D323B5"/>
    <w:rsid w:val="00D42ACC"/>
    <w:rsid w:val="00D51DC5"/>
    <w:rsid w:val="00D60B52"/>
    <w:rsid w:val="00D65488"/>
    <w:rsid w:val="00D676D7"/>
    <w:rsid w:val="00D874E1"/>
    <w:rsid w:val="00D9586D"/>
    <w:rsid w:val="00D97B52"/>
    <w:rsid w:val="00DC2506"/>
    <w:rsid w:val="00DC49FA"/>
    <w:rsid w:val="00DD21E4"/>
    <w:rsid w:val="00DD3D6B"/>
    <w:rsid w:val="00DD4467"/>
    <w:rsid w:val="00DD61C8"/>
    <w:rsid w:val="00DD772B"/>
    <w:rsid w:val="00E25442"/>
    <w:rsid w:val="00E37EEB"/>
    <w:rsid w:val="00E710FB"/>
    <w:rsid w:val="00E76EDE"/>
    <w:rsid w:val="00E806D9"/>
    <w:rsid w:val="00E82CA2"/>
    <w:rsid w:val="00E95594"/>
    <w:rsid w:val="00EA31C3"/>
    <w:rsid w:val="00EC6F21"/>
    <w:rsid w:val="00EE0913"/>
    <w:rsid w:val="00F01440"/>
    <w:rsid w:val="00F13305"/>
    <w:rsid w:val="00F40463"/>
    <w:rsid w:val="00F50336"/>
    <w:rsid w:val="00F62E3F"/>
    <w:rsid w:val="00F67F90"/>
    <w:rsid w:val="00F77B3E"/>
    <w:rsid w:val="00F833CB"/>
    <w:rsid w:val="00F87754"/>
    <w:rsid w:val="00F90A4B"/>
    <w:rsid w:val="00F92769"/>
    <w:rsid w:val="00FC1CE4"/>
    <w:rsid w:val="00FC432D"/>
    <w:rsid w:val="00FC75B1"/>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1</Pages>
  <Words>465</Words>
  <Characters>2651</Characters>
  <Application>Microsoft Office Word</Application>
  <DocSecurity>4</DocSecurity>
  <Lines>22</Lines>
  <Paragraphs>6</Paragraphs>
  <ScaleCrop>false</ScaleCrop>
  <Company>United Nations</Company>
  <LinksUpToDate>false</LinksUpToDate>
  <CharactersWithSpaces>3110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Guozhen.Geng</dc:creator>
  <cp:keywords/>
  <dc:description/>
  <cp:lastModifiedBy>ctpu2</cp:lastModifiedBy>
  <cp:revision>15</cp:revision>
  <cp:lastPrinted>2007-03-16T10:05:00Z</cp:lastPrinted>
  <dcterms:created xsi:type="dcterms:W3CDTF">2007-03-16T08:21:00Z</dcterms:created>
  <dcterms:modified xsi:type="dcterms:W3CDTF">2007-03-16T10:06:00Z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0725021</vt:lpwstr>
  </property>
  <property fmtid="{D5CDD505-2E9C-101B-9397-08002B2CF9AE}" pid="3" name="Symbol1">
    <vt:lpwstr>CEDAW/C/GIN/Q/6</vt:lpwstr>
  </property>
  <property fmtid="{D5CDD505-2E9C-101B-9397-08002B2CF9AE}" pid="4" name="Symbol2">
    <vt:lpwstr/>
  </property>
  <property fmtid="{D5CDD505-2E9C-101B-9397-08002B2CF9AE}" pid="5" name="Translator">
    <vt:lpwstr/>
  </property>
  <property fmtid="{D5CDD505-2E9C-101B-9397-08002B2CF9AE}" pid="6" name="Operator">
    <vt:lpwstr>geng</vt:lpwstr>
  </property>
  <property fmtid="{D5CDD505-2E9C-101B-9397-08002B2CF9AE}" pid="7" name="DraftPages">
    <vt:lpwstr> </vt:lpwstr>
  </property>
  <property fmtid="{D5CDD505-2E9C-101B-9397-08002B2CF9AE}" pid="8" name="Comment">
    <vt:lpwstr/>
  </property>
</Properties>
</file>