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B329FD" w:rsidP="00B329FD">
            <w:pPr>
              <w:bidi w:val="0"/>
              <w:spacing w:after="20"/>
              <w:jc w:val="left"/>
              <w:rPr>
                <w:szCs w:val="20"/>
              </w:rPr>
            </w:pPr>
            <w:r w:rsidRPr="00B329FD">
              <w:rPr>
                <w:sz w:val="40"/>
                <w:szCs w:val="20"/>
              </w:rPr>
              <w:t>CCPR</w:t>
            </w:r>
            <w:r>
              <w:rPr>
                <w:szCs w:val="20"/>
              </w:rPr>
              <w:t>/C/JPN/CO/6</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B329FD" w:rsidRDefault="00B329FD" w:rsidP="00B329FD">
            <w:pPr>
              <w:bidi w:val="0"/>
              <w:spacing w:before="240"/>
              <w:jc w:val="left"/>
            </w:pPr>
            <w:r>
              <w:t>Distr.: General</w:t>
            </w:r>
          </w:p>
          <w:p w:rsidR="00B329FD" w:rsidRDefault="00B329FD" w:rsidP="00B329FD">
            <w:pPr>
              <w:bidi w:val="0"/>
              <w:jc w:val="left"/>
            </w:pPr>
            <w:r>
              <w:t>20 August 2014</w:t>
            </w:r>
          </w:p>
          <w:p w:rsidR="00B329FD" w:rsidRDefault="00B329FD" w:rsidP="00B329FD">
            <w:pPr>
              <w:bidi w:val="0"/>
              <w:jc w:val="left"/>
            </w:pPr>
            <w:r>
              <w:t>Arabic</w:t>
            </w:r>
          </w:p>
          <w:p w:rsidR="00257225" w:rsidRPr="008B4BC6" w:rsidRDefault="00B329FD" w:rsidP="00B329FD">
            <w:pPr>
              <w:bidi w:val="0"/>
              <w:jc w:val="left"/>
            </w:pPr>
            <w:r>
              <w:t>Original: English</w:t>
            </w:r>
          </w:p>
        </w:tc>
      </w:tr>
    </w:tbl>
    <w:p w:rsidR="00B329FD" w:rsidRPr="00410210" w:rsidRDefault="00B329FD" w:rsidP="00B329FD">
      <w:pPr>
        <w:pStyle w:val="SingleTxtGA"/>
        <w:spacing w:before="120"/>
        <w:ind w:left="0" w:right="0"/>
        <w:rPr>
          <w:b/>
          <w:bCs/>
          <w:sz w:val="26"/>
          <w:szCs w:val="36"/>
          <w:rtl/>
          <w:lang w:val="fr-CH"/>
        </w:rPr>
      </w:pPr>
      <w:r w:rsidRPr="00410210">
        <w:rPr>
          <w:b/>
          <w:bCs/>
          <w:sz w:val="26"/>
          <w:szCs w:val="36"/>
          <w:rtl/>
          <w:lang w:val="fr-CH"/>
        </w:rPr>
        <w:t xml:space="preserve">اللجنة المعنية بحقوق </w:t>
      </w:r>
      <w:r w:rsidRPr="00410210">
        <w:rPr>
          <w:rFonts w:hint="cs"/>
          <w:b/>
          <w:bCs/>
          <w:sz w:val="26"/>
          <w:szCs w:val="36"/>
          <w:rtl/>
          <w:lang w:val="fr-CH"/>
        </w:rPr>
        <w:t>الإنسان</w:t>
      </w:r>
    </w:p>
    <w:p w:rsidR="00B329FD" w:rsidRPr="00544D76" w:rsidRDefault="00B329FD" w:rsidP="00B329FD">
      <w:pPr>
        <w:pStyle w:val="HChGA"/>
        <w:rPr>
          <w:rtl/>
        </w:rPr>
      </w:pPr>
      <w:r w:rsidRPr="00410210">
        <w:rPr>
          <w:rFonts w:hint="cs"/>
          <w:rtl/>
        </w:rPr>
        <w:tab/>
      </w:r>
      <w:r w:rsidRPr="00544D76">
        <w:rPr>
          <w:rtl/>
        </w:rPr>
        <w:tab/>
        <w:t>الملاحظات الختامية بشأن التقرير الدوري السادس لليابان</w:t>
      </w:r>
      <w:r w:rsidRPr="00BC5F2C">
        <w:rPr>
          <w:rStyle w:val="FootnoteReference"/>
          <w:rFonts w:ascii="Traditional Arabic" w:hAnsi="Traditional Arabic"/>
          <w:position w:val="6"/>
          <w:sz w:val="30"/>
          <w:szCs w:val="30"/>
          <w:vertAlign w:val="baseline"/>
          <w:rtl/>
        </w:rPr>
        <w:footnoteReference w:customMarkFollows="1" w:id="1"/>
        <w:t>*</w:t>
      </w:r>
    </w:p>
    <w:p w:rsidR="00B329FD" w:rsidRPr="00544D76" w:rsidRDefault="00B329FD" w:rsidP="00E87AD5">
      <w:pPr>
        <w:pStyle w:val="SingleTxtGA"/>
        <w:rPr>
          <w:rtl/>
        </w:rPr>
      </w:pPr>
      <w:r w:rsidRPr="00B329FD">
        <w:rPr>
          <w:rtl/>
        </w:rPr>
        <w:t>1-</w:t>
      </w:r>
      <w:r>
        <w:rPr>
          <w:rFonts w:hint="cs"/>
          <w:rtl/>
        </w:rPr>
        <w:tab/>
      </w:r>
      <w:r w:rsidRPr="00544D76">
        <w:rPr>
          <w:rtl/>
        </w:rPr>
        <w:t xml:space="preserve">نظرت اللجنة المعنية بحقوق الإنسان في التقرير الدوري السادس لليابان </w:t>
      </w:r>
      <w:r w:rsidRPr="00B329FD">
        <w:rPr>
          <w:spacing w:val="-6"/>
          <w:rtl/>
        </w:rPr>
        <w:t>(</w:t>
      </w:r>
      <w:r w:rsidRPr="00B329FD">
        <w:rPr>
          <w:spacing w:val="-6"/>
        </w:rPr>
        <w:t>CCPR/C/JPN/6</w:t>
      </w:r>
      <w:r w:rsidRPr="00B329FD">
        <w:rPr>
          <w:spacing w:val="-6"/>
          <w:rtl/>
        </w:rPr>
        <w:t>) في ج</w:t>
      </w:r>
      <w:r w:rsidRPr="00B329FD">
        <w:rPr>
          <w:rFonts w:hint="cs"/>
          <w:spacing w:val="-6"/>
          <w:rtl/>
        </w:rPr>
        <w:t>ل</w:t>
      </w:r>
      <w:r w:rsidRPr="00B329FD">
        <w:rPr>
          <w:spacing w:val="-6"/>
          <w:rtl/>
        </w:rPr>
        <w:t>ستيها 3080 و3081 (</w:t>
      </w:r>
      <w:r w:rsidRPr="00B329FD">
        <w:rPr>
          <w:spacing w:val="-6"/>
        </w:rPr>
        <w:t>CCPR/C/SR.3080</w:t>
      </w:r>
      <w:r w:rsidR="00E87AD5">
        <w:rPr>
          <w:rFonts w:hint="cs"/>
          <w:rtl/>
        </w:rPr>
        <w:t xml:space="preserve"> و</w:t>
      </w:r>
      <w:r w:rsidR="00E87AD5" w:rsidRPr="00DD4B29">
        <w:t>CCPR/C/SR.3081</w:t>
      </w:r>
      <w:r w:rsidRPr="00544D76">
        <w:rPr>
          <w:rtl/>
        </w:rPr>
        <w:t>) المعقودتين يومي 15 و16 تموز/يوليه 2014. واعتمدت الملاحظات الختامية التالية في جلستيها 3091 و3092 (</w:t>
      </w:r>
      <w:r w:rsidRPr="00DD4B29">
        <w:t>CCPR/C/SR.3091</w:t>
      </w:r>
      <w:r w:rsidR="00E87AD5">
        <w:rPr>
          <w:rFonts w:hint="cs"/>
          <w:rtl/>
        </w:rPr>
        <w:t xml:space="preserve"> و</w:t>
      </w:r>
      <w:r w:rsidR="00E87AD5" w:rsidRPr="00DD4B29">
        <w:t>CCPR/C/SR.3092</w:t>
      </w:r>
      <w:r w:rsidRPr="00544D76">
        <w:rPr>
          <w:rtl/>
        </w:rPr>
        <w:t>) المعقودتين يوم 23 تموز/يوليه 2014.</w:t>
      </w:r>
    </w:p>
    <w:p w:rsidR="00B329FD" w:rsidRPr="00544D76" w:rsidRDefault="00B329FD" w:rsidP="00B329FD">
      <w:pPr>
        <w:pStyle w:val="H1GA"/>
        <w:rPr>
          <w:rtl/>
        </w:rPr>
      </w:pPr>
      <w:r>
        <w:rPr>
          <w:rFonts w:hint="cs"/>
          <w:rtl/>
        </w:rPr>
        <w:tab/>
      </w:r>
      <w:r w:rsidRPr="00544D76">
        <w:rPr>
          <w:rtl/>
        </w:rPr>
        <w:t>ألف</w:t>
      </w:r>
      <w:r>
        <w:rPr>
          <w:rFonts w:hint="cs"/>
          <w:rtl/>
        </w:rPr>
        <w:t>-</w:t>
      </w:r>
      <w:r>
        <w:rPr>
          <w:rFonts w:hint="cs"/>
          <w:rtl/>
        </w:rPr>
        <w:tab/>
      </w:r>
      <w:r w:rsidRPr="00544D76">
        <w:rPr>
          <w:rtl/>
        </w:rPr>
        <w:t>مقدمة</w:t>
      </w:r>
    </w:p>
    <w:p w:rsidR="00B329FD" w:rsidRPr="00FD6800" w:rsidRDefault="00B329FD" w:rsidP="00B329FD">
      <w:pPr>
        <w:pStyle w:val="SingleTxtGA"/>
        <w:rPr>
          <w:rtl/>
        </w:rPr>
      </w:pPr>
      <w:r w:rsidRPr="00544D76">
        <w:rPr>
          <w:rtl/>
        </w:rPr>
        <w:t>2-</w:t>
      </w:r>
      <w:r w:rsidRPr="00544D76">
        <w:rPr>
          <w:rtl/>
        </w:rPr>
        <w:tab/>
        <w:t xml:space="preserve">ترحب اللجنة بالتقرير الدوري السادس الشامل المقدم من اليابان وبالمعلومات الواردة فيه. </w:t>
      </w:r>
      <w:r>
        <w:rPr>
          <w:rtl/>
          <w:lang w:bidi="ar"/>
        </w:rPr>
        <w:t>وتعرب عن تقديرها ل</w:t>
      </w:r>
      <w:r w:rsidRPr="00544D76">
        <w:rPr>
          <w:rtl/>
          <w:lang w:bidi="ar"/>
        </w:rPr>
        <w:t xml:space="preserve">فرصة تجديد حوارها البناء مع وفد الدولة الطرف الرفيع المستوى بشأن التدابير التي اتخذتها الدولة الطرف خلال الفترة المشمولة بالتقرير بغية تنفيذ أحكام العهد. </w:t>
      </w:r>
      <w:r>
        <w:rPr>
          <w:rFonts w:hint="cs"/>
          <w:rtl/>
        </w:rPr>
        <w:t>وتعرب عن امتنانها لما قدمته الدولة الطرف من ردود خطية (</w:t>
      </w:r>
      <w:r w:rsidRPr="00AA18E5">
        <w:t>CCPR/C/JPN/Q/6/Add.1</w:t>
      </w:r>
      <w:r>
        <w:rPr>
          <w:rFonts w:hint="cs"/>
          <w:rtl/>
        </w:rPr>
        <w:t>) على قائمة المسائل التي استكملها الوفد بتقديم ردود شفوية، فضل</w:t>
      </w:r>
      <w:r w:rsidR="005D023E">
        <w:rPr>
          <w:rFonts w:hint="cs"/>
          <w:rtl/>
        </w:rPr>
        <w:t xml:space="preserve">اً </w:t>
      </w:r>
      <w:r>
        <w:rPr>
          <w:rFonts w:hint="cs"/>
          <w:rtl/>
        </w:rPr>
        <w:t>عن المعلومات التكميلية التي قُدمت إلى اللجنة خطّيا</w:t>
      </w:r>
      <w:r w:rsidR="00E87AD5">
        <w:rPr>
          <w:rFonts w:hint="cs"/>
          <w:rtl/>
        </w:rPr>
        <w:t>ً</w:t>
      </w:r>
      <w:r>
        <w:rPr>
          <w:rFonts w:hint="cs"/>
          <w:rtl/>
        </w:rPr>
        <w:t>.</w:t>
      </w:r>
    </w:p>
    <w:p w:rsidR="00B329FD" w:rsidRPr="00FD6800" w:rsidRDefault="00B329FD" w:rsidP="00B329FD">
      <w:pPr>
        <w:pStyle w:val="H1GA"/>
        <w:rPr>
          <w:rtl/>
        </w:rPr>
      </w:pPr>
      <w:r>
        <w:rPr>
          <w:rFonts w:hint="cs"/>
          <w:rtl/>
        </w:rPr>
        <w:tab/>
      </w:r>
      <w:r>
        <w:rPr>
          <w:rtl/>
        </w:rPr>
        <w:t>باء</w:t>
      </w:r>
      <w:r>
        <w:rPr>
          <w:rFonts w:hint="cs"/>
          <w:rtl/>
        </w:rPr>
        <w:t>-</w:t>
      </w:r>
      <w:r>
        <w:rPr>
          <w:rFonts w:hint="cs"/>
          <w:rtl/>
        </w:rPr>
        <w:tab/>
      </w:r>
      <w:r w:rsidRPr="00FD6800">
        <w:rPr>
          <w:rtl/>
        </w:rPr>
        <w:t>الجوانب الإيجابية</w:t>
      </w:r>
    </w:p>
    <w:p w:rsidR="00B329FD" w:rsidRPr="007A426B" w:rsidRDefault="00B329FD" w:rsidP="00B329FD">
      <w:pPr>
        <w:pStyle w:val="SingleTxtGA"/>
        <w:rPr>
          <w:rtl/>
        </w:rPr>
      </w:pPr>
      <w:r w:rsidRPr="007A426B">
        <w:rPr>
          <w:rtl/>
        </w:rPr>
        <w:t>3-</w:t>
      </w:r>
      <w:r w:rsidRPr="007A426B">
        <w:rPr>
          <w:rtl/>
        </w:rPr>
        <w:tab/>
        <w:t xml:space="preserve">ترحب اللجنة </w:t>
      </w:r>
      <w:r>
        <w:rPr>
          <w:rFonts w:hint="cs"/>
          <w:rtl/>
        </w:rPr>
        <w:t>باتخاذ الدولة الطرف الخطوات التشريعية والمؤسسية التالية</w:t>
      </w:r>
      <w:r w:rsidRPr="007A426B">
        <w:rPr>
          <w:rtl/>
        </w:rPr>
        <w:t>:</w:t>
      </w:r>
    </w:p>
    <w:p w:rsidR="00B329FD" w:rsidRPr="00B53524" w:rsidRDefault="00B329FD" w:rsidP="00B329FD">
      <w:pPr>
        <w:pStyle w:val="SingleTxtGA"/>
      </w:pPr>
      <w:r>
        <w:rPr>
          <w:rFonts w:hint="cs"/>
          <w:rtl/>
        </w:rPr>
        <w:tab/>
        <w:t>(أ)</w:t>
      </w:r>
      <w:r>
        <w:rPr>
          <w:rFonts w:hint="cs"/>
          <w:rtl/>
        </w:rPr>
        <w:tab/>
      </w:r>
      <w:r w:rsidRPr="00B53524">
        <w:rPr>
          <w:rtl/>
        </w:rPr>
        <w:t>اعتماد خطة العمل الرامية إلى مكافحة الاتجار بالبشر، في عام 2009؛</w:t>
      </w:r>
    </w:p>
    <w:p w:rsidR="00B329FD" w:rsidRPr="00B53524" w:rsidRDefault="00B329FD" w:rsidP="00B329FD">
      <w:pPr>
        <w:pStyle w:val="SingleTxtGA"/>
        <w:rPr>
          <w:rFonts w:hint="cs"/>
        </w:rPr>
      </w:pPr>
      <w:r>
        <w:rPr>
          <w:rFonts w:hint="cs"/>
          <w:rtl/>
        </w:rPr>
        <w:tab/>
        <w:t>(ب)</w:t>
      </w:r>
      <w:r>
        <w:rPr>
          <w:rFonts w:hint="cs"/>
          <w:rtl/>
        </w:rPr>
        <w:tab/>
      </w:r>
      <w:r w:rsidRPr="00B53524">
        <w:rPr>
          <w:rtl/>
        </w:rPr>
        <w:t>الموافقة على ال</w:t>
      </w:r>
      <w:r>
        <w:rPr>
          <w:rtl/>
        </w:rPr>
        <w:t xml:space="preserve">خطة الأساسية الثالثة </w:t>
      </w:r>
      <w:r>
        <w:rPr>
          <w:rFonts w:hint="cs"/>
          <w:rtl/>
        </w:rPr>
        <w:t>ل</w:t>
      </w:r>
      <w:r w:rsidRPr="00B53524">
        <w:rPr>
          <w:rtl/>
        </w:rPr>
        <w:t>لمساواة بين الجنسين، في كانون الأول/ديسمبر 2010</w:t>
      </w:r>
      <w:r w:rsidR="00766B73">
        <w:rPr>
          <w:rFonts w:hint="cs"/>
          <w:rtl/>
        </w:rPr>
        <w:t>؛</w:t>
      </w:r>
    </w:p>
    <w:p w:rsidR="00B329FD" w:rsidRDefault="00B329FD" w:rsidP="00B329FD">
      <w:pPr>
        <w:pStyle w:val="SingleTxtGA"/>
        <w:rPr>
          <w:rtl/>
        </w:rPr>
      </w:pPr>
      <w:r>
        <w:rPr>
          <w:rFonts w:hint="cs"/>
          <w:rtl/>
        </w:rPr>
        <w:tab/>
      </w:r>
      <w:r w:rsidRPr="00B53524">
        <w:rPr>
          <w:rtl/>
        </w:rPr>
        <w:t>(ج)</w:t>
      </w:r>
      <w:r>
        <w:rPr>
          <w:rFonts w:hint="cs"/>
          <w:rtl/>
        </w:rPr>
        <w:tab/>
        <w:t>تعديل القانون المتعلق بالسكن العام لوقف استثناء الأزواج المنتمين إلى نفس الجنس من نظام السكن العام؛</w:t>
      </w:r>
    </w:p>
    <w:p w:rsidR="00B329FD" w:rsidRDefault="00B329FD" w:rsidP="00B329FD">
      <w:pPr>
        <w:pStyle w:val="SingleTxtGA"/>
        <w:rPr>
          <w:rtl/>
        </w:rPr>
      </w:pPr>
      <w:r>
        <w:rPr>
          <w:rFonts w:hint="cs"/>
          <w:rtl/>
        </w:rPr>
        <w:tab/>
        <w:t>(د)</w:t>
      </w:r>
      <w:r>
        <w:rPr>
          <w:rFonts w:hint="cs"/>
          <w:rtl/>
        </w:rPr>
        <w:tab/>
        <w:t>تعديل قانون الجنسية في عام 2008 والقانون المدني في عام 2013، وهو ما أفضى إلى إلغاء الأحكام التمييزية ضد الأطفال المولودين خارج نطاق الزواج.</w:t>
      </w:r>
    </w:p>
    <w:p w:rsidR="00B329FD" w:rsidRDefault="00B329FD" w:rsidP="00B329FD">
      <w:pPr>
        <w:pStyle w:val="SingleTxtGA"/>
        <w:rPr>
          <w:rtl/>
        </w:rPr>
      </w:pPr>
      <w:r>
        <w:rPr>
          <w:rFonts w:hint="cs"/>
          <w:rtl/>
        </w:rPr>
        <w:t>4-</w:t>
      </w:r>
      <w:r>
        <w:rPr>
          <w:rFonts w:hint="cs"/>
          <w:rtl/>
        </w:rPr>
        <w:tab/>
        <w:t>وترحب اللجنة بتصديق الدولة الطرف على الصكوك الدولية التالية:</w:t>
      </w:r>
    </w:p>
    <w:p w:rsidR="00B329FD" w:rsidRDefault="00E87AD5" w:rsidP="00E87AD5">
      <w:pPr>
        <w:pStyle w:val="SingleTxtGA"/>
      </w:pPr>
      <w:r>
        <w:rPr>
          <w:rFonts w:hint="cs"/>
          <w:rtl/>
        </w:rPr>
        <w:tab/>
        <w:t>(أ)</w:t>
      </w:r>
      <w:r>
        <w:rPr>
          <w:rFonts w:hint="cs"/>
          <w:rtl/>
        </w:rPr>
        <w:tab/>
      </w:r>
      <w:r w:rsidR="00B329FD">
        <w:rPr>
          <w:rFonts w:hint="cs"/>
          <w:rtl/>
        </w:rPr>
        <w:t>الاتفاقية الدولية لحماية جميع الأشخاص من الاختفاء القسري في عام</w:t>
      </w:r>
      <w:r>
        <w:rPr>
          <w:rFonts w:hint="eastAsia"/>
          <w:rtl/>
        </w:rPr>
        <w:t> </w:t>
      </w:r>
      <w:r w:rsidR="00B329FD">
        <w:rPr>
          <w:rFonts w:hint="cs"/>
          <w:rtl/>
        </w:rPr>
        <w:t>2009؛</w:t>
      </w:r>
    </w:p>
    <w:p w:rsidR="00B329FD" w:rsidRDefault="00E87AD5" w:rsidP="00B329FD">
      <w:pPr>
        <w:pStyle w:val="SingleTxtGA"/>
        <w:rPr>
          <w:rFonts w:hint="cs"/>
        </w:rPr>
      </w:pPr>
      <w:r>
        <w:rPr>
          <w:rFonts w:hint="cs"/>
          <w:rtl/>
        </w:rPr>
        <w:tab/>
        <w:t>(ب)</w:t>
      </w:r>
      <w:r>
        <w:rPr>
          <w:rFonts w:hint="cs"/>
          <w:rtl/>
        </w:rPr>
        <w:tab/>
      </w:r>
      <w:r w:rsidR="00B329FD">
        <w:rPr>
          <w:rFonts w:hint="cs"/>
          <w:rtl/>
        </w:rPr>
        <w:t xml:space="preserve">اتفاقية حقوق </w:t>
      </w:r>
      <w:r w:rsidR="00766B73">
        <w:rPr>
          <w:rFonts w:hint="cs"/>
          <w:rtl/>
        </w:rPr>
        <w:t>الأشخاص ذوي الإعاقة في عام 2014.</w:t>
      </w:r>
    </w:p>
    <w:p w:rsidR="00B329FD" w:rsidRPr="001E544C" w:rsidRDefault="00B329FD" w:rsidP="00B329FD">
      <w:pPr>
        <w:pStyle w:val="H1GA"/>
        <w:rPr>
          <w:rtl/>
        </w:rPr>
      </w:pPr>
      <w:r>
        <w:rPr>
          <w:rFonts w:hint="cs"/>
          <w:rtl/>
        </w:rPr>
        <w:tab/>
      </w:r>
      <w:r w:rsidRPr="001E544C">
        <w:rPr>
          <w:rFonts w:hint="cs"/>
          <w:rtl/>
        </w:rPr>
        <w:t>جيم</w:t>
      </w:r>
      <w:r>
        <w:rPr>
          <w:rFonts w:hint="cs"/>
          <w:rtl/>
        </w:rPr>
        <w:t>-</w:t>
      </w:r>
      <w:r>
        <w:rPr>
          <w:rFonts w:hint="cs"/>
          <w:rtl/>
        </w:rPr>
        <w:tab/>
      </w:r>
      <w:r w:rsidRPr="001E544C">
        <w:rPr>
          <w:rFonts w:hint="cs"/>
          <w:rtl/>
        </w:rPr>
        <w:t>دواعي القلق الرئيسية والتوصيات</w:t>
      </w:r>
    </w:p>
    <w:p w:rsidR="00B329FD" w:rsidRPr="001E544C" w:rsidRDefault="00B329FD" w:rsidP="00B329FD">
      <w:pPr>
        <w:pStyle w:val="H23GA"/>
        <w:rPr>
          <w:rtl/>
        </w:rPr>
      </w:pPr>
      <w:r>
        <w:rPr>
          <w:rFonts w:hint="cs"/>
          <w:rtl/>
        </w:rPr>
        <w:tab/>
      </w:r>
      <w:r>
        <w:rPr>
          <w:rFonts w:hint="cs"/>
          <w:rtl/>
        </w:rPr>
        <w:tab/>
      </w:r>
      <w:r w:rsidRPr="001E544C">
        <w:rPr>
          <w:rFonts w:hint="cs"/>
          <w:rtl/>
        </w:rPr>
        <w:t>الملاحظات الختامية السابقة</w:t>
      </w:r>
    </w:p>
    <w:p w:rsidR="00B329FD" w:rsidRDefault="00B329FD" w:rsidP="00B329FD">
      <w:pPr>
        <w:pStyle w:val="SingleTxtGA"/>
        <w:rPr>
          <w:rtl/>
        </w:rPr>
      </w:pPr>
      <w:r>
        <w:rPr>
          <w:rFonts w:hint="cs"/>
          <w:rtl/>
        </w:rPr>
        <w:t>5-</w:t>
      </w:r>
      <w:r>
        <w:rPr>
          <w:rFonts w:hint="cs"/>
          <w:rtl/>
        </w:rPr>
        <w:tab/>
        <w:t>تعرب اللجنة عن قلقها إزاء عدم تنفيذ التوصيات المقدمة بعد النظر في التقريرين الدوريين الرابع والخامس.</w:t>
      </w:r>
    </w:p>
    <w:p w:rsidR="00B329FD" w:rsidRDefault="00B329FD" w:rsidP="00B329FD">
      <w:pPr>
        <w:pStyle w:val="SingleTxtGA"/>
        <w:rPr>
          <w:rtl/>
        </w:rPr>
      </w:pPr>
      <w:r>
        <w:rPr>
          <w:rFonts w:hint="cs"/>
          <w:b/>
          <w:bCs/>
          <w:rtl/>
        </w:rPr>
        <w:tab/>
      </w:r>
      <w:r w:rsidRPr="00187808">
        <w:rPr>
          <w:rFonts w:hint="cs"/>
          <w:b/>
          <w:bCs/>
          <w:rtl/>
        </w:rPr>
        <w:t>ينبغي أن تنفذ الدولة الطرف التوصيات التي اعتمدتها اللجنة</w:t>
      </w:r>
      <w:r>
        <w:rPr>
          <w:rFonts w:hint="cs"/>
          <w:b/>
          <w:bCs/>
          <w:rtl/>
        </w:rPr>
        <w:t xml:space="preserve"> وترد في هذه الملاحظات الختامية</w:t>
      </w:r>
      <w:r w:rsidRPr="00187808">
        <w:rPr>
          <w:rFonts w:hint="cs"/>
          <w:b/>
          <w:bCs/>
          <w:rtl/>
        </w:rPr>
        <w:t xml:space="preserve"> وكذا في الملاحظات الختامية السابقة</w:t>
      </w:r>
      <w:r>
        <w:rPr>
          <w:rFonts w:hint="cs"/>
          <w:rtl/>
        </w:rPr>
        <w:t>.</w:t>
      </w:r>
    </w:p>
    <w:p w:rsidR="00B329FD" w:rsidRPr="001725C9" w:rsidRDefault="00B329FD" w:rsidP="00B329FD">
      <w:pPr>
        <w:pStyle w:val="H23GA"/>
        <w:rPr>
          <w:rtl/>
        </w:rPr>
      </w:pPr>
      <w:r>
        <w:rPr>
          <w:rFonts w:hint="cs"/>
          <w:rtl/>
        </w:rPr>
        <w:tab/>
      </w:r>
      <w:r>
        <w:rPr>
          <w:rFonts w:hint="cs"/>
          <w:rtl/>
        </w:rPr>
        <w:tab/>
      </w:r>
      <w:r w:rsidRPr="001725C9">
        <w:rPr>
          <w:rFonts w:hint="cs"/>
          <w:rtl/>
        </w:rPr>
        <w:t xml:space="preserve">قدرة المحاكم الوطنية على إعمال الحقوق المكفولة في العهدين </w:t>
      </w:r>
    </w:p>
    <w:p w:rsidR="00B329FD" w:rsidRDefault="00B329FD" w:rsidP="00B329FD">
      <w:pPr>
        <w:pStyle w:val="SingleTxtGA"/>
        <w:rPr>
          <w:rFonts w:hint="cs"/>
          <w:rtl/>
        </w:rPr>
      </w:pPr>
      <w:r>
        <w:rPr>
          <w:rFonts w:hint="cs"/>
          <w:rtl/>
        </w:rPr>
        <w:t>6-</w:t>
      </w:r>
      <w:r>
        <w:rPr>
          <w:rFonts w:hint="cs"/>
          <w:rtl/>
        </w:rPr>
        <w:tab/>
        <w:t>تلاحظ اللجنة أن للمعاهدات التي صدقت عليها الدولة الطرف مفعول القوانين المحلية، غير أنها تعرب عن قلقها إزاء قلة عدد الحالات التي أعملت فيها المحاكم القوانين المحمية بموجب العهد (المادة 2).</w:t>
      </w:r>
    </w:p>
    <w:p w:rsidR="00B329FD" w:rsidRDefault="00B329FD" w:rsidP="00E87AD5">
      <w:pPr>
        <w:pStyle w:val="SingleTxtGA"/>
        <w:rPr>
          <w:rtl/>
        </w:rPr>
      </w:pPr>
      <w:r>
        <w:rPr>
          <w:rFonts w:hint="cs"/>
          <w:b/>
          <w:bCs/>
          <w:rtl/>
        </w:rPr>
        <w:tab/>
        <w:t>تكرر</w:t>
      </w:r>
      <w:r w:rsidRPr="008B7AB5">
        <w:rPr>
          <w:rFonts w:hint="cs"/>
          <w:b/>
          <w:bCs/>
          <w:rtl/>
        </w:rPr>
        <w:t xml:space="preserve"> اللجنة توصياتها (انظر </w:t>
      </w:r>
      <w:r w:rsidRPr="001725C9">
        <w:rPr>
          <w:b/>
          <w:bCs/>
        </w:rPr>
        <w:t>CCPR/C/JPN/CO/5</w:t>
      </w:r>
      <w:r w:rsidRPr="008B7AB5">
        <w:rPr>
          <w:rFonts w:hint="cs"/>
          <w:b/>
          <w:bCs/>
          <w:rtl/>
        </w:rPr>
        <w:t>، الفقرة 7) وتناشد الدولة</w:t>
      </w:r>
      <w:r>
        <w:rPr>
          <w:rFonts w:hint="cs"/>
          <w:b/>
          <w:bCs/>
          <w:rtl/>
        </w:rPr>
        <w:t xml:space="preserve"> الطرف ضمان إدراج تطبيق </w:t>
      </w:r>
      <w:r w:rsidRPr="008B7AB5">
        <w:rPr>
          <w:rFonts w:hint="cs"/>
          <w:b/>
          <w:bCs/>
          <w:rtl/>
        </w:rPr>
        <w:t>العهد</w:t>
      </w:r>
      <w:r>
        <w:rPr>
          <w:rFonts w:hint="cs"/>
          <w:b/>
          <w:bCs/>
          <w:rtl/>
        </w:rPr>
        <w:t xml:space="preserve"> وتفسيره</w:t>
      </w:r>
      <w:r w:rsidRPr="008B7AB5">
        <w:rPr>
          <w:rFonts w:hint="cs"/>
          <w:b/>
          <w:bCs/>
          <w:rtl/>
        </w:rPr>
        <w:t xml:space="preserve"> </w:t>
      </w:r>
      <w:r>
        <w:rPr>
          <w:rFonts w:hint="cs"/>
          <w:b/>
          <w:bCs/>
          <w:rtl/>
        </w:rPr>
        <w:t>ضمن</w:t>
      </w:r>
      <w:r w:rsidRPr="008B7AB5">
        <w:rPr>
          <w:rFonts w:hint="cs"/>
          <w:b/>
          <w:bCs/>
          <w:rtl/>
        </w:rPr>
        <w:t xml:space="preserve"> التدريب المهني المقدم إلى المحامين والقضاة والمدعين العامين على جميع المستويات، بما في ذلك </w:t>
      </w:r>
      <w:r>
        <w:rPr>
          <w:rFonts w:hint="cs"/>
          <w:b/>
          <w:bCs/>
          <w:rtl/>
        </w:rPr>
        <w:t>في المحاكم الجزئية</w:t>
      </w:r>
      <w:r w:rsidRPr="008B7AB5">
        <w:rPr>
          <w:rFonts w:hint="cs"/>
          <w:b/>
          <w:bCs/>
          <w:rtl/>
        </w:rPr>
        <w:t>. وينبغي أن تضمن الدولة الطرف أيض</w:t>
      </w:r>
      <w:r w:rsidR="005D023E">
        <w:rPr>
          <w:rFonts w:hint="cs"/>
          <w:b/>
          <w:bCs/>
          <w:rtl/>
        </w:rPr>
        <w:t xml:space="preserve">اً </w:t>
      </w:r>
      <w:r w:rsidRPr="008B7AB5">
        <w:rPr>
          <w:rFonts w:hint="cs"/>
          <w:b/>
          <w:bCs/>
          <w:rtl/>
        </w:rPr>
        <w:t>إتاحة سبل الانتصاف الفعالة</w:t>
      </w:r>
      <w:r>
        <w:rPr>
          <w:rFonts w:hint="cs"/>
          <w:b/>
          <w:bCs/>
          <w:rtl/>
        </w:rPr>
        <w:t xml:space="preserve"> من حالات انتهاك الحقوق المحمية بموجب</w:t>
      </w:r>
      <w:r w:rsidRPr="008B7AB5">
        <w:rPr>
          <w:rFonts w:hint="cs"/>
          <w:b/>
          <w:bCs/>
          <w:rtl/>
        </w:rPr>
        <w:t xml:space="preserve"> العهد. وينبغي أن تنظر الدولة الطرف في الانضمام إلى البروتوكول الاختياري الملحق</w:t>
      </w:r>
      <w:r>
        <w:rPr>
          <w:rFonts w:hint="cs"/>
          <w:b/>
          <w:bCs/>
          <w:rtl/>
        </w:rPr>
        <w:t xml:space="preserve"> بالعهد، الذي ينص على إجراءات لتلقي الشكاوى الفردية</w:t>
      </w:r>
      <w:r>
        <w:rPr>
          <w:rFonts w:hint="cs"/>
          <w:rtl/>
        </w:rPr>
        <w:t>.</w:t>
      </w:r>
    </w:p>
    <w:p w:rsidR="00B329FD" w:rsidRPr="008B7AB5" w:rsidRDefault="001045E9" w:rsidP="00B329FD">
      <w:pPr>
        <w:pStyle w:val="H23GA"/>
        <w:rPr>
          <w:rtl/>
        </w:rPr>
      </w:pPr>
      <w:r>
        <w:rPr>
          <w:rtl/>
        </w:rPr>
        <w:br w:type="page"/>
      </w:r>
      <w:r w:rsidR="00B329FD">
        <w:rPr>
          <w:rFonts w:hint="cs"/>
          <w:rtl/>
        </w:rPr>
        <w:tab/>
      </w:r>
      <w:r w:rsidR="00B329FD">
        <w:rPr>
          <w:rFonts w:hint="cs"/>
          <w:rtl/>
        </w:rPr>
        <w:tab/>
      </w:r>
      <w:r w:rsidR="00B329FD" w:rsidRPr="008B7AB5">
        <w:rPr>
          <w:rFonts w:hint="cs"/>
          <w:rtl/>
        </w:rPr>
        <w:t>المؤسسة الوطنية لحقوق الإنسان</w:t>
      </w:r>
    </w:p>
    <w:p w:rsidR="00B329FD" w:rsidRDefault="00B329FD" w:rsidP="00B329FD">
      <w:pPr>
        <w:pStyle w:val="SingleTxtGA"/>
        <w:rPr>
          <w:rtl/>
        </w:rPr>
      </w:pPr>
      <w:r>
        <w:rPr>
          <w:rFonts w:hint="cs"/>
          <w:rtl/>
        </w:rPr>
        <w:t>7-</w:t>
      </w:r>
      <w:r>
        <w:rPr>
          <w:rFonts w:hint="cs"/>
          <w:rtl/>
        </w:rPr>
        <w:tab/>
        <w:t>تلاحظ اللجنة مع الأسف أن الدولة الطرف لم تحرز أي تقدم صوب إنشاء مؤسسة وطنية معززة لحقوق الإنسان منذ أن تخلت عن قانون لجنة حقوق الإنسان في تشرين الثاني/نوفمبر 2012 (المادة 2).</w:t>
      </w:r>
    </w:p>
    <w:p w:rsidR="00B329FD" w:rsidRPr="00FC06E1" w:rsidRDefault="00B329FD" w:rsidP="00B329FD">
      <w:pPr>
        <w:pStyle w:val="SingleTxtGA"/>
        <w:rPr>
          <w:b/>
          <w:bCs/>
          <w:rtl/>
        </w:rPr>
      </w:pPr>
      <w:r>
        <w:rPr>
          <w:rFonts w:hint="cs"/>
          <w:b/>
          <w:bCs/>
          <w:rtl/>
        </w:rPr>
        <w:tab/>
      </w:r>
      <w:r w:rsidRPr="00FC06E1">
        <w:rPr>
          <w:rFonts w:hint="cs"/>
          <w:b/>
          <w:bCs/>
          <w:rtl/>
        </w:rPr>
        <w:t>تذكر اللجنة بتوصيات</w:t>
      </w:r>
      <w:r>
        <w:rPr>
          <w:rFonts w:hint="cs"/>
          <w:b/>
          <w:bCs/>
          <w:rtl/>
        </w:rPr>
        <w:t>ها</w:t>
      </w:r>
      <w:r w:rsidRPr="00FC06E1">
        <w:rPr>
          <w:rFonts w:hint="cs"/>
          <w:b/>
          <w:bCs/>
          <w:rtl/>
        </w:rPr>
        <w:t xml:space="preserve"> السابقة (انظر </w:t>
      </w:r>
      <w:r w:rsidRPr="001725C9">
        <w:rPr>
          <w:b/>
          <w:bCs/>
        </w:rPr>
        <w:t>CCPR/C/JPN/CO/5</w:t>
      </w:r>
      <w:r w:rsidRPr="00FC06E1">
        <w:rPr>
          <w:rFonts w:hint="cs"/>
          <w:b/>
          <w:bCs/>
          <w:rtl/>
        </w:rPr>
        <w:t xml:space="preserve">، الفقرة 9) وتوصي الدولة الطرف </w:t>
      </w:r>
      <w:r>
        <w:rPr>
          <w:rFonts w:hint="cs"/>
          <w:b/>
          <w:bCs/>
          <w:rtl/>
        </w:rPr>
        <w:t>بأن تعيد النظر</w:t>
      </w:r>
      <w:r w:rsidRPr="00FC06E1">
        <w:rPr>
          <w:rFonts w:hint="cs"/>
          <w:b/>
          <w:bCs/>
          <w:rtl/>
        </w:rPr>
        <w:t xml:space="preserve"> في إنشاء مؤسسة وطنية مستقلة لحقوق الإنسان تتمتع بولاية واسعة </w:t>
      </w:r>
      <w:r>
        <w:rPr>
          <w:rFonts w:hint="cs"/>
          <w:b/>
          <w:bCs/>
          <w:rtl/>
        </w:rPr>
        <w:t xml:space="preserve">النطاق </w:t>
      </w:r>
      <w:r w:rsidRPr="00FC06E1">
        <w:rPr>
          <w:rFonts w:hint="cs"/>
          <w:b/>
          <w:bCs/>
          <w:rtl/>
        </w:rPr>
        <w:t>فيما يتعلق بحقوق الإنسان، وتزو</w:t>
      </w:r>
      <w:r>
        <w:rPr>
          <w:rFonts w:hint="cs"/>
          <w:b/>
          <w:bCs/>
          <w:rtl/>
        </w:rPr>
        <w:t>ّ</w:t>
      </w:r>
      <w:r w:rsidRPr="00FC06E1">
        <w:rPr>
          <w:rFonts w:hint="cs"/>
          <w:b/>
          <w:bCs/>
          <w:rtl/>
        </w:rPr>
        <w:t xml:space="preserve">دها </w:t>
      </w:r>
      <w:r>
        <w:rPr>
          <w:rFonts w:hint="cs"/>
          <w:b/>
          <w:bCs/>
          <w:rtl/>
        </w:rPr>
        <w:t>ب</w:t>
      </w:r>
      <w:r w:rsidRPr="00FC06E1">
        <w:rPr>
          <w:rFonts w:hint="cs"/>
          <w:b/>
          <w:bCs/>
          <w:rtl/>
        </w:rPr>
        <w:t>الموا</w:t>
      </w:r>
      <w:r>
        <w:rPr>
          <w:rFonts w:hint="cs"/>
          <w:b/>
          <w:bCs/>
          <w:rtl/>
        </w:rPr>
        <w:t>رد</w:t>
      </w:r>
      <w:r w:rsidRPr="00FC06E1">
        <w:rPr>
          <w:rFonts w:hint="cs"/>
          <w:b/>
          <w:bCs/>
          <w:rtl/>
        </w:rPr>
        <w:t xml:space="preserve"> المالية والبشرية الكافية، تمشي</w:t>
      </w:r>
      <w:r w:rsidR="005D023E">
        <w:rPr>
          <w:rFonts w:hint="cs"/>
          <w:b/>
          <w:bCs/>
          <w:rtl/>
        </w:rPr>
        <w:t xml:space="preserve">اً </w:t>
      </w:r>
      <w:r w:rsidRPr="00FC06E1">
        <w:rPr>
          <w:rFonts w:hint="cs"/>
          <w:b/>
          <w:bCs/>
          <w:rtl/>
        </w:rPr>
        <w:t xml:space="preserve">مع المبادئ المتعلقة </w:t>
      </w:r>
      <w:r>
        <w:rPr>
          <w:rFonts w:hint="cs"/>
          <w:b/>
          <w:bCs/>
          <w:rtl/>
        </w:rPr>
        <w:t>بمركز المؤسسات الوطنية لتعزيز وحماية حقوق الإنسان</w:t>
      </w:r>
      <w:r w:rsidRPr="00FC06E1">
        <w:rPr>
          <w:rFonts w:hint="cs"/>
          <w:b/>
          <w:bCs/>
          <w:rtl/>
        </w:rPr>
        <w:t xml:space="preserve"> (مبادئ باريس) (قرار الجمعية العامة 48/134، المرفق).</w:t>
      </w:r>
    </w:p>
    <w:p w:rsidR="00B329FD" w:rsidRPr="00FC06E1" w:rsidRDefault="00B329FD" w:rsidP="00B329FD">
      <w:pPr>
        <w:pStyle w:val="H23GA"/>
        <w:rPr>
          <w:rtl/>
        </w:rPr>
      </w:pPr>
      <w:r>
        <w:rPr>
          <w:rFonts w:hint="cs"/>
          <w:rtl/>
        </w:rPr>
        <w:tab/>
      </w:r>
      <w:r>
        <w:rPr>
          <w:rFonts w:hint="cs"/>
          <w:rtl/>
        </w:rPr>
        <w:tab/>
      </w:r>
      <w:r w:rsidRPr="00FC06E1">
        <w:rPr>
          <w:rFonts w:hint="cs"/>
          <w:rtl/>
        </w:rPr>
        <w:t>المساواة بين الجنسين</w:t>
      </w:r>
    </w:p>
    <w:p w:rsidR="00B329FD" w:rsidRDefault="00B329FD" w:rsidP="00B329FD">
      <w:pPr>
        <w:pStyle w:val="SingleTxtGA"/>
        <w:rPr>
          <w:rtl/>
        </w:rPr>
      </w:pPr>
      <w:r>
        <w:rPr>
          <w:rFonts w:hint="cs"/>
          <w:rtl/>
        </w:rPr>
        <w:t>8-</w:t>
      </w:r>
      <w:r>
        <w:rPr>
          <w:rFonts w:hint="cs"/>
          <w:rtl/>
        </w:rPr>
        <w:tab/>
        <w:t>تعرب اللجنة عن قلقها لاستمرار الدولة الطرف في رفض تعديل أحكام القانون المدني التمييزية التي تحظر على النساء الزواج ثانية خلال الأشهر الستة التي تلي الطلاق وتحدد سن</w:t>
      </w:r>
      <w:r w:rsidR="005D023E">
        <w:rPr>
          <w:rFonts w:hint="cs"/>
          <w:rtl/>
        </w:rPr>
        <w:t xml:space="preserve">اً </w:t>
      </w:r>
      <w:r>
        <w:rPr>
          <w:rFonts w:hint="cs"/>
          <w:rtl/>
        </w:rPr>
        <w:t>مختلفة لزواج الرجال والنساء، بتعلّة أن هذا الأمر قد "يؤثر في المفهوم الأساسي لمؤسسة الزواج والأسرة" (المواد 2 و3 و23 و26).</w:t>
      </w:r>
    </w:p>
    <w:p w:rsidR="00B329FD" w:rsidRPr="000D45F1" w:rsidRDefault="00B329FD" w:rsidP="00B329FD">
      <w:pPr>
        <w:pStyle w:val="SingleTxtGA"/>
        <w:rPr>
          <w:b/>
          <w:bCs/>
          <w:rtl/>
        </w:rPr>
      </w:pPr>
      <w:r>
        <w:rPr>
          <w:rFonts w:hint="cs"/>
          <w:b/>
          <w:bCs/>
          <w:rtl/>
        </w:rPr>
        <w:tab/>
      </w:r>
      <w:r w:rsidRPr="000D45F1">
        <w:rPr>
          <w:rFonts w:hint="cs"/>
          <w:b/>
          <w:bCs/>
          <w:rtl/>
        </w:rPr>
        <w:t>ينبغي أن تضمن الدولة الطرف عدم استخدام القوالب النمطية المتعلقة بأدوار النساء والرجال داخل الأسرة والمجتمع لتبرير حالات انتهاك حق المرأة في المساواة مع الرجل أمام القانون. و</w:t>
      </w:r>
      <w:r>
        <w:rPr>
          <w:rFonts w:hint="cs"/>
          <w:b/>
          <w:bCs/>
          <w:rtl/>
        </w:rPr>
        <w:t>عليه</w:t>
      </w:r>
      <w:r w:rsidRPr="000D45F1">
        <w:rPr>
          <w:rFonts w:hint="cs"/>
          <w:b/>
          <w:bCs/>
          <w:rtl/>
        </w:rPr>
        <w:t xml:space="preserve"> ينبغي أن تتخذ الدولة الطرف إجراءات عاجلة لتعديل القانون المدني على هذا الأساس.</w:t>
      </w:r>
    </w:p>
    <w:p w:rsidR="00B329FD" w:rsidRDefault="00B329FD" w:rsidP="00B329FD">
      <w:pPr>
        <w:pStyle w:val="SingleTxtGA"/>
        <w:rPr>
          <w:rtl/>
        </w:rPr>
      </w:pPr>
      <w:r>
        <w:rPr>
          <w:rFonts w:hint="cs"/>
          <w:rtl/>
        </w:rPr>
        <w:t>9-</w:t>
      </w:r>
      <w:r>
        <w:rPr>
          <w:rFonts w:hint="cs"/>
          <w:rtl/>
        </w:rPr>
        <w:tab/>
        <w:t>وترحب اللجنة باعتماد الخطة الأساسية الثالثة للمساواة بين الجنسين لكن تعرب عن قلقها إزاء أثرها المحدود بالنظر إلى تدني مستوى النساء اللائي يشغلن وظائف سياسية. وتعرب عن أسفها لعدم توافر معلومات بشأن مشاركة نساء الأقليات، بمن فيهن نساء بوراكو، في مواقع رسم السياسات. وتعرب عن قلقها إزاء التقارير التي تفيد بأن النساء يمثلن</w:t>
      </w:r>
      <w:r>
        <w:rPr>
          <w:rFonts w:hint="eastAsia"/>
          <w:rtl/>
        </w:rPr>
        <w:t> </w:t>
      </w:r>
      <w:r>
        <w:rPr>
          <w:rFonts w:hint="cs"/>
          <w:rtl/>
        </w:rPr>
        <w:t>70 في المائة من العاملين لبعض الوقت ويتقاضين في المتوسط أجور</w:t>
      </w:r>
      <w:r w:rsidR="005D023E">
        <w:rPr>
          <w:rFonts w:hint="cs"/>
          <w:rtl/>
        </w:rPr>
        <w:t xml:space="preserve">اً </w:t>
      </w:r>
      <w:r>
        <w:rPr>
          <w:rFonts w:hint="cs"/>
          <w:rtl/>
        </w:rPr>
        <w:t>تعادل 58 في المائة من الأجور التي يتقاضاها الرجال لقاء عمل مساو. كما تعرب اللجنة عن قلقها إزاء عدم اتخاذ تدابير عقابية ضد أعمال التحرش الجنسي وفصل النساء نتيجة الحمل أو الولادة (المواد</w:t>
      </w:r>
      <w:r>
        <w:rPr>
          <w:rFonts w:hint="eastAsia"/>
          <w:rtl/>
        </w:rPr>
        <w:t> </w:t>
      </w:r>
      <w:r>
        <w:rPr>
          <w:rFonts w:hint="cs"/>
          <w:rtl/>
        </w:rPr>
        <w:t xml:space="preserve">2 و3 و26). </w:t>
      </w:r>
    </w:p>
    <w:p w:rsidR="00B329FD" w:rsidRPr="00280B09" w:rsidRDefault="00B329FD" w:rsidP="00B329FD">
      <w:pPr>
        <w:pStyle w:val="SingleTxtGA"/>
        <w:rPr>
          <w:b/>
          <w:bCs/>
          <w:rtl/>
        </w:rPr>
      </w:pPr>
      <w:r>
        <w:rPr>
          <w:rFonts w:hint="cs"/>
          <w:b/>
          <w:bCs/>
          <w:rtl/>
        </w:rPr>
        <w:tab/>
      </w:r>
      <w:r w:rsidRPr="00280B09">
        <w:rPr>
          <w:rFonts w:hint="cs"/>
          <w:b/>
          <w:bCs/>
          <w:rtl/>
        </w:rPr>
        <w:t xml:space="preserve">ينبغي أن ترصد اللجنة الدولة الطرف وتقيم بصورة فعالة التقدم المحرز فيما يتعلق </w:t>
      </w:r>
      <w:r>
        <w:rPr>
          <w:rFonts w:hint="cs"/>
          <w:b/>
          <w:bCs/>
          <w:rtl/>
        </w:rPr>
        <w:t>ب</w:t>
      </w:r>
      <w:r w:rsidRPr="00280B09">
        <w:rPr>
          <w:rFonts w:hint="cs"/>
          <w:b/>
          <w:bCs/>
          <w:rtl/>
        </w:rPr>
        <w:t>الخطة الأساسية الثالثة للمساواة بين الجنسين و</w:t>
      </w:r>
      <w:r>
        <w:rPr>
          <w:rFonts w:hint="cs"/>
          <w:b/>
          <w:bCs/>
          <w:rtl/>
        </w:rPr>
        <w:t xml:space="preserve">أن </w:t>
      </w:r>
      <w:r w:rsidRPr="00280B09">
        <w:rPr>
          <w:rFonts w:hint="cs"/>
          <w:b/>
          <w:bCs/>
          <w:rtl/>
        </w:rPr>
        <w:t xml:space="preserve">تتخذ إجراءات فعالة لزيادة </w:t>
      </w:r>
      <w:r>
        <w:rPr>
          <w:rFonts w:hint="cs"/>
          <w:b/>
          <w:bCs/>
          <w:rtl/>
        </w:rPr>
        <w:t>مش</w:t>
      </w:r>
      <w:r w:rsidRPr="00280B09">
        <w:rPr>
          <w:rFonts w:hint="cs"/>
          <w:b/>
          <w:bCs/>
          <w:rtl/>
        </w:rPr>
        <w:t xml:space="preserve">اركة النساء في القطاع العام، بطرق منها </w:t>
      </w:r>
      <w:r>
        <w:rPr>
          <w:rFonts w:hint="cs"/>
          <w:b/>
          <w:bCs/>
          <w:rtl/>
        </w:rPr>
        <w:t xml:space="preserve">اتخاذ </w:t>
      </w:r>
      <w:r w:rsidRPr="00280B09">
        <w:rPr>
          <w:rFonts w:hint="cs"/>
          <w:b/>
          <w:bCs/>
          <w:rtl/>
        </w:rPr>
        <w:t>تداب</w:t>
      </w:r>
      <w:r>
        <w:rPr>
          <w:rFonts w:hint="cs"/>
          <w:b/>
          <w:bCs/>
          <w:rtl/>
        </w:rPr>
        <w:t>ير خاصة مؤقتة، مثل اعتماد الحصص القانونية</w:t>
      </w:r>
      <w:r w:rsidRPr="00280B09">
        <w:rPr>
          <w:rFonts w:hint="cs"/>
          <w:b/>
          <w:bCs/>
          <w:rtl/>
        </w:rPr>
        <w:t xml:space="preserve"> في الأحزاب السياسية. وينبغي أن تتخذ تدابير ملموسة لتقييم ودعم المشاركة الس</w:t>
      </w:r>
      <w:r>
        <w:rPr>
          <w:rFonts w:hint="cs"/>
          <w:b/>
          <w:bCs/>
          <w:rtl/>
        </w:rPr>
        <w:t>ياسية لنساء الأقليات، بمن فيهن</w:t>
      </w:r>
      <w:r w:rsidRPr="00280B09">
        <w:rPr>
          <w:rFonts w:hint="cs"/>
          <w:b/>
          <w:bCs/>
          <w:rtl/>
        </w:rPr>
        <w:t xml:space="preserve"> نساء بوراكو، وتشج</w:t>
      </w:r>
      <w:r>
        <w:rPr>
          <w:rFonts w:hint="cs"/>
          <w:b/>
          <w:bCs/>
          <w:rtl/>
        </w:rPr>
        <w:t>ع توظيف النساء كعاملات</w:t>
      </w:r>
      <w:r w:rsidRPr="00280B09">
        <w:rPr>
          <w:rFonts w:hint="cs"/>
          <w:b/>
          <w:bCs/>
          <w:rtl/>
        </w:rPr>
        <w:t xml:space="preserve"> </w:t>
      </w:r>
      <w:r>
        <w:rPr>
          <w:rFonts w:hint="cs"/>
          <w:b/>
          <w:bCs/>
          <w:rtl/>
        </w:rPr>
        <w:t>متفرّغات</w:t>
      </w:r>
      <w:r w:rsidRPr="00280B09">
        <w:rPr>
          <w:rFonts w:hint="cs"/>
          <w:b/>
          <w:bCs/>
          <w:rtl/>
        </w:rPr>
        <w:t>، و</w:t>
      </w:r>
      <w:r>
        <w:rPr>
          <w:rFonts w:hint="cs"/>
          <w:b/>
          <w:bCs/>
          <w:rtl/>
        </w:rPr>
        <w:t>ت</w:t>
      </w:r>
      <w:r w:rsidRPr="00280B09">
        <w:rPr>
          <w:rFonts w:hint="cs"/>
          <w:b/>
          <w:bCs/>
          <w:rtl/>
        </w:rPr>
        <w:t xml:space="preserve">ضاعف جهودها الرامية إلى سد </w:t>
      </w:r>
      <w:r>
        <w:rPr>
          <w:rFonts w:hint="cs"/>
          <w:b/>
          <w:bCs/>
          <w:rtl/>
        </w:rPr>
        <w:t>الفجوة</w:t>
      </w:r>
      <w:r w:rsidRPr="00280B09">
        <w:rPr>
          <w:rFonts w:hint="cs"/>
          <w:b/>
          <w:bCs/>
          <w:rtl/>
        </w:rPr>
        <w:t xml:space="preserve"> </w:t>
      </w:r>
      <w:r>
        <w:rPr>
          <w:rFonts w:hint="cs"/>
          <w:b/>
          <w:bCs/>
          <w:rtl/>
        </w:rPr>
        <w:t xml:space="preserve">في </w:t>
      </w:r>
      <w:r w:rsidRPr="00280B09">
        <w:rPr>
          <w:rFonts w:hint="cs"/>
          <w:b/>
          <w:bCs/>
          <w:rtl/>
        </w:rPr>
        <w:t>الأجور بين الرجال والنساء. وينبغي أن تتخذ أيض</w:t>
      </w:r>
      <w:r w:rsidR="005D023E">
        <w:rPr>
          <w:rFonts w:hint="cs"/>
          <w:b/>
          <w:bCs/>
          <w:rtl/>
        </w:rPr>
        <w:t xml:space="preserve">اً </w:t>
      </w:r>
      <w:r w:rsidRPr="00280B09">
        <w:rPr>
          <w:rFonts w:hint="cs"/>
          <w:b/>
          <w:bCs/>
          <w:rtl/>
        </w:rPr>
        <w:t xml:space="preserve">التدابير التشريعية </w:t>
      </w:r>
      <w:r>
        <w:rPr>
          <w:rFonts w:hint="cs"/>
          <w:b/>
          <w:bCs/>
          <w:rtl/>
        </w:rPr>
        <w:t>الضرورية لتجريم التحرش الجنسي و</w:t>
      </w:r>
      <w:r w:rsidRPr="00280B09">
        <w:rPr>
          <w:rFonts w:hint="cs"/>
          <w:b/>
          <w:bCs/>
          <w:rtl/>
        </w:rPr>
        <w:t xml:space="preserve">حظر المعاملة </w:t>
      </w:r>
      <w:r>
        <w:rPr>
          <w:rFonts w:hint="cs"/>
          <w:b/>
          <w:bCs/>
          <w:rtl/>
        </w:rPr>
        <w:t>الجائرة</w:t>
      </w:r>
      <w:r w:rsidRPr="00280B09">
        <w:rPr>
          <w:rFonts w:hint="cs"/>
          <w:b/>
          <w:bCs/>
          <w:rtl/>
        </w:rPr>
        <w:t xml:space="preserve"> القائمة على الحمل والولادة </w:t>
      </w:r>
      <w:r>
        <w:rPr>
          <w:rFonts w:hint="cs"/>
          <w:b/>
          <w:bCs/>
          <w:rtl/>
        </w:rPr>
        <w:t>والمعاقبة عليها على النحو الواجب.</w:t>
      </w:r>
    </w:p>
    <w:p w:rsidR="00B329FD" w:rsidRPr="00280B09" w:rsidRDefault="00B329FD" w:rsidP="00B329FD">
      <w:pPr>
        <w:pStyle w:val="H23GA"/>
        <w:rPr>
          <w:rtl/>
        </w:rPr>
      </w:pPr>
      <w:r>
        <w:rPr>
          <w:rFonts w:hint="cs"/>
          <w:rtl/>
        </w:rPr>
        <w:tab/>
      </w:r>
      <w:r>
        <w:rPr>
          <w:rFonts w:hint="cs"/>
          <w:rtl/>
        </w:rPr>
        <w:tab/>
      </w:r>
      <w:r w:rsidRPr="00280B09">
        <w:rPr>
          <w:rFonts w:hint="cs"/>
          <w:rtl/>
        </w:rPr>
        <w:t>العنف القائم على الجنس والعنف المنزلي</w:t>
      </w:r>
    </w:p>
    <w:p w:rsidR="00B329FD" w:rsidRDefault="00B329FD" w:rsidP="00EB70D4">
      <w:pPr>
        <w:pStyle w:val="SingleTxtGA"/>
        <w:rPr>
          <w:rFonts w:hint="cs"/>
          <w:rtl/>
        </w:rPr>
      </w:pPr>
      <w:r>
        <w:rPr>
          <w:rFonts w:hint="cs"/>
          <w:rtl/>
        </w:rPr>
        <w:t>10-</w:t>
      </w:r>
      <w:r>
        <w:rPr>
          <w:rFonts w:hint="cs"/>
          <w:rtl/>
        </w:rPr>
        <w:tab/>
        <w:t>تعرب اللجنة عن أسفها لأنه رغم توصياتها السابقة لم تحرز الدولة الطرف أي تقدم فيما يتعلق بتوسيع نطاق تعريف الاغتصاب في القانون الجنائي، وتحديد سن الموافقة على إقامة علاقات جنسية فوق الثالثة عشرة، والقيام، بحكم صفتها، بملاحقة المتورطين في الاغتصاب وغيره من الجرائم الجنسية. وتلاحظ مع القلق أن العنف المنزلي مازال متفشي</w:t>
      </w:r>
      <w:r w:rsidR="005D023E">
        <w:rPr>
          <w:rFonts w:hint="cs"/>
          <w:rtl/>
        </w:rPr>
        <w:t xml:space="preserve">اً </w:t>
      </w:r>
      <w:r>
        <w:rPr>
          <w:rFonts w:hint="cs"/>
          <w:rtl/>
        </w:rPr>
        <w:t>وأن</w:t>
      </w:r>
      <w:r w:rsidR="00EB70D4">
        <w:rPr>
          <w:rFonts w:hint="eastAsia"/>
          <w:rtl/>
        </w:rPr>
        <w:t> </w:t>
      </w:r>
      <w:r>
        <w:rPr>
          <w:rFonts w:hint="cs"/>
          <w:rtl/>
        </w:rPr>
        <w:t>عملية إصدار أوامر الحماية تستغرق وقتاً طويلاً جداً وأن عدد الأشخاص المعاقبين لتورطهم في هذه الجريمة منخفض جد</w:t>
      </w:r>
      <w:r w:rsidR="005D023E">
        <w:rPr>
          <w:rFonts w:hint="cs"/>
          <w:rtl/>
        </w:rPr>
        <w:t xml:space="preserve">اً. </w:t>
      </w:r>
      <w:r>
        <w:rPr>
          <w:rFonts w:hint="cs"/>
          <w:rtl/>
        </w:rPr>
        <w:t>وتعرب اللجنة عن قلقها إزاء التقارير التي تشير إلى عدم كفاية</w:t>
      </w:r>
      <w:r>
        <w:rPr>
          <w:rFonts w:hint="eastAsia"/>
          <w:rtl/>
        </w:rPr>
        <w:t> </w:t>
      </w:r>
      <w:r>
        <w:rPr>
          <w:rFonts w:hint="cs"/>
          <w:rtl/>
        </w:rPr>
        <w:t>الحماية المقدمة إلى الأزواج المنتمين إلى نفس الجنس والنساء المهاجرات (المواد 3 و6 و7 و26).</w:t>
      </w:r>
    </w:p>
    <w:p w:rsidR="00B329FD" w:rsidRDefault="00EB70D4" w:rsidP="00B329FD">
      <w:pPr>
        <w:pStyle w:val="SingleTxtGA"/>
        <w:rPr>
          <w:rtl/>
        </w:rPr>
      </w:pPr>
      <w:r>
        <w:rPr>
          <w:rFonts w:hint="cs"/>
          <w:b/>
          <w:bCs/>
          <w:rtl/>
        </w:rPr>
        <w:tab/>
      </w:r>
      <w:r w:rsidR="00B329FD" w:rsidRPr="004B594A">
        <w:rPr>
          <w:rFonts w:hint="cs"/>
          <w:b/>
          <w:bCs/>
          <w:rtl/>
        </w:rPr>
        <w:t>تمشي</w:t>
      </w:r>
      <w:r w:rsidR="005D023E">
        <w:rPr>
          <w:rFonts w:hint="cs"/>
          <w:b/>
          <w:bCs/>
          <w:rtl/>
        </w:rPr>
        <w:t xml:space="preserve">اً </w:t>
      </w:r>
      <w:r w:rsidR="00B329FD" w:rsidRPr="004B594A">
        <w:rPr>
          <w:rFonts w:hint="cs"/>
          <w:b/>
          <w:bCs/>
          <w:rtl/>
        </w:rPr>
        <w:t xml:space="preserve">مع التوصيات السابقة للجنة (انظر </w:t>
      </w:r>
      <w:r w:rsidR="00B329FD" w:rsidRPr="001725C9">
        <w:rPr>
          <w:b/>
          <w:bCs/>
        </w:rPr>
        <w:t>CCPR/C/JPN/CO/5</w:t>
      </w:r>
      <w:r w:rsidR="00B329FD" w:rsidRPr="004B594A">
        <w:rPr>
          <w:rFonts w:hint="cs"/>
          <w:b/>
          <w:bCs/>
          <w:rtl/>
        </w:rPr>
        <w:t>، الفقرتان 14 و15) ينبغي أن تتخذ الدولة الطرف إجراءات ملموسة لملاحقة المتورطين في الاغتصاب وغيره من جرائم العنف الج</w:t>
      </w:r>
      <w:r w:rsidR="00B329FD">
        <w:rPr>
          <w:rFonts w:hint="cs"/>
          <w:b/>
          <w:bCs/>
          <w:rtl/>
        </w:rPr>
        <w:t>نسي بحكم صفتها، والقيام دون تأخير برفع سن الموافقة على إقامة</w:t>
      </w:r>
      <w:r w:rsidR="00B329FD" w:rsidRPr="004B594A">
        <w:rPr>
          <w:rFonts w:hint="cs"/>
          <w:b/>
          <w:bCs/>
          <w:rtl/>
        </w:rPr>
        <w:t xml:space="preserve"> علاقات جنسية</w:t>
      </w:r>
      <w:r w:rsidR="00B329FD">
        <w:rPr>
          <w:rFonts w:hint="cs"/>
          <w:b/>
          <w:bCs/>
          <w:rtl/>
        </w:rPr>
        <w:t>، ومراجعة عناصر جريمة الاغتصاب</w:t>
      </w:r>
      <w:r w:rsidR="00B329FD" w:rsidRPr="004B594A">
        <w:rPr>
          <w:rFonts w:hint="cs"/>
          <w:b/>
          <w:bCs/>
          <w:rtl/>
        </w:rPr>
        <w:t xml:space="preserve"> كما هي محددة في الخطة الأساسية الثالثة للمساواة بين الجنسين. وينبغي أن </w:t>
      </w:r>
      <w:r w:rsidR="00B329FD">
        <w:rPr>
          <w:rFonts w:hint="cs"/>
          <w:b/>
          <w:bCs/>
          <w:rtl/>
        </w:rPr>
        <w:t>تكثف الدولة الطرف جهودها الرامية إلى</w:t>
      </w:r>
      <w:r w:rsidR="00B329FD" w:rsidRPr="004B594A">
        <w:rPr>
          <w:rFonts w:hint="cs"/>
          <w:b/>
          <w:bCs/>
          <w:rtl/>
        </w:rPr>
        <w:t xml:space="preserve"> ضمان </w:t>
      </w:r>
      <w:r w:rsidR="00B329FD">
        <w:rPr>
          <w:rFonts w:hint="cs"/>
          <w:b/>
          <w:bCs/>
          <w:rtl/>
        </w:rPr>
        <w:t xml:space="preserve">إجراء </w:t>
      </w:r>
      <w:r w:rsidR="00B329FD" w:rsidRPr="004B594A">
        <w:rPr>
          <w:rFonts w:hint="cs"/>
          <w:b/>
          <w:bCs/>
          <w:rtl/>
        </w:rPr>
        <w:t xml:space="preserve">تحقيق </w:t>
      </w:r>
      <w:r w:rsidR="00B329FD">
        <w:rPr>
          <w:rFonts w:hint="cs"/>
          <w:b/>
          <w:bCs/>
          <w:rtl/>
        </w:rPr>
        <w:t xml:space="preserve">متعمق </w:t>
      </w:r>
      <w:r w:rsidR="00B329FD" w:rsidRPr="004B594A">
        <w:rPr>
          <w:rFonts w:hint="cs"/>
          <w:b/>
          <w:bCs/>
          <w:rtl/>
        </w:rPr>
        <w:t>في جم</w:t>
      </w:r>
      <w:r w:rsidR="00B329FD">
        <w:rPr>
          <w:rFonts w:hint="cs"/>
          <w:b/>
          <w:bCs/>
          <w:rtl/>
        </w:rPr>
        <w:t>يع مزاعم العنف المنزلي، بما في ذلك</w:t>
      </w:r>
      <w:r w:rsidR="00B329FD" w:rsidRPr="004B594A">
        <w:rPr>
          <w:rFonts w:hint="cs"/>
          <w:b/>
          <w:bCs/>
          <w:rtl/>
        </w:rPr>
        <w:t xml:space="preserve"> فيما بين أف</w:t>
      </w:r>
      <w:r w:rsidR="00B329FD">
        <w:rPr>
          <w:rFonts w:hint="cs"/>
          <w:b/>
          <w:bCs/>
          <w:rtl/>
        </w:rPr>
        <w:t>راد الأزواج من نفس الجنس؛ وملاحقة المتورطين في هذه الأفعال ومعاقبتهم على النحو الواجب</w:t>
      </w:r>
      <w:r w:rsidR="00B329FD" w:rsidRPr="004B594A">
        <w:rPr>
          <w:rFonts w:hint="cs"/>
          <w:b/>
          <w:bCs/>
          <w:rtl/>
        </w:rPr>
        <w:t xml:space="preserve"> في حال إدانتهم؛ وحصول الضحايا على الحماية الكافية، بطرق منها منح أوامر حمائية عاجلة والحيلولة دون فقدان النساء ال</w:t>
      </w:r>
      <w:r w:rsidR="00B329FD">
        <w:rPr>
          <w:rFonts w:hint="cs"/>
          <w:b/>
          <w:bCs/>
          <w:rtl/>
        </w:rPr>
        <w:t>مهاجرات ضحايا العنف الجنسي لأوضاعهن المتصلة بتأشيرة الدخول</w:t>
      </w:r>
      <w:r w:rsidR="00B329FD">
        <w:rPr>
          <w:rFonts w:hint="cs"/>
          <w:rtl/>
        </w:rPr>
        <w:t>.</w:t>
      </w:r>
    </w:p>
    <w:p w:rsidR="00B329FD" w:rsidRPr="0058506B" w:rsidRDefault="00277B79" w:rsidP="00277B79">
      <w:pPr>
        <w:pStyle w:val="H23GA"/>
        <w:rPr>
          <w:rtl/>
        </w:rPr>
      </w:pPr>
      <w:r>
        <w:rPr>
          <w:rFonts w:hint="cs"/>
          <w:rtl/>
        </w:rPr>
        <w:tab/>
      </w:r>
      <w:r>
        <w:rPr>
          <w:rFonts w:hint="cs"/>
          <w:rtl/>
        </w:rPr>
        <w:tab/>
      </w:r>
      <w:r w:rsidR="00B329FD" w:rsidRPr="0058506B">
        <w:rPr>
          <w:rFonts w:hint="cs"/>
          <w:rtl/>
        </w:rPr>
        <w:t>التمييز القائم على الميل الجنسي والهوية الجنسية</w:t>
      </w:r>
    </w:p>
    <w:p w:rsidR="00B329FD" w:rsidRDefault="00B329FD" w:rsidP="00EB70D4">
      <w:pPr>
        <w:pStyle w:val="SingleTxtGA"/>
        <w:rPr>
          <w:rtl/>
        </w:rPr>
      </w:pPr>
      <w:r>
        <w:rPr>
          <w:rFonts w:hint="cs"/>
          <w:rtl/>
        </w:rPr>
        <w:t>11-</w:t>
      </w:r>
      <w:r w:rsidR="00EB70D4">
        <w:rPr>
          <w:rFonts w:hint="cs"/>
          <w:rtl/>
        </w:rPr>
        <w:tab/>
      </w:r>
      <w:r>
        <w:rPr>
          <w:rFonts w:hint="cs"/>
          <w:rtl/>
        </w:rPr>
        <w:t>تعرب اللجنة عن قلقها إزاء التقارير التي تفيد بتعرض المثليات</w:t>
      </w:r>
      <w:r w:rsidR="00EB70D4">
        <w:rPr>
          <w:rFonts w:hint="cs"/>
          <w:rtl/>
        </w:rPr>
        <w:t xml:space="preserve"> والمثليين ومغايري الهوية الجنسانية </w:t>
      </w:r>
      <w:r>
        <w:rPr>
          <w:rFonts w:hint="cs"/>
          <w:rtl/>
        </w:rPr>
        <w:t>للتحرش والوصم على صعيد المجتمع، والأحكام التمييزية التي تستثني الأزواج المنتمين إلى نفس الجنس من نظام السكن التابع للبلديات (المادتان 2 و26).</w:t>
      </w:r>
    </w:p>
    <w:p w:rsidR="00B329FD" w:rsidRDefault="00E87AD5" w:rsidP="00E87AD5">
      <w:pPr>
        <w:pStyle w:val="SingleTxtGA"/>
      </w:pPr>
      <w:r>
        <w:rPr>
          <w:rFonts w:hint="cs"/>
          <w:b/>
          <w:bCs/>
          <w:rtl/>
        </w:rPr>
        <w:tab/>
      </w:r>
      <w:r w:rsidR="00B329FD" w:rsidRPr="008C6750">
        <w:rPr>
          <w:rFonts w:hint="cs"/>
          <w:b/>
          <w:bCs/>
          <w:rtl/>
        </w:rPr>
        <w:t>ينبغي أن تعتمد الدولة</w:t>
      </w:r>
      <w:r w:rsidR="00B329FD">
        <w:rPr>
          <w:rFonts w:hint="cs"/>
          <w:b/>
          <w:bCs/>
          <w:rtl/>
        </w:rPr>
        <w:t xml:space="preserve"> الطرف تشريع</w:t>
      </w:r>
      <w:r w:rsidR="005D023E">
        <w:rPr>
          <w:rFonts w:hint="cs"/>
          <w:b/>
          <w:bCs/>
          <w:rtl/>
        </w:rPr>
        <w:t xml:space="preserve">اً </w:t>
      </w:r>
      <w:r w:rsidR="00B329FD">
        <w:rPr>
          <w:rFonts w:hint="cs"/>
          <w:b/>
          <w:bCs/>
          <w:rtl/>
        </w:rPr>
        <w:t>شامل</w:t>
      </w:r>
      <w:r w:rsidR="005D023E">
        <w:rPr>
          <w:rFonts w:hint="cs"/>
          <w:b/>
          <w:bCs/>
          <w:rtl/>
        </w:rPr>
        <w:t xml:space="preserve">اً </w:t>
      </w:r>
      <w:r w:rsidR="00B329FD">
        <w:rPr>
          <w:rFonts w:hint="cs"/>
          <w:b/>
          <w:bCs/>
          <w:rtl/>
        </w:rPr>
        <w:t xml:space="preserve">بشأن </w:t>
      </w:r>
      <w:r w:rsidR="00B329FD" w:rsidRPr="008C6750">
        <w:rPr>
          <w:rFonts w:hint="cs"/>
          <w:b/>
          <w:bCs/>
          <w:rtl/>
        </w:rPr>
        <w:t xml:space="preserve">مكافحة التمييز يحظر التمييز </w:t>
      </w:r>
      <w:r w:rsidR="00B329FD">
        <w:rPr>
          <w:rFonts w:hint="cs"/>
          <w:b/>
          <w:bCs/>
          <w:rtl/>
        </w:rPr>
        <w:t>بجميع دوافعه</w:t>
      </w:r>
      <w:r w:rsidR="00B329FD" w:rsidRPr="008C6750">
        <w:rPr>
          <w:rFonts w:hint="cs"/>
          <w:b/>
          <w:bCs/>
          <w:rtl/>
        </w:rPr>
        <w:t>، بما في ذلك الميل الجنسي والهوية الجنسانية، ويزود ضحايا التمييز بسبل انتصاف فعالة ومناسبة. وينبغي أن تكثف</w:t>
      </w:r>
      <w:r w:rsidR="00B329FD">
        <w:rPr>
          <w:rFonts w:hint="cs"/>
          <w:b/>
          <w:bCs/>
          <w:rtl/>
        </w:rPr>
        <w:t xml:space="preserve"> الدولة الطرف أنشطتها في مجال التوعية </w:t>
      </w:r>
      <w:r w:rsidR="00B329FD" w:rsidRPr="008C6750">
        <w:rPr>
          <w:rFonts w:hint="cs"/>
          <w:b/>
          <w:bCs/>
          <w:rtl/>
        </w:rPr>
        <w:t xml:space="preserve">لمكافحة </w:t>
      </w:r>
      <w:r w:rsidR="00B329FD">
        <w:rPr>
          <w:rFonts w:hint="cs"/>
          <w:b/>
          <w:bCs/>
          <w:rtl/>
        </w:rPr>
        <w:t>تعرض المثليات والمثليين ومزدوجي الميل الجنسي</w:t>
      </w:r>
      <w:r w:rsidR="00B329FD" w:rsidRPr="008C6750">
        <w:rPr>
          <w:rFonts w:hint="cs"/>
          <w:b/>
          <w:bCs/>
          <w:rtl/>
        </w:rPr>
        <w:t xml:space="preserve"> </w:t>
      </w:r>
      <w:r w:rsidR="00B329FD">
        <w:rPr>
          <w:rFonts w:hint="cs"/>
          <w:b/>
          <w:bCs/>
          <w:rtl/>
        </w:rPr>
        <w:t>ومغايري الهوية الجنسية للقوالب النمطية والتح</w:t>
      </w:r>
      <w:r>
        <w:rPr>
          <w:rFonts w:hint="cs"/>
          <w:b/>
          <w:bCs/>
          <w:rtl/>
        </w:rPr>
        <w:t>امل</w:t>
      </w:r>
      <w:r w:rsidR="00B329FD" w:rsidRPr="008C6750">
        <w:rPr>
          <w:rFonts w:hint="cs"/>
          <w:b/>
          <w:bCs/>
          <w:rtl/>
        </w:rPr>
        <w:t>، وتحق</w:t>
      </w:r>
      <w:r w:rsidR="00B329FD">
        <w:rPr>
          <w:rFonts w:hint="cs"/>
          <w:b/>
          <w:bCs/>
          <w:rtl/>
        </w:rPr>
        <w:t>ّ</w:t>
      </w:r>
      <w:r w:rsidR="00B329FD" w:rsidRPr="008C6750">
        <w:rPr>
          <w:rFonts w:hint="cs"/>
          <w:b/>
          <w:bCs/>
          <w:rtl/>
        </w:rPr>
        <w:t xml:space="preserve">ق في </w:t>
      </w:r>
      <w:r w:rsidR="00B329FD">
        <w:rPr>
          <w:rFonts w:hint="cs"/>
          <w:b/>
          <w:bCs/>
          <w:rtl/>
        </w:rPr>
        <w:t>مزاعم تعرضهم للمضايقات،</w:t>
      </w:r>
      <w:r w:rsidR="00B329FD" w:rsidRPr="008C6750">
        <w:rPr>
          <w:rFonts w:hint="cs"/>
          <w:b/>
          <w:bCs/>
          <w:rtl/>
        </w:rPr>
        <w:t xml:space="preserve"> و</w:t>
      </w:r>
      <w:r w:rsidR="00B329FD">
        <w:rPr>
          <w:rFonts w:hint="cs"/>
          <w:b/>
          <w:bCs/>
          <w:rtl/>
        </w:rPr>
        <w:t>ت</w:t>
      </w:r>
      <w:r w:rsidR="00B329FD" w:rsidRPr="008C6750">
        <w:rPr>
          <w:rFonts w:hint="cs"/>
          <w:b/>
          <w:bCs/>
          <w:rtl/>
        </w:rPr>
        <w:t xml:space="preserve">تخذ </w:t>
      </w:r>
      <w:r w:rsidR="00B329FD">
        <w:rPr>
          <w:rFonts w:hint="cs"/>
          <w:b/>
          <w:bCs/>
          <w:rtl/>
        </w:rPr>
        <w:t>ال</w:t>
      </w:r>
      <w:r w:rsidR="00B329FD" w:rsidRPr="008C6750">
        <w:rPr>
          <w:rFonts w:hint="cs"/>
          <w:b/>
          <w:bCs/>
          <w:rtl/>
        </w:rPr>
        <w:t xml:space="preserve">تدابير </w:t>
      </w:r>
      <w:r w:rsidR="00B329FD">
        <w:rPr>
          <w:rFonts w:hint="cs"/>
          <w:b/>
          <w:bCs/>
          <w:rtl/>
        </w:rPr>
        <w:t>ال</w:t>
      </w:r>
      <w:r w:rsidR="00B329FD" w:rsidRPr="008C6750">
        <w:rPr>
          <w:rFonts w:hint="cs"/>
          <w:b/>
          <w:bCs/>
          <w:rtl/>
        </w:rPr>
        <w:t>مناسبة لمن</w:t>
      </w:r>
      <w:r w:rsidR="00B329FD">
        <w:rPr>
          <w:rFonts w:hint="cs"/>
          <w:b/>
          <w:bCs/>
          <w:rtl/>
        </w:rPr>
        <w:t>ع هذه القوالب النمطية والتح</w:t>
      </w:r>
      <w:r>
        <w:rPr>
          <w:rFonts w:hint="cs"/>
          <w:b/>
          <w:bCs/>
          <w:rtl/>
        </w:rPr>
        <w:t>امل</w:t>
      </w:r>
      <w:r w:rsidR="00B329FD">
        <w:rPr>
          <w:rFonts w:hint="cs"/>
          <w:b/>
          <w:bCs/>
          <w:rtl/>
        </w:rPr>
        <w:t xml:space="preserve"> والمضايقات</w:t>
      </w:r>
      <w:r w:rsidR="00B329FD" w:rsidRPr="008C6750">
        <w:rPr>
          <w:rFonts w:hint="cs"/>
          <w:b/>
          <w:bCs/>
          <w:rtl/>
        </w:rPr>
        <w:t xml:space="preserve">. وينبغي أن تلغي </w:t>
      </w:r>
      <w:r w:rsidR="00B329FD">
        <w:rPr>
          <w:rFonts w:hint="cs"/>
          <w:b/>
          <w:bCs/>
          <w:rtl/>
        </w:rPr>
        <w:t>الدولة الطرف أيض</w:t>
      </w:r>
      <w:r w:rsidR="005D023E">
        <w:rPr>
          <w:rFonts w:hint="cs"/>
          <w:b/>
          <w:bCs/>
          <w:rtl/>
        </w:rPr>
        <w:t xml:space="preserve">اً </w:t>
      </w:r>
      <w:r w:rsidR="00B329FD">
        <w:rPr>
          <w:rFonts w:hint="cs"/>
          <w:b/>
          <w:bCs/>
          <w:rtl/>
        </w:rPr>
        <w:t>القيود التي لا تزال تنطوي عليها م</w:t>
      </w:r>
      <w:r w:rsidR="00B329FD" w:rsidRPr="008C6750">
        <w:rPr>
          <w:rFonts w:hint="cs"/>
          <w:b/>
          <w:bCs/>
          <w:rtl/>
        </w:rPr>
        <w:t>عايير الأهل</w:t>
      </w:r>
      <w:r w:rsidR="00B329FD">
        <w:rPr>
          <w:rFonts w:hint="cs"/>
          <w:b/>
          <w:bCs/>
          <w:rtl/>
        </w:rPr>
        <w:t>ية المطبقة تجاه الأزواج من نفس الجنس</w:t>
      </w:r>
      <w:r w:rsidR="00B329FD" w:rsidRPr="008C6750">
        <w:rPr>
          <w:rFonts w:hint="cs"/>
          <w:b/>
          <w:bCs/>
          <w:rtl/>
        </w:rPr>
        <w:t xml:space="preserve"> </w:t>
      </w:r>
      <w:r w:rsidR="00B329FD">
        <w:rPr>
          <w:rFonts w:hint="cs"/>
          <w:b/>
          <w:bCs/>
          <w:rtl/>
        </w:rPr>
        <w:t>فيما يتعلق بخدمات السكن العام</w:t>
      </w:r>
      <w:r w:rsidR="00B329FD" w:rsidRPr="008C6750">
        <w:rPr>
          <w:rFonts w:hint="cs"/>
          <w:b/>
          <w:bCs/>
          <w:rtl/>
        </w:rPr>
        <w:t xml:space="preserve"> المقدمة على</w:t>
      </w:r>
      <w:r w:rsidR="00B329FD">
        <w:rPr>
          <w:rFonts w:hint="cs"/>
          <w:b/>
          <w:bCs/>
          <w:rtl/>
        </w:rPr>
        <w:t xml:space="preserve"> صعيد البلديات</w:t>
      </w:r>
      <w:r w:rsidR="00B329FD">
        <w:rPr>
          <w:rFonts w:hint="cs"/>
          <w:rtl/>
        </w:rPr>
        <w:t>.</w:t>
      </w:r>
      <w:r w:rsidR="005D023E">
        <w:rPr>
          <w:rFonts w:hint="cs"/>
          <w:rtl/>
        </w:rPr>
        <w:t xml:space="preserve">  </w:t>
      </w:r>
    </w:p>
    <w:p w:rsidR="00B329FD" w:rsidRPr="009C2BBB" w:rsidRDefault="00EB70D4" w:rsidP="00EB70D4">
      <w:pPr>
        <w:pStyle w:val="H23GA"/>
        <w:rPr>
          <w:rtl/>
        </w:rPr>
      </w:pPr>
      <w:r>
        <w:rPr>
          <w:rFonts w:hint="cs"/>
          <w:rtl/>
        </w:rPr>
        <w:tab/>
      </w:r>
      <w:r>
        <w:rPr>
          <w:rFonts w:hint="cs"/>
          <w:rtl/>
        </w:rPr>
        <w:tab/>
      </w:r>
      <w:r w:rsidR="00B329FD" w:rsidRPr="009C2BBB">
        <w:rPr>
          <w:rFonts w:hint="cs"/>
          <w:rtl/>
        </w:rPr>
        <w:t>خطاب الكراهية والتمييز العنصري</w:t>
      </w:r>
    </w:p>
    <w:p w:rsidR="00B329FD" w:rsidRDefault="00EB70D4" w:rsidP="00B329FD">
      <w:pPr>
        <w:pStyle w:val="SingleTxtGA"/>
        <w:rPr>
          <w:rtl/>
        </w:rPr>
      </w:pPr>
      <w:r>
        <w:rPr>
          <w:rFonts w:hint="cs"/>
          <w:rtl/>
        </w:rPr>
        <w:t>12-</w:t>
      </w:r>
      <w:r>
        <w:rPr>
          <w:rFonts w:hint="cs"/>
          <w:rtl/>
        </w:rPr>
        <w:tab/>
      </w:r>
      <w:r w:rsidR="00B329FD">
        <w:rPr>
          <w:rFonts w:hint="cs"/>
          <w:rtl/>
        </w:rPr>
        <w:t>تعرب اللجنة عن قلقها إزاء الانتشار الواسع لخطاب الكراهية الذي يستهدف أفراد الأقليات، مثل الكوريين أو الصينيين أو البوراكومين، ويحرض على الكراهية والتمييز ضدهم، وعدم توفير الحماية الكافية من هذه الأفعال في القانونين الجنائي والمدني. وتعرب اللجنة أيض</w:t>
      </w:r>
      <w:r w:rsidR="005D023E">
        <w:rPr>
          <w:rFonts w:hint="cs"/>
          <w:rtl/>
        </w:rPr>
        <w:t xml:space="preserve">اً </w:t>
      </w:r>
      <w:r w:rsidR="00B329FD">
        <w:rPr>
          <w:rFonts w:hint="cs"/>
          <w:rtl/>
        </w:rPr>
        <w:t>عن قلقها إزاء ارتفاع عدد المظاهرات المتطرفة المرخص بها وأفعال المضايقة والعنف التي تستهدف أفراد الأقليات، بمن فيهم الطلبة الأجانب، وإشهار لوحات في المؤسسات الخاصة مثل تلك التي يُقرأ عليها "خاص بالي</w:t>
      </w:r>
      <w:r>
        <w:rPr>
          <w:rFonts w:hint="cs"/>
          <w:rtl/>
        </w:rPr>
        <w:t>ا</w:t>
      </w:r>
      <w:r w:rsidR="00B329FD">
        <w:rPr>
          <w:rFonts w:hint="cs"/>
          <w:rtl/>
        </w:rPr>
        <w:t>بانيين فقط" (المواد 2 و19 و20 و27).</w:t>
      </w:r>
      <w:r w:rsidR="005D023E">
        <w:rPr>
          <w:rFonts w:hint="cs"/>
          <w:rtl/>
        </w:rPr>
        <w:t xml:space="preserve"> </w:t>
      </w:r>
    </w:p>
    <w:p w:rsidR="00B329FD" w:rsidRPr="00443235" w:rsidRDefault="00EB70D4" w:rsidP="00B329FD">
      <w:pPr>
        <w:pStyle w:val="SingleTxtGA"/>
        <w:rPr>
          <w:b/>
          <w:bCs/>
          <w:rtl/>
        </w:rPr>
      </w:pPr>
      <w:r>
        <w:rPr>
          <w:rFonts w:hint="cs"/>
          <w:b/>
          <w:bCs/>
          <w:rtl/>
        </w:rPr>
        <w:tab/>
      </w:r>
      <w:r w:rsidR="00B329FD" w:rsidRPr="00443235">
        <w:rPr>
          <w:rFonts w:hint="cs"/>
          <w:b/>
          <w:bCs/>
          <w:rtl/>
        </w:rPr>
        <w:t>ينبغي أ</w:t>
      </w:r>
      <w:r w:rsidR="00B329FD">
        <w:rPr>
          <w:rFonts w:hint="cs"/>
          <w:b/>
          <w:bCs/>
          <w:rtl/>
        </w:rPr>
        <w:t>ن تحظر الدولة الطرف جميع الأعمال</w:t>
      </w:r>
      <w:r w:rsidR="00B329FD" w:rsidRPr="00443235">
        <w:rPr>
          <w:rFonts w:hint="cs"/>
          <w:b/>
          <w:bCs/>
          <w:rtl/>
        </w:rPr>
        <w:t xml:space="preserve"> </w:t>
      </w:r>
      <w:r w:rsidR="00B329FD">
        <w:rPr>
          <w:rFonts w:hint="cs"/>
          <w:b/>
          <w:bCs/>
          <w:rtl/>
        </w:rPr>
        <w:t>الدعائية التي تنادي</w:t>
      </w:r>
      <w:r w:rsidR="00B329FD" w:rsidRPr="00443235">
        <w:rPr>
          <w:rFonts w:hint="cs"/>
          <w:b/>
          <w:bCs/>
          <w:rtl/>
        </w:rPr>
        <w:t xml:space="preserve"> </w:t>
      </w:r>
      <w:r w:rsidR="00B329FD">
        <w:rPr>
          <w:rFonts w:hint="cs"/>
          <w:b/>
          <w:bCs/>
          <w:rtl/>
        </w:rPr>
        <w:t>ب</w:t>
      </w:r>
      <w:r w:rsidR="00B329FD" w:rsidRPr="00443235">
        <w:rPr>
          <w:rFonts w:hint="cs"/>
          <w:b/>
          <w:bCs/>
          <w:rtl/>
        </w:rPr>
        <w:t>التفوق العرقي أو الكرا</w:t>
      </w:r>
      <w:r w:rsidR="00B329FD">
        <w:rPr>
          <w:rFonts w:hint="cs"/>
          <w:b/>
          <w:bCs/>
          <w:rtl/>
        </w:rPr>
        <w:t>هية وتحرض على التمييز أو العداء</w:t>
      </w:r>
      <w:r w:rsidR="00B329FD" w:rsidRPr="00443235">
        <w:rPr>
          <w:rFonts w:hint="cs"/>
          <w:b/>
          <w:bCs/>
          <w:rtl/>
        </w:rPr>
        <w:t xml:space="preserve"> أو العنف، وتحظر المظاهرات الهادفة إلى نشر هذه الأعمال الدعائية. كما ينبغي أن تخصص الدولة الطرف ما يكفي من الموارد لحملات التوعية ضد العنصرية وتحث جهودها الرامية إلى ضمان تدريب القضاة والمدعين العامين وموظفي الشرطة على تحديد الجرائم المرتكبة بدافع الكراهية </w:t>
      </w:r>
      <w:r w:rsidR="00B329FD">
        <w:rPr>
          <w:rFonts w:hint="cs"/>
          <w:b/>
          <w:bCs/>
          <w:rtl/>
        </w:rPr>
        <w:t>أو العنصرية</w:t>
      </w:r>
      <w:r w:rsidR="00B329FD" w:rsidRPr="00443235">
        <w:rPr>
          <w:rFonts w:hint="cs"/>
          <w:b/>
          <w:bCs/>
          <w:rtl/>
        </w:rPr>
        <w:t>. وينبغي أن تتخذ الدولة الطرف جم</w:t>
      </w:r>
      <w:r w:rsidR="00B329FD">
        <w:rPr>
          <w:rFonts w:hint="cs"/>
          <w:b/>
          <w:bCs/>
          <w:rtl/>
        </w:rPr>
        <w:t>يع الخطوات الضرورية لمنع الاعتداءات</w:t>
      </w:r>
      <w:r w:rsidR="00B329FD" w:rsidRPr="00443235">
        <w:rPr>
          <w:rFonts w:hint="cs"/>
          <w:b/>
          <w:bCs/>
          <w:rtl/>
        </w:rPr>
        <w:t xml:space="preserve"> العنصرية وضمان </w:t>
      </w:r>
      <w:r w:rsidR="00B329FD">
        <w:rPr>
          <w:rFonts w:hint="cs"/>
          <w:b/>
          <w:bCs/>
          <w:rtl/>
        </w:rPr>
        <w:t xml:space="preserve">إجراء </w:t>
      </w:r>
      <w:r w:rsidR="00B329FD" w:rsidRPr="00443235">
        <w:rPr>
          <w:rFonts w:hint="cs"/>
          <w:b/>
          <w:bCs/>
          <w:rtl/>
        </w:rPr>
        <w:t xml:space="preserve">تحقيق </w:t>
      </w:r>
      <w:r w:rsidR="00B329FD">
        <w:rPr>
          <w:rFonts w:hint="cs"/>
          <w:b/>
          <w:bCs/>
          <w:rtl/>
        </w:rPr>
        <w:t xml:space="preserve">شامل </w:t>
      </w:r>
      <w:r w:rsidR="00B329FD" w:rsidRPr="00443235">
        <w:rPr>
          <w:rFonts w:hint="cs"/>
          <w:b/>
          <w:bCs/>
          <w:rtl/>
        </w:rPr>
        <w:t>مع المذنبين المزعومين وملاحقتهم و</w:t>
      </w:r>
      <w:r w:rsidR="00B329FD">
        <w:rPr>
          <w:rFonts w:hint="cs"/>
          <w:b/>
          <w:bCs/>
          <w:rtl/>
        </w:rPr>
        <w:t>معاقبتهم على النحو الواجب</w:t>
      </w:r>
      <w:bookmarkStart w:id="0" w:name="_GoBack"/>
      <w:bookmarkEnd w:id="0"/>
      <w:r>
        <w:rPr>
          <w:rFonts w:hint="cs"/>
          <w:b/>
          <w:bCs/>
          <w:rtl/>
        </w:rPr>
        <w:t xml:space="preserve"> في حال إدانتهم.</w:t>
      </w:r>
    </w:p>
    <w:p w:rsidR="00B329FD" w:rsidRPr="00D31ED0" w:rsidRDefault="00EB70D4" w:rsidP="00EB70D4">
      <w:pPr>
        <w:pStyle w:val="H23GA"/>
        <w:rPr>
          <w:rtl/>
        </w:rPr>
      </w:pPr>
      <w:r>
        <w:rPr>
          <w:rFonts w:hint="cs"/>
          <w:rtl/>
        </w:rPr>
        <w:tab/>
      </w:r>
      <w:r>
        <w:rPr>
          <w:rFonts w:hint="cs"/>
          <w:rtl/>
        </w:rPr>
        <w:tab/>
      </w:r>
      <w:r w:rsidR="00B329FD" w:rsidRPr="00D31ED0">
        <w:rPr>
          <w:rFonts w:hint="cs"/>
          <w:rtl/>
        </w:rPr>
        <w:t>عقوبة الإعدام</w:t>
      </w:r>
    </w:p>
    <w:p w:rsidR="00B329FD" w:rsidRDefault="00B329FD" w:rsidP="00EB70D4">
      <w:pPr>
        <w:pStyle w:val="SingleTxtGA"/>
        <w:rPr>
          <w:rtl/>
        </w:rPr>
      </w:pPr>
      <w:r>
        <w:rPr>
          <w:rFonts w:hint="cs"/>
          <w:rtl/>
        </w:rPr>
        <w:t>13-</w:t>
      </w:r>
      <w:r w:rsidR="00EB70D4">
        <w:rPr>
          <w:rFonts w:hint="cs"/>
          <w:rtl/>
        </w:rPr>
        <w:tab/>
      </w:r>
      <w:r>
        <w:rPr>
          <w:rFonts w:hint="cs"/>
          <w:rtl/>
        </w:rPr>
        <w:t>لا تزال اللجنة تعرب عن قلقها إزاء عدم امتثال الكثير من الجرائم التسع عشرة المستوجبة لعقوبة الإعدام شروط العهد التي تحصر عقوبة الإعدام في "أشد الجرائم خطورة"، ومواصلة الاحتفاظ بالمحكوم عليهم بالإعدام في الحبس الانفرادي لفترات تصل إلى 40 سنة قبل إعدامهم، وعدم إخطار المحكوم عليهم ولا أفراد أسرهم مسبق</w:t>
      </w:r>
      <w:r w:rsidR="005D023E">
        <w:rPr>
          <w:rFonts w:hint="cs"/>
          <w:rtl/>
        </w:rPr>
        <w:t xml:space="preserve">اً </w:t>
      </w:r>
      <w:r>
        <w:rPr>
          <w:rFonts w:hint="cs"/>
          <w:rtl/>
        </w:rPr>
        <w:t>بتاريخ الإعدام. وعلاوة على ذلك، تلاحظ اللجنة أن سرية اللقاءات بين المحكوم عليهم بالإعدام ومحاميهم غير مضمونة، وأن الفحوصات الطبية الذهنية لتحديد ما إذا كان الأشخاص المحكوم عليهم بالإعدام "يعانون من الجنون" لا يضطلع بها طبيب مستقل، وأن طلبات العفو أو إعادة المحاكمة المقدمة غير فعالة ولا تفضي إلى تعليق تنفيذ الإعدام. وعلاوة على ذلك، تعرب اللجنة عن قلقها إزاء التقارير التي تفيد بأن فرض عقوبة الإعدام ترتبت في مناسبات شتى على اعترافات منتزعة بالإكراه، بما في ذلك في حالة أياوو هاكامادا (المواد 2 و6 و7 و9 و14).</w:t>
      </w:r>
    </w:p>
    <w:p w:rsidR="00B329FD" w:rsidRPr="00494852" w:rsidRDefault="001045E9" w:rsidP="00EB70D4">
      <w:pPr>
        <w:pStyle w:val="SingleTxtGA"/>
        <w:rPr>
          <w:b/>
          <w:bCs/>
          <w:rtl/>
        </w:rPr>
      </w:pPr>
      <w:r>
        <w:rPr>
          <w:b/>
          <w:bCs/>
          <w:rtl/>
        </w:rPr>
        <w:br w:type="page"/>
      </w:r>
      <w:r w:rsidR="00EB70D4">
        <w:rPr>
          <w:rFonts w:hint="cs"/>
          <w:b/>
          <w:bCs/>
          <w:rtl/>
        </w:rPr>
        <w:tab/>
      </w:r>
      <w:r w:rsidR="00B329FD" w:rsidRPr="00494852">
        <w:rPr>
          <w:rFonts w:hint="cs"/>
          <w:b/>
          <w:bCs/>
          <w:rtl/>
        </w:rPr>
        <w:t xml:space="preserve">ينبغي أن </w:t>
      </w:r>
      <w:r w:rsidR="00EB70D4">
        <w:rPr>
          <w:rFonts w:hint="cs"/>
          <w:b/>
          <w:bCs/>
          <w:rtl/>
        </w:rPr>
        <w:t xml:space="preserve">تتولى </w:t>
      </w:r>
      <w:r w:rsidR="00B329FD" w:rsidRPr="00494852">
        <w:rPr>
          <w:rFonts w:hint="cs"/>
          <w:b/>
          <w:bCs/>
          <w:rtl/>
        </w:rPr>
        <w:t>الدولة الطرف ما يلي:</w:t>
      </w:r>
    </w:p>
    <w:p w:rsidR="00B329FD" w:rsidRPr="00494852" w:rsidRDefault="00EB70D4" w:rsidP="00EB70D4">
      <w:pPr>
        <w:pStyle w:val="SingleTxtGA"/>
        <w:rPr>
          <w:b/>
          <w:bCs/>
        </w:rPr>
      </w:pPr>
      <w:r>
        <w:rPr>
          <w:rFonts w:hint="cs"/>
          <w:b/>
          <w:bCs/>
          <w:rtl/>
        </w:rPr>
        <w:tab/>
        <w:t>(أ)</w:t>
      </w:r>
      <w:r>
        <w:rPr>
          <w:rFonts w:hint="cs"/>
          <w:b/>
          <w:bCs/>
          <w:rtl/>
        </w:rPr>
        <w:tab/>
      </w:r>
      <w:r w:rsidR="00B329FD" w:rsidRPr="00494852">
        <w:rPr>
          <w:rFonts w:hint="cs"/>
          <w:b/>
          <w:bCs/>
          <w:rtl/>
        </w:rPr>
        <w:t>إيلاء العناية الو</w:t>
      </w:r>
      <w:r w:rsidR="00B329FD">
        <w:rPr>
          <w:rFonts w:hint="cs"/>
          <w:b/>
          <w:bCs/>
          <w:rtl/>
        </w:rPr>
        <w:t>اجبة إلى إلغاء عقوبة الإعدام أو بدل</w:t>
      </w:r>
      <w:r w:rsidR="005D023E">
        <w:rPr>
          <w:rFonts w:hint="cs"/>
          <w:b/>
          <w:bCs/>
          <w:rtl/>
        </w:rPr>
        <w:t xml:space="preserve">اً </w:t>
      </w:r>
      <w:r w:rsidR="00B329FD">
        <w:rPr>
          <w:rFonts w:hint="cs"/>
          <w:b/>
          <w:bCs/>
          <w:rtl/>
        </w:rPr>
        <w:t xml:space="preserve">من ذلك </w:t>
      </w:r>
      <w:r w:rsidR="00B329FD" w:rsidRPr="00494852">
        <w:rPr>
          <w:rFonts w:hint="cs"/>
          <w:b/>
          <w:bCs/>
          <w:rtl/>
        </w:rPr>
        <w:t>تقليص عدد الجرائم المستوجبة لعقوبة الإعدام إلى</w:t>
      </w:r>
      <w:r w:rsidR="00B329FD">
        <w:rPr>
          <w:rFonts w:hint="cs"/>
          <w:b/>
          <w:bCs/>
          <w:rtl/>
        </w:rPr>
        <w:t xml:space="preserve"> أشد الجرائم خطورة التي ت</w:t>
      </w:r>
      <w:r>
        <w:rPr>
          <w:rFonts w:hint="cs"/>
          <w:b/>
          <w:bCs/>
          <w:rtl/>
        </w:rPr>
        <w:t xml:space="preserve">فضي إلى الموت؛ </w:t>
      </w:r>
    </w:p>
    <w:p w:rsidR="00B329FD" w:rsidRPr="00494852" w:rsidRDefault="00EB70D4" w:rsidP="00B329FD">
      <w:pPr>
        <w:pStyle w:val="SingleTxtGA"/>
        <w:rPr>
          <w:b/>
          <w:bCs/>
        </w:rPr>
      </w:pPr>
      <w:r>
        <w:rPr>
          <w:rFonts w:hint="cs"/>
          <w:b/>
          <w:bCs/>
          <w:rtl/>
        </w:rPr>
        <w:tab/>
        <w:t>(ب)</w:t>
      </w:r>
      <w:r>
        <w:rPr>
          <w:rFonts w:hint="cs"/>
          <w:b/>
          <w:bCs/>
          <w:rtl/>
        </w:rPr>
        <w:tab/>
      </w:r>
      <w:r w:rsidR="00B329FD">
        <w:rPr>
          <w:rFonts w:hint="cs"/>
          <w:b/>
          <w:bCs/>
          <w:rtl/>
        </w:rPr>
        <w:t>ضمان ألا يشكل نظام المحكوم عليهم بالإعدام</w:t>
      </w:r>
      <w:r w:rsidR="00B329FD" w:rsidRPr="00494852">
        <w:rPr>
          <w:rFonts w:hint="cs"/>
          <w:b/>
          <w:bCs/>
          <w:rtl/>
        </w:rPr>
        <w:t xml:space="preserve"> معاملة أو عقوبة قاسية أو لا</w:t>
      </w:r>
      <w:r w:rsidR="00D45F5A">
        <w:rPr>
          <w:rFonts w:hint="cs"/>
          <w:b/>
          <w:bCs/>
          <w:rtl/>
        </w:rPr>
        <w:t xml:space="preserve"> </w:t>
      </w:r>
      <w:r w:rsidR="00B329FD" w:rsidRPr="00494852">
        <w:rPr>
          <w:rFonts w:hint="cs"/>
          <w:b/>
          <w:bCs/>
          <w:rtl/>
        </w:rPr>
        <w:t xml:space="preserve">إنسانية أو مهينة من خلال إبلاغ المحكوم عليهم بالإعدام وأفراد أسرهم، في أجل معقول، بتاريخ وموعد </w:t>
      </w:r>
      <w:r w:rsidR="00B329FD">
        <w:rPr>
          <w:rFonts w:hint="cs"/>
          <w:b/>
          <w:bCs/>
          <w:rtl/>
        </w:rPr>
        <w:t>ال</w:t>
      </w:r>
      <w:r w:rsidR="00B329FD" w:rsidRPr="00494852">
        <w:rPr>
          <w:rFonts w:hint="cs"/>
          <w:b/>
          <w:bCs/>
          <w:rtl/>
        </w:rPr>
        <w:t xml:space="preserve">تنفيذ </w:t>
      </w:r>
      <w:r w:rsidR="00B329FD">
        <w:rPr>
          <w:rFonts w:hint="cs"/>
          <w:b/>
          <w:bCs/>
          <w:rtl/>
        </w:rPr>
        <w:t>المقرر ل</w:t>
      </w:r>
      <w:r w:rsidR="00B329FD" w:rsidRPr="00494852">
        <w:rPr>
          <w:rFonts w:hint="cs"/>
          <w:b/>
          <w:bCs/>
          <w:rtl/>
        </w:rPr>
        <w:t>عقوبة الإعدام، والتوقف عن وضع المحكوم عليهم بالإعدام في الحبس الانفرادي عدا في حالات استثنائية ولفترات محدودة جدا</w:t>
      </w:r>
      <w:r w:rsidR="00E87AD5">
        <w:rPr>
          <w:rFonts w:hint="cs"/>
          <w:b/>
          <w:bCs/>
          <w:rtl/>
        </w:rPr>
        <w:t>ً</w:t>
      </w:r>
      <w:r w:rsidR="00B329FD" w:rsidRPr="00494852">
        <w:rPr>
          <w:rFonts w:hint="cs"/>
          <w:b/>
          <w:bCs/>
          <w:rtl/>
        </w:rPr>
        <w:t>؛</w:t>
      </w:r>
    </w:p>
    <w:p w:rsidR="00B329FD" w:rsidRPr="00494852" w:rsidRDefault="00EB70D4" w:rsidP="00EB70D4">
      <w:pPr>
        <w:pStyle w:val="SingleTxtGA"/>
        <w:rPr>
          <w:b/>
          <w:bCs/>
          <w:rtl/>
        </w:rPr>
      </w:pPr>
      <w:r>
        <w:rPr>
          <w:rFonts w:hint="cs"/>
          <w:b/>
          <w:bCs/>
          <w:rtl/>
        </w:rPr>
        <w:tab/>
      </w:r>
      <w:r w:rsidR="00B329FD">
        <w:rPr>
          <w:rFonts w:hint="cs"/>
          <w:b/>
          <w:bCs/>
          <w:rtl/>
        </w:rPr>
        <w:t>(ج)</w:t>
      </w:r>
      <w:r>
        <w:rPr>
          <w:rFonts w:hint="cs"/>
          <w:b/>
          <w:bCs/>
          <w:rtl/>
        </w:rPr>
        <w:tab/>
        <w:t xml:space="preserve">المبادرة فوراً إلى تعزيز </w:t>
      </w:r>
      <w:r w:rsidR="00B329FD" w:rsidRPr="00494852">
        <w:rPr>
          <w:rFonts w:hint="cs"/>
          <w:b/>
          <w:bCs/>
          <w:rtl/>
        </w:rPr>
        <w:t>الضمان</w:t>
      </w:r>
      <w:r w:rsidR="00B329FD">
        <w:rPr>
          <w:rFonts w:hint="cs"/>
          <w:b/>
          <w:bCs/>
          <w:rtl/>
        </w:rPr>
        <w:t>ات القانونية ضد الحكم الخاطئ</w:t>
      </w:r>
      <w:r w:rsidR="00B329FD" w:rsidRPr="00494852">
        <w:rPr>
          <w:rFonts w:hint="cs"/>
          <w:b/>
          <w:bCs/>
          <w:rtl/>
        </w:rPr>
        <w:t xml:space="preserve"> ب</w:t>
      </w:r>
      <w:r w:rsidR="00B329FD">
        <w:rPr>
          <w:rFonts w:hint="cs"/>
          <w:b/>
          <w:bCs/>
          <w:rtl/>
        </w:rPr>
        <w:t>عقوبة الإعدام بطرق منها ضمان اطلاع المحامين الكامل على جميع مواد الادعاء وضمان عدم الاحتجاج</w:t>
      </w:r>
      <w:r w:rsidR="00B329FD" w:rsidRPr="00494852">
        <w:rPr>
          <w:rFonts w:hint="cs"/>
          <w:b/>
          <w:bCs/>
          <w:rtl/>
        </w:rPr>
        <w:t xml:space="preserve"> بالاعترافات المنتزعة </w:t>
      </w:r>
      <w:r w:rsidR="00B329FD">
        <w:rPr>
          <w:rFonts w:hint="cs"/>
          <w:b/>
          <w:bCs/>
          <w:rtl/>
        </w:rPr>
        <w:t>ب</w:t>
      </w:r>
      <w:r w:rsidR="00B329FD" w:rsidRPr="00494852">
        <w:rPr>
          <w:rFonts w:hint="cs"/>
          <w:b/>
          <w:bCs/>
          <w:rtl/>
        </w:rPr>
        <w:t xml:space="preserve">التعذيب أو </w:t>
      </w:r>
      <w:r w:rsidR="00B329FD">
        <w:rPr>
          <w:rFonts w:hint="cs"/>
          <w:b/>
          <w:bCs/>
          <w:rtl/>
        </w:rPr>
        <w:t xml:space="preserve">سوء </w:t>
      </w:r>
      <w:r w:rsidR="00B329FD" w:rsidRPr="00494852">
        <w:rPr>
          <w:rFonts w:hint="cs"/>
          <w:b/>
          <w:bCs/>
          <w:rtl/>
        </w:rPr>
        <w:t>المعاملة؛</w:t>
      </w:r>
    </w:p>
    <w:p w:rsidR="00B329FD" w:rsidRPr="00494852" w:rsidRDefault="00EB70D4" w:rsidP="00EB70D4">
      <w:pPr>
        <w:pStyle w:val="SingleTxtGA"/>
        <w:rPr>
          <w:b/>
          <w:bCs/>
          <w:rtl/>
        </w:rPr>
      </w:pPr>
      <w:r>
        <w:rPr>
          <w:rFonts w:hint="cs"/>
          <w:b/>
          <w:bCs/>
          <w:rtl/>
        </w:rPr>
        <w:tab/>
      </w:r>
      <w:r w:rsidR="00B329FD" w:rsidRPr="00494852">
        <w:rPr>
          <w:rFonts w:hint="cs"/>
          <w:b/>
          <w:bCs/>
          <w:rtl/>
        </w:rPr>
        <w:t>(د)</w:t>
      </w:r>
      <w:r>
        <w:rPr>
          <w:rFonts w:hint="cs"/>
          <w:b/>
          <w:bCs/>
          <w:rtl/>
        </w:rPr>
        <w:tab/>
      </w:r>
      <w:r w:rsidR="00B329FD" w:rsidRPr="00494852">
        <w:rPr>
          <w:rFonts w:hint="cs"/>
          <w:b/>
          <w:bCs/>
          <w:rtl/>
        </w:rPr>
        <w:t xml:space="preserve">القيام، في ضوء الملاحظات الختامية السابقة للجنة (انظر </w:t>
      </w:r>
      <w:r w:rsidR="00B329FD" w:rsidRPr="001725C9">
        <w:rPr>
          <w:b/>
          <w:bCs/>
        </w:rPr>
        <w:t>CCPR/C/JPN/CO/5</w:t>
      </w:r>
      <w:r w:rsidR="00B329FD">
        <w:rPr>
          <w:rFonts w:hint="cs"/>
          <w:b/>
          <w:bCs/>
          <w:rtl/>
        </w:rPr>
        <w:t xml:space="preserve">، الفقرة 17)، بإنشاء نظام </w:t>
      </w:r>
      <w:r w:rsidR="00B329FD" w:rsidRPr="00494852">
        <w:rPr>
          <w:rFonts w:hint="cs"/>
          <w:b/>
          <w:bCs/>
          <w:rtl/>
        </w:rPr>
        <w:t xml:space="preserve">إلزامي وفعال لمراجعة حالات عقوبة الإعدام، </w:t>
      </w:r>
      <w:r w:rsidR="00B329FD">
        <w:rPr>
          <w:rFonts w:hint="cs"/>
          <w:b/>
          <w:bCs/>
          <w:rtl/>
        </w:rPr>
        <w:t>يمنح</w:t>
      </w:r>
      <w:r w:rsidR="00B329FD" w:rsidRPr="00494852">
        <w:rPr>
          <w:rFonts w:hint="cs"/>
          <w:b/>
          <w:bCs/>
          <w:rtl/>
        </w:rPr>
        <w:t xml:space="preserve"> </w:t>
      </w:r>
      <w:r w:rsidR="00B329FD">
        <w:rPr>
          <w:rFonts w:hint="cs"/>
          <w:b/>
          <w:bCs/>
          <w:rtl/>
        </w:rPr>
        <w:t>طلبات العفو وإعادة المحاكمة أثر</w:t>
      </w:r>
      <w:r w:rsidR="005D023E">
        <w:rPr>
          <w:rFonts w:hint="cs"/>
          <w:b/>
          <w:bCs/>
          <w:rtl/>
        </w:rPr>
        <w:t xml:space="preserve">اً </w:t>
      </w:r>
      <w:r w:rsidR="00B329FD">
        <w:rPr>
          <w:rFonts w:hint="cs"/>
          <w:b/>
          <w:bCs/>
          <w:rtl/>
        </w:rPr>
        <w:t>إيقافي</w:t>
      </w:r>
      <w:r w:rsidR="005D023E">
        <w:rPr>
          <w:rFonts w:hint="cs"/>
          <w:b/>
          <w:bCs/>
          <w:rtl/>
        </w:rPr>
        <w:t xml:space="preserve">اً </w:t>
      </w:r>
      <w:r w:rsidR="00B329FD" w:rsidRPr="00494852">
        <w:rPr>
          <w:rFonts w:hint="cs"/>
          <w:b/>
          <w:bCs/>
          <w:rtl/>
        </w:rPr>
        <w:t>ويضمن السرية</w:t>
      </w:r>
      <w:r w:rsidR="00B329FD">
        <w:rPr>
          <w:rFonts w:hint="cs"/>
          <w:b/>
          <w:bCs/>
          <w:rtl/>
        </w:rPr>
        <w:t xml:space="preserve"> التامة لجميع اللقاءات المعقودة بين</w:t>
      </w:r>
      <w:r w:rsidR="00B329FD" w:rsidRPr="00494852">
        <w:rPr>
          <w:rFonts w:hint="cs"/>
          <w:b/>
          <w:bCs/>
          <w:rtl/>
        </w:rPr>
        <w:t xml:space="preserve"> المحكوم عليهم ومحاميهم ب</w:t>
      </w:r>
      <w:r w:rsidR="00B329FD">
        <w:rPr>
          <w:rFonts w:hint="cs"/>
          <w:b/>
          <w:bCs/>
          <w:rtl/>
        </w:rPr>
        <w:t xml:space="preserve">شأن </w:t>
      </w:r>
      <w:r w:rsidR="00B329FD" w:rsidRPr="00494852">
        <w:rPr>
          <w:rFonts w:hint="cs"/>
          <w:b/>
          <w:bCs/>
          <w:rtl/>
        </w:rPr>
        <w:t>طلبات إعادة محاكمتهم؛</w:t>
      </w:r>
    </w:p>
    <w:p w:rsidR="00B329FD" w:rsidRPr="00494852" w:rsidRDefault="00EB70D4" w:rsidP="00EB70D4">
      <w:pPr>
        <w:pStyle w:val="SingleTxtGA"/>
        <w:rPr>
          <w:b/>
          <w:bCs/>
          <w:rtl/>
        </w:rPr>
      </w:pPr>
      <w:r>
        <w:rPr>
          <w:rFonts w:hint="cs"/>
          <w:b/>
          <w:bCs/>
          <w:rtl/>
        </w:rPr>
        <w:tab/>
        <w:t>(</w:t>
      </w:r>
      <w:r w:rsidRPr="00EB70D4">
        <w:rPr>
          <w:rFonts w:hint="cs"/>
          <w:b/>
          <w:bCs/>
          <w:sz w:val="30"/>
          <w:rtl/>
        </w:rPr>
        <w:t>ﻫ</w:t>
      </w:r>
      <w:r w:rsidR="00B329FD" w:rsidRPr="00494852">
        <w:rPr>
          <w:rFonts w:hint="cs"/>
          <w:b/>
          <w:bCs/>
          <w:rtl/>
        </w:rPr>
        <w:t>)</w:t>
      </w:r>
      <w:r>
        <w:rPr>
          <w:rFonts w:hint="cs"/>
          <w:b/>
          <w:bCs/>
          <w:rtl/>
        </w:rPr>
        <w:tab/>
      </w:r>
      <w:r w:rsidR="00B329FD" w:rsidRPr="00494852">
        <w:rPr>
          <w:rFonts w:hint="cs"/>
          <w:b/>
          <w:bCs/>
          <w:rtl/>
        </w:rPr>
        <w:t>إنشاء آلية مستقلة لفحص الصحة العقلية للمحكوم عليهم بالإعدام؛</w:t>
      </w:r>
    </w:p>
    <w:p w:rsidR="00B329FD" w:rsidRPr="00494852" w:rsidRDefault="00EB70D4" w:rsidP="00EB70D4">
      <w:pPr>
        <w:pStyle w:val="SingleTxtGA"/>
        <w:rPr>
          <w:b/>
          <w:bCs/>
          <w:rtl/>
        </w:rPr>
      </w:pPr>
      <w:r>
        <w:rPr>
          <w:rFonts w:hint="cs"/>
          <w:b/>
          <w:bCs/>
          <w:rtl/>
        </w:rPr>
        <w:tab/>
      </w:r>
      <w:r w:rsidR="00B329FD" w:rsidRPr="00494852">
        <w:rPr>
          <w:rFonts w:hint="cs"/>
          <w:b/>
          <w:bCs/>
          <w:rtl/>
        </w:rPr>
        <w:t>(و)</w:t>
      </w:r>
      <w:r>
        <w:rPr>
          <w:rFonts w:hint="cs"/>
          <w:b/>
          <w:bCs/>
          <w:rtl/>
        </w:rPr>
        <w:tab/>
      </w:r>
      <w:r w:rsidR="00B329FD" w:rsidRPr="00494852">
        <w:rPr>
          <w:rFonts w:hint="cs"/>
          <w:b/>
          <w:bCs/>
          <w:rtl/>
        </w:rPr>
        <w:t>النظر في الانضمام إلى ا</w:t>
      </w:r>
      <w:r w:rsidR="00B329FD">
        <w:rPr>
          <w:rFonts w:hint="cs"/>
          <w:b/>
          <w:bCs/>
          <w:rtl/>
        </w:rPr>
        <w:t>لبروتوكول الاختياري الثاني الملحق بالعهد الدولي الخاص بالحقوق المدنية والسياسية والهادف إلى إلغاء عقوبة الإعدام</w:t>
      </w:r>
      <w:r w:rsidR="00B329FD" w:rsidRPr="00494852">
        <w:rPr>
          <w:rFonts w:hint="cs"/>
          <w:b/>
          <w:bCs/>
          <w:rtl/>
        </w:rPr>
        <w:t>.</w:t>
      </w:r>
    </w:p>
    <w:p w:rsidR="00B329FD" w:rsidRPr="0092574F" w:rsidRDefault="00EB70D4" w:rsidP="00EB70D4">
      <w:pPr>
        <w:pStyle w:val="H23GA"/>
        <w:rPr>
          <w:rtl/>
        </w:rPr>
      </w:pPr>
      <w:r>
        <w:rPr>
          <w:rFonts w:hint="cs"/>
          <w:rtl/>
        </w:rPr>
        <w:tab/>
      </w:r>
      <w:r>
        <w:rPr>
          <w:rFonts w:hint="cs"/>
          <w:rtl/>
        </w:rPr>
        <w:tab/>
      </w:r>
      <w:r w:rsidR="00B329FD" w:rsidRPr="0092574F">
        <w:rPr>
          <w:rFonts w:hint="cs"/>
          <w:rtl/>
        </w:rPr>
        <w:t>ممارسا</w:t>
      </w:r>
      <w:r w:rsidR="00B329FD">
        <w:rPr>
          <w:rFonts w:hint="cs"/>
          <w:rtl/>
        </w:rPr>
        <w:t>ت العبودية الجنسية ضد "نساء المتعة</w:t>
      </w:r>
      <w:r w:rsidR="00B329FD" w:rsidRPr="0092574F">
        <w:rPr>
          <w:rFonts w:hint="cs"/>
          <w:rtl/>
        </w:rPr>
        <w:t>"</w:t>
      </w:r>
    </w:p>
    <w:p w:rsidR="00B329FD" w:rsidRPr="001045E9" w:rsidRDefault="00B329FD" w:rsidP="00EB70D4">
      <w:pPr>
        <w:pStyle w:val="SingleTxtGA"/>
        <w:rPr>
          <w:spacing w:val="-4"/>
          <w:rtl/>
        </w:rPr>
      </w:pPr>
      <w:r>
        <w:rPr>
          <w:rFonts w:hint="cs"/>
          <w:rtl/>
        </w:rPr>
        <w:t>14-</w:t>
      </w:r>
      <w:r w:rsidR="00EB70D4">
        <w:rPr>
          <w:rFonts w:hint="cs"/>
          <w:rtl/>
        </w:rPr>
        <w:tab/>
      </w:r>
      <w:r>
        <w:rPr>
          <w:rFonts w:hint="cs"/>
          <w:rtl/>
        </w:rPr>
        <w:t>تعرب اللجنة عن قلقها لأن الدولة الطرف تتبنى موقف</w:t>
      </w:r>
      <w:r w:rsidR="005D023E">
        <w:rPr>
          <w:rFonts w:hint="cs"/>
          <w:rtl/>
        </w:rPr>
        <w:t xml:space="preserve">اً </w:t>
      </w:r>
      <w:r>
        <w:rPr>
          <w:rFonts w:hint="cs"/>
          <w:rtl/>
        </w:rPr>
        <w:t>متناقض</w:t>
      </w:r>
      <w:r w:rsidR="005D023E">
        <w:rPr>
          <w:rFonts w:hint="cs"/>
          <w:rtl/>
        </w:rPr>
        <w:t xml:space="preserve">اً </w:t>
      </w:r>
      <w:r>
        <w:rPr>
          <w:rFonts w:hint="cs"/>
          <w:rtl/>
        </w:rPr>
        <w:t xml:space="preserve">في هذا الصدد فهي من جهة تقول إن الجيش الياباني لم يرحّل "نساء المتعة" بالقوة إبان الحرب ومن جهة أخرى تقول إن عملية "توظيف ونقل وإدارة" النساء في محطات المتعة </w:t>
      </w:r>
      <w:r w:rsidR="00EB70D4">
        <w:rPr>
          <w:rFonts w:hint="cs"/>
          <w:rtl/>
        </w:rPr>
        <w:t xml:space="preserve">جاءت </w:t>
      </w:r>
      <w:r>
        <w:rPr>
          <w:rFonts w:hint="cs"/>
          <w:rtl/>
        </w:rPr>
        <w:t xml:space="preserve">في حالات عديدة </w:t>
      </w:r>
      <w:r w:rsidR="00EB70D4">
        <w:rPr>
          <w:rFonts w:hint="cs"/>
          <w:rtl/>
        </w:rPr>
        <w:t xml:space="preserve">على الرغم منهن </w:t>
      </w:r>
      <w:r>
        <w:rPr>
          <w:rFonts w:hint="cs"/>
          <w:rtl/>
        </w:rPr>
        <w:t xml:space="preserve">من خلال إجراءات قسرية أو مضايقات نفّذها الجيش أو الكيانات التي تعمل باسمه. وترى اللجنة أن تنفيذ أي من هذه الأفعال </w:t>
      </w:r>
      <w:r w:rsidR="00EB70D4">
        <w:rPr>
          <w:rFonts w:hint="cs"/>
          <w:rtl/>
        </w:rPr>
        <w:t xml:space="preserve">على الرغم من </w:t>
      </w:r>
      <w:r>
        <w:rPr>
          <w:rFonts w:hint="cs"/>
          <w:rtl/>
        </w:rPr>
        <w:t xml:space="preserve">الضحايا يكفي لاعتبارها انتهاكات لحقوق الإنسان تترتب عليها المسؤولية القانونية المباشرة للدولة الطرف. كما تعرب اللجنة عن قلقها </w:t>
      </w:r>
      <w:r w:rsidR="00EB70D4">
        <w:rPr>
          <w:rFonts w:hint="cs"/>
          <w:rtl/>
        </w:rPr>
        <w:t xml:space="preserve">لما يُعدّ إساءة ثانية إلى من </w:t>
      </w:r>
      <w:r w:rsidR="00E87AD5">
        <w:rPr>
          <w:rFonts w:hint="cs"/>
          <w:rtl/>
        </w:rPr>
        <w:t xml:space="preserve">كن </w:t>
      </w:r>
      <w:r w:rsidR="00EB70D4">
        <w:rPr>
          <w:rFonts w:hint="cs"/>
          <w:rtl/>
        </w:rPr>
        <w:t xml:space="preserve">يطلق عليهن اسم </w:t>
      </w:r>
      <w:r>
        <w:rPr>
          <w:rFonts w:hint="cs"/>
          <w:rtl/>
        </w:rPr>
        <w:t xml:space="preserve">"نساء المتعة" </w:t>
      </w:r>
      <w:r w:rsidR="00EB70D4">
        <w:rPr>
          <w:rFonts w:hint="cs"/>
          <w:rtl/>
        </w:rPr>
        <w:t xml:space="preserve">عن طريق المسّ بسمعتهن، </w:t>
      </w:r>
      <w:r>
        <w:rPr>
          <w:rFonts w:hint="cs"/>
          <w:rtl/>
        </w:rPr>
        <w:t>بما في ذلك من قبل الموظفين الرسميين، ولأن بعض</w:t>
      </w:r>
      <w:r w:rsidR="005D023E">
        <w:rPr>
          <w:rFonts w:hint="cs"/>
          <w:rtl/>
        </w:rPr>
        <w:t xml:space="preserve">اً </w:t>
      </w:r>
      <w:r>
        <w:rPr>
          <w:rFonts w:hint="cs"/>
          <w:rtl/>
        </w:rPr>
        <w:t xml:space="preserve">من هذه الأعمال يشجّع عليه الموقف المبهم للدولة الطرف. وتأخذ اللجنة بعين الاعتبار المعلومات التي تفيد برفض جميع طلبات </w:t>
      </w:r>
      <w:r w:rsidR="00EB70D4">
        <w:rPr>
          <w:rFonts w:hint="cs"/>
          <w:rtl/>
        </w:rPr>
        <w:t xml:space="preserve">جبر الضرر </w:t>
      </w:r>
      <w:r>
        <w:rPr>
          <w:rFonts w:hint="cs"/>
          <w:rtl/>
        </w:rPr>
        <w:t>المقدمة من الضحايا إلى المحاكم اليابانية وبرفض جميع الشكاوى المقدمة بغرض إجراء تحقيق جنائي وملاحقة المذنبين استناد</w:t>
      </w:r>
      <w:r w:rsidR="005D023E">
        <w:rPr>
          <w:rFonts w:hint="cs"/>
          <w:rtl/>
        </w:rPr>
        <w:t xml:space="preserve">اً </w:t>
      </w:r>
      <w:r>
        <w:rPr>
          <w:rFonts w:hint="cs"/>
          <w:rtl/>
        </w:rPr>
        <w:t xml:space="preserve">إلى قانون التقادم. وترى اللجنة أن هذا الوضع يعكس تواصل عمليات انتهاك حقوق </w:t>
      </w:r>
      <w:r w:rsidR="00EB70D4">
        <w:rPr>
          <w:rFonts w:hint="cs"/>
          <w:rtl/>
        </w:rPr>
        <w:t>الضحايا الإنسانية و</w:t>
      </w:r>
      <w:r>
        <w:rPr>
          <w:rFonts w:hint="cs"/>
          <w:rtl/>
        </w:rPr>
        <w:t xml:space="preserve">غياب </w:t>
      </w:r>
      <w:r w:rsidR="00EB70D4" w:rsidRPr="001045E9">
        <w:rPr>
          <w:rFonts w:hint="cs"/>
          <w:spacing w:val="-4"/>
          <w:rtl/>
        </w:rPr>
        <w:t>سبل الانتصاف الفعالة المتاحة لهن</w:t>
      </w:r>
      <w:r w:rsidRPr="001045E9">
        <w:rPr>
          <w:rFonts w:hint="cs"/>
          <w:spacing w:val="-4"/>
          <w:rtl/>
        </w:rPr>
        <w:t xml:space="preserve"> كضحايا انتهاكات سابقة لحقوق الإنسان (المواد 2 و7 و8).</w:t>
      </w:r>
    </w:p>
    <w:p w:rsidR="00B329FD" w:rsidRPr="00441D71" w:rsidRDefault="00EB70D4" w:rsidP="00B329FD">
      <w:pPr>
        <w:pStyle w:val="SingleTxtGA"/>
        <w:rPr>
          <w:b/>
          <w:bCs/>
          <w:rtl/>
        </w:rPr>
      </w:pPr>
      <w:r>
        <w:rPr>
          <w:rFonts w:hint="cs"/>
          <w:b/>
          <w:bCs/>
          <w:rtl/>
        </w:rPr>
        <w:tab/>
      </w:r>
      <w:r w:rsidR="00B329FD">
        <w:rPr>
          <w:rFonts w:hint="cs"/>
          <w:b/>
          <w:bCs/>
          <w:rtl/>
        </w:rPr>
        <w:t>ينبغي أن تتخذ الدولة الطرف</w:t>
      </w:r>
      <w:r w:rsidR="00B329FD" w:rsidRPr="00441D71">
        <w:rPr>
          <w:rFonts w:hint="cs"/>
          <w:b/>
          <w:bCs/>
          <w:rtl/>
        </w:rPr>
        <w:t xml:space="preserve"> </w:t>
      </w:r>
      <w:r w:rsidR="00B329FD">
        <w:rPr>
          <w:rFonts w:hint="cs"/>
          <w:b/>
          <w:bCs/>
          <w:rtl/>
        </w:rPr>
        <w:t>فور</w:t>
      </w:r>
      <w:r w:rsidR="005D023E">
        <w:rPr>
          <w:rFonts w:hint="cs"/>
          <w:b/>
          <w:bCs/>
          <w:rtl/>
        </w:rPr>
        <w:t xml:space="preserve">اً </w:t>
      </w:r>
      <w:r w:rsidR="00B329FD" w:rsidRPr="00441D71">
        <w:rPr>
          <w:rFonts w:hint="cs"/>
          <w:b/>
          <w:bCs/>
          <w:rtl/>
        </w:rPr>
        <w:t>تدابير تشريعية وإدارية فعالة لضمان:</w:t>
      </w:r>
    </w:p>
    <w:p w:rsidR="00B329FD" w:rsidRPr="00EB70D4" w:rsidRDefault="00EB70D4" w:rsidP="00B329FD">
      <w:pPr>
        <w:pStyle w:val="SingleTxtGA"/>
        <w:rPr>
          <w:b/>
          <w:bCs/>
        </w:rPr>
      </w:pPr>
      <w:r w:rsidRPr="00EB70D4">
        <w:rPr>
          <w:rFonts w:hint="cs"/>
          <w:b/>
          <w:bCs/>
          <w:rtl/>
        </w:rPr>
        <w:tab/>
        <w:t>(أ)</w:t>
      </w:r>
      <w:r w:rsidRPr="00EB70D4">
        <w:rPr>
          <w:rFonts w:hint="cs"/>
          <w:b/>
          <w:bCs/>
          <w:rtl/>
        </w:rPr>
        <w:tab/>
      </w:r>
      <w:r w:rsidR="00B329FD" w:rsidRPr="00EB70D4">
        <w:rPr>
          <w:rFonts w:hint="cs"/>
          <w:b/>
          <w:bCs/>
          <w:rtl/>
        </w:rPr>
        <w:t>إجراء تحقيق فعال ومستقل ونزيه في جميع مزاعم الاسترقاق الجنسي أو غيره من انتهاكات حقوق الإنسان التي ارتكبها الجيش الياباني إبان الحرب ضد "نساء المتعة" وملاحقة المذنبين ومعاقبتهم في حال إدانتهم؛</w:t>
      </w:r>
    </w:p>
    <w:p w:rsidR="00B329FD" w:rsidRPr="00EB70D4" w:rsidRDefault="00EB70D4" w:rsidP="00EB70D4">
      <w:pPr>
        <w:pStyle w:val="SingleTxtGA"/>
        <w:rPr>
          <w:b/>
          <w:bCs/>
        </w:rPr>
      </w:pPr>
      <w:r w:rsidRPr="00EB70D4">
        <w:rPr>
          <w:rFonts w:hint="cs"/>
          <w:b/>
          <w:bCs/>
          <w:rtl/>
        </w:rPr>
        <w:tab/>
        <w:t>(ب)</w:t>
      </w:r>
      <w:r w:rsidRPr="00EB70D4">
        <w:rPr>
          <w:rFonts w:hint="cs"/>
          <w:b/>
          <w:bCs/>
          <w:rtl/>
        </w:rPr>
        <w:tab/>
        <w:t xml:space="preserve">وتمكن الضحايا وأسرّهن من اللجوء إلى القضاء وجبر الأضرار اللاحقة بهن على النحو الكامل؛ </w:t>
      </w:r>
    </w:p>
    <w:p w:rsidR="00B329FD" w:rsidRPr="00EB70D4" w:rsidRDefault="00EB70D4" w:rsidP="00B329FD">
      <w:pPr>
        <w:pStyle w:val="SingleTxtGA"/>
        <w:rPr>
          <w:b/>
          <w:bCs/>
        </w:rPr>
      </w:pPr>
      <w:r w:rsidRPr="00EB70D4">
        <w:rPr>
          <w:rFonts w:hint="cs"/>
          <w:b/>
          <w:bCs/>
          <w:rtl/>
        </w:rPr>
        <w:tab/>
        <w:t>(ج)</w:t>
      </w:r>
      <w:r w:rsidRPr="00EB70D4">
        <w:rPr>
          <w:rFonts w:hint="cs"/>
          <w:b/>
          <w:bCs/>
          <w:rtl/>
        </w:rPr>
        <w:tab/>
      </w:r>
      <w:r w:rsidR="00B329FD" w:rsidRPr="00EB70D4">
        <w:rPr>
          <w:rFonts w:hint="cs"/>
          <w:b/>
          <w:bCs/>
          <w:rtl/>
        </w:rPr>
        <w:t>الكشف عن جميع الأدلة المتاحة؛</w:t>
      </w:r>
    </w:p>
    <w:p w:rsidR="00B329FD" w:rsidRPr="00EB70D4" w:rsidRDefault="00EB70D4" w:rsidP="00EB70D4">
      <w:pPr>
        <w:pStyle w:val="SingleTxtGA"/>
        <w:rPr>
          <w:b/>
          <w:bCs/>
          <w:rtl/>
        </w:rPr>
      </w:pPr>
      <w:r w:rsidRPr="00EB70D4">
        <w:rPr>
          <w:rFonts w:hint="cs"/>
          <w:b/>
          <w:bCs/>
          <w:rtl/>
        </w:rPr>
        <w:tab/>
      </w:r>
      <w:r w:rsidR="00B329FD" w:rsidRPr="00EB70D4">
        <w:rPr>
          <w:rFonts w:hint="cs"/>
          <w:b/>
          <w:bCs/>
          <w:rtl/>
        </w:rPr>
        <w:t>(د)</w:t>
      </w:r>
      <w:r w:rsidRPr="00EB70D4">
        <w:rPr>
          <w:rFonts w:hint="cs"/>
          <w:b/>
          <w:bCs/>
          <w:rtl/>
        </w:rPr>
        <w:tab/>
      </w:r>
      <w:r w:rsidR="00B329FD" w:rsidRPr="00EB70D4">
        <w:rPr>
          <w:rFonts w:hint="cs"/>
          <w:b/>
          <w:bCs/>
          <w:rtl/>
        </w:rPr>
        <w:t xml:space="preserve">تثقيف الطلبة والجمهور فيما يتعلق بهذه المسألة وإدراج إشارات كافية </w:t>
      </w:r>
      <w:r w:rsidRPr="00EB70D4">
        <w:rPr>
          <w:rFonts w:hint="cs"/>
          <w:b/>
          <w:bCs/>
          <w:rtl/>
        </w:rPr>
        <w:t xml:space="preserve">إليها </w:t>
      </w:r>
      <w:r w:rsidR="00B329FD" w:rsidRPr="00EB70D4">
        <w:rPr>
          <w:rFonts w:hint="cs"/>
          <w:b/>
          <w:bCs/>
          <w:rtl/>
        </w:rPr>
        <w:t>في الكتب المدرسية؛</w:t>
      </w:r>
    </w:p>
    <w:p w:rsidR="00B329FD" w:rsidRPr="00EB70D4" w:rsidRDefault="00EB70D4" w:rsidP="00EB70D4">
      <w:pPr>
        <w:pStyle w:val="SingleTxtGA"/>
        <w:rPr>
          <w:b/>
          <w:bCs/>
          <w:rtl/>
        </w:rPr>
      </w:pPr>
      <w:r w:rsidRPr="00EB70D4">
        <w:rPr>
          <w:rFonts w:hint="cs"/>
          <w:b/>
          <w:bCs/>
          <w:rtl/>
        </w:rPr>
        <w:tab/>
      </w:r>
      <w:r w:rsidR="00B329FD" w:rsidRPr="00EB70D4">
        <w:rPr>
          <w:rFonts w:hint="cs"/>
          <w:b/>
          <w:bCs/>
          <w:rtl/>
        </w:rPr>
        <w:t>(</w:t>
      </w:r>
      <w:r w:rsidRPr="00EB70D4">
        <w:rPr>
          <w:rFonts w:hint="cs"/>
          <w:b/>
          <w:bCs/>
          <w:sz w:val="30"/>
          <w:rtl/>
        </w:rPr>
        <w:t>ﻫ</w:t>
      </w:r>
      <w:r w:rsidR="00B329FD" w:rsidRPr="00EB70D4">
        <w:rPr>
          <w:rFonts w:hint="cs"/>
          <w:b/>
          <w:bCs/>
          <w:rtl/>
        </w:rPr>
        <w:t>)</w:t>
      </w:r>
      <w:r w:rsidRPr="00EB70D4">
        <w:rPr>
          <w:rFonts w:hint="cs"/>
          <w:b/>
          <w:bCs/>
          <w:rtl/>
        </w:rPr>
        <w:tab/>
      </w:r>
      <w:r w:rsidR="00B329FD" w:rsidRPr="00EB70D4">
        <w:rPr>
          <w:rFonts w:hint="cs"/>
          <w:b/>
          <w:bCs/>
          <w:rtl/>
        </w:rPr>
        <w:t>الاعتذار العلني والاعتراف الرسمي بمسؤولية الدولة الطرف؛</w:t>
      </w:r>
    </w:p>
    <w:p w:rsidR="00B329FD" w:rsidRPr="00EB70D4" w:rsidRDefault="00EB70D4" w:rsidP="00EB70D4">
      <w:pPr>
        <w:pStyle w:val="SingleTxtGA"/>
        <w:rPr>
          <w:b/>
          <w:bCs/>
          <w:rtl/>
        </w:rPr>
      </w:pPr>
      <w:r w:rsidRPr="00EB70D4">
        <w:rPr>
          <w:rFonts w:hint="cs"/>
          <w:b/>
          <w:bCs/>
          <w:rtl/>
        </w:rPr>
        <w:tab/>
      </w:r>
      <w:r w:rsidR="00B329FD" w:rsidRPr="00EB70D4">
        <w:rPr>
          <w:rFonts w:hint="cs"/>
          <w:b/>
          <w:bCs/>
          <w:rtl/>
        </w:rPr>
        <w:t>(و)</w:t>
      </w:r>
      <w:r w:rsidRPr="00EB70D4">
        <w:rPr>
          <w:rFonts w:hint="cs"/>
          <w:b/>
          <w:bCs/>
          <w:rtl/>
        </w:rPr>
        <w:tab/>
      </w:r>
      <w:r w:rsidR="00B329FD" w:rsidRPr="00EB70D4">
        <w:rPr>
          <w:rFonts w:hint="cs"/>
          <w:b/>
          <w:bCs/>
          <w:rtl/>
        </w:rPr>
        <w:t>التنديد بأي محاولة للتشهير بالضحايا أو إنكار الأحداث.</w:t>
      </w:r>
    </w:p>
    <w:p w:rsidR="00B329FD" w:rsidRPr="009C2FAD" w:rsidRDefault="00EB70D4" w:rsidP="00EB70D4">
      <w:pPr>
        <w:pStyle w:val="H23GA"/>
        <w:rPr>
          <w:rtl/>
        </w:rPr>
      </w:pPr>
      <w:r>
        <w:rPr>
          <w:rFonts w:hint="cs"/>
          <w:rtl/>
        </w:rPr>
        <w:tab/>
      </w:r>
      <w:r>
        <w:rPr>
          <w:rFonts w:hint="cs"/>
          <w:rtl/>
        </w:rPr>
        <w:tab/>
      </w:r>
      <w:r w:rsidR="00B329FD" w:rsidRPr="009C2FAD">
        <w:rPr>
          <w:rFonts w:hint="cs"/>
          <w:rtl/>
        </w:rPr>
        <w:t>الاتجار بالبشر</w:t>
      </w:r>
    </w:p>
    <w:p w:rsidR="00B329FD" w:rsidRDefault="00EB70D4" w:rsidP="00EB70D4">
      <w:pPr>
        <w:pStyle w:val="SingleTxtGA"/>
        <w:rPr>
          <w:rtl/>
        </w:rPr>
      </w:pPr>
      <w:r>
        <w:rPr>
          <w:rFonts w:hint="cs"/>
          <w:rtl/>
        </w:rPr>
        <w:t>15-</w:t>
      </w:r>
      <w:r>
        <w:rPr>
          <w:rFonts w:hint="cs"/>
          <w:rtl/>
        </w:rPr>
        <w:tab/>
      </w:r>
      <w:r w:rsidR="00B329FD">
        <w:rPr>
          <w:rFonts w:hint="cs"/>
          <w:rtl/>
        </w:rPr>
        <w:t xml:space="preserve">تعرب اللجنة عن تقديرها لما تبذله الدولة الطرف من جهود في سبيل التصدي للاتجار بالبشر، </w:t>
      </w:r>
      <w:r>
        <w:rPr>
          <w:rFonts w:hint="cs"/>
          <w:rtl/>
        </w:rPr>
        <w:t>إلا أنها ل</w:t>
      </w:r>
      <w:r w:rsidR="00B329FD">
        <w:rPr>
          <w:rFonts w:hint="cs"/>
          <w:rtl/>
        </w:rPr>
        <w:t xml:space="preserve">ا تزال قلقة إزاء استمرار الظاهرة وانخفاض عدد عقوبات السجن المحكوم بها على المذنبين نتيجة عدم مقاضاة أي من المتورطين في العمل الجبري وتراجع عملية تحديد الضحايا ونقص الدعم المقدم إليهم (المادة 8). </w:t>
      </w:r>
    </w:p>
    <w:p w:rsidR="00B329FD" w:rsidRPr="0026731C" w:rsidRDefault="00EB70D4" w:rsidP="00EB70D4">
      <w:pPr>
        <w:pStyle w:val="SingleTxtGA"/>
        <w:rPr>
          <w:b/>
          <w:bCs/>
          <w:rtl/>
        </w:rPr>
      </w:pPr>
      <w:r>
        <w:rPr>
          <w:rFonts w:hint="cs"/>
          <w:b/>
          <w:bCs/>
          <w:rtl/>
        </w:rPr>
        <w:tab/>
      </w:r>
      <w:r w:rsidR="00B329FD" w:rsidRPr="0026731C">
        <w:rPr>
          <w:rFonts w:hint="cs"/>
          <w:b/>
          <w:bCs/>
          <w:rtl/>
        </w:rPr>
        <w:t>تمشي</w:t>
      </w:r>
      <w:r w:rsidR="005D023E">
        <w:rPr>
          <w:rFonts w:hint="cs"/>
          <w:b/>
          <w:bCs/>
          <w:rtl/>
        </w:rPr>
        <w:t xml:space="preserve">اً </w:t>
      </w:r>
      <w:r w:rsidR="00B329FD" w:rsidRPr="0026731C">
        <w:rPr>
          <w:rFonts w:hint="cs"/>
          <w:b/>
          <w:bCs/>
          <w:rtl/>
        </w:rPr>
        <w:t xml:space="preserve">مع الملاحظات الختامية السابقة للجنة (انظر </w:t>
      </w:r>
      <w:r w:rsidR="00B329FD" w:rsidRPr="001725C9">
        <w:rPr>
          <w:b/>
          <w:bCs/>
        </w:rPr>
        <w:t>CCPR/C/JPN/CO/5</w:t>
      </w:r>
      <w:r w:rsidR="00B329FD" w:rsidRPr="0026731C">
        <w:rPr>
          <w:rFonts w:hint="cs"/>
          <w:b/>
          <w:bCs/>
          <w:rtl/>
        </w:rPr>
        <w:t>، الفقرة</w:t>
      </w:r>
      <w:r>
        <w:rPr>
          <w:rFonts w:hint="eastAsia"/>
          <w:b/>
          <w:bCs/>
          <w:rtl/>
        </w:rPr>
        <w:t> </w:t>
      </w:r>
      <w:r w:rsidR="00B329FD" w:rsidRPr="0026731C">
        <w:rPr>
          <w:rFonts w:hint="cs"/>
          <w:b/>
          <w:bCs/>
          <w:rtl/>
        </w:rPr>
        <w:t>23)، ينبغي أن تقوم الدولة الطرف بما يلي:</w:t>
      </w:r>
    </w:p>
    <w:p w:rsidR="00B329FD" w:rsidRPr="0026731C" w:rsidRDefault="00EB70D4" w:rsidP="00EB70D4">
      <w:pPr>
        <w:pStyle w:val="SingleTxtGA"/>
        <w:rPr>
          <w:b/>
          <w:bCs/>
        </w:rPr>
      </w:pPr>
      <w:r>
        <w:rPr>
          <w:rFonts w:hint="cs"/>
          <w:b/>
          <w:bCs/>
          <w:rtl/>
        </w:rPr>
        <w:tab/>
        <w:t>(أ)</w:t>
      </w:r>
      <w:r>
        <w:rPr>
          <w:rFonts w:hint="cs"/>
          <w:b/>
          <w:bCs/>
          <w:rtl/>
        </w:rPr>
        <w:tab/>
      </w:r>
      <w:r w:rsidR="00B329FD" w:rsidRPr="0026731C">
        <w:rPr>
          <w:rFonts w:hint="cs"/>
          <w:b/>
          <w:bCs/>
          <w:rtl/>
        </w:rPr>
        <w:t>تحسين إجراءات تحديد الضحايا، لا</w:t>
      </w:r>
      <w:r w:rsidR="00277B79">
        <w:rPr>
          <w:rFonts w:hint="cs"/>
          <w:b/>
          <w:bCs/>
          <w:rtl/>
        </w:rPr>
        <w:t xml:space="preserve"> </w:t>
      </w:r>
      <w:r w:rsidR="00B329FD" w:rsidRPr="0026731C">
        <w:rPr>
          <w:rFonts w:hint="cs"/>
          <w:b/>
          <w:bCs/>
          <w:rtl/>
        </w:rPr>
        <w:t xml:space="preserve">سيما ضحايا العمل الجبري، وتوفير تدريب متخصص لجميع الموظفين المكلفين بإنفاذ القانون، بمن فيهم مفتشو العمل؛ </w:t>
      </w:r>
    </w:p>
    <w:p w:rsidR="00B329FD" w:rsidRPr="0026731C" w:rsidRDefault="00EB70D4" w:rsidP="00B329FD">
      <w:pPr>
        <w:pStyle w:val="SingleTxtGA"/>
        <w:rPr>
          <w:b/>
          <w:bCs/>
        </w:rPr>
      </w:pPr>
      <w:r>
        <w:rPr>
          <w:rFonts w:hint="cs"/>
          <w:b/>
          <w:bCs/>
          <w:rtl/>
        </w:rPr>
        <w:tab/>
        <w:t>(ب)</w:t>
      </w:r>
      <w:r>
        <w:rPr>
          <w:rFonts w:hint="cs"/>
          <w:b/>
          <w:bCs/>
          <w:rtl/>
        </w:rPr>
        <w:tab/>
      </w:r>
      <w:r w:rsidR="00B329FD">
        <w:rPr>
          <w:rFonts w:hint="cs"/>
          <w:b/>
          <w:bCs/>
          <w:rtl/>
        </w:rPr>
        <w:t xml:space="preserve">إجراء </w:t>
      </w:r>
      <w:r w:rsidR="00B329FD" w:rsidRPr="0026731C">
        <w:rPr>
          <w:rFonts w:hint="cs"/>
          <w:b/>
          <w:bCs/>
          <w:rtl/>
        </w:rPr>
        <w:t xml:space="preserve">تحقيق </w:t>
      </w:r>
      <w:r w:rsidR="00B329FD">
        <w:rPr>
          <w:rFonts w:hint="cs"/>
          <w:b/>
          <w:bCs/>
          <w:rtl/>
        </w:rPr>
        <w:t>صارم</w:t>
      </w:r>
      <w:r w:rsidR="00B329FD" w:rsidRPr="0026731C">
        <w:rPr>
          <w:rFonts w:hint="cs"/>
          <w:b/>
          <w:bCs/>
          <w:rtl/>
        </w:rPr>
        <w:t xml:space="preserve"> مع</w:t>
      </w:r>
      <w:r w:rsidR="00B329FD">
        <w:rPr>
          <w:rFonts w:hint="cs"/>
          <w:b/>
          <w:bCs/>
          <w:rtl/>
        </w:rPr>
        <w:t xml:space="preserve"> المذنبين وملاحقتهم ومعاقبتهم، في حال إدانتهم، بما يتناسب وخطورة الأفعال المرتكبة</w:t>
      </w:r>
      <w:r w:rsidR="00B329FD" w:rsidRPr="0026731C">
        <w:rPr>
          <w:rFonts w:hint="cs"/>
          <w:b/>
          <w:bCs/>
          <w:rtl/>
        </w:rPr>
        <w:t>؛</w:t>
      </w:r>
    </w:p>
    <w:p w:rsidR="00B329FD" w:rsidRPr="0026731C" w:rsidRDefault="00EB70D4" w:rsidP="00EB70D4">
      <w:pPr>
        <w:pStyle w:val="SingleTxtGA"/>
        <w:rPr>
          <w:b/>
          <w:bCs/>
          <w:rtl/>
        </w:rPr>
      </w:pPr>
      <w:r>
        <w:rPr>
          <w:rFonts w:hint="cs"/>
          <w:b/>
          <w:bCs/>
          <w:rtl/>
        </w:rPr>
        <w:tab/>
      </w:r>
      <w:r w:rsidR="00B329FD" w:rsidRPr="0026731C">
        <w:rPr>
          <w:rFonts w:hint="cs"/>
          <w:b/>
          <w:bCs/>
          <w:rtl/>
        </w:rPr>
        <w:t>(ج)</w:t>
      </w:r>
      <w:r>
        <w:rPr>
          <w:rFonts w:hint="cs"/>
          <w:b/>
          <w:bCs/>
          <w:rtl/>
        </w:rPr>
        <w:tab/>
      </w:r>
      <w:r w:rsidR="00B329FD" w:rsidRPr="0026731C">
        <w:rPr>
          <w:rFonts w:hint="cs"/>
          <w:b/>
          <w:bCs/>
          <w:rtl/>
        </w:rPr>
        <w:t>تحسين التدابير المتخذة حالي</w:t>
      </w:r>
      <w:r w:rsidR="005D023E">
        <w:rPr>
          <w:rFonts w:hint="cs"/>
          <w:b/>
          <w:bCs/>
          <w:rtl/>
        </w:rPr>
        <w:t xml:space="preserve">اً </w:t>
      </w:r>
      <w:r w:rsidR="00B329FD" w:rsidRPr="0026731C">
        <w:rPr>
          <w:rFonts w:hint="cs"/>
          <w:b/>
          <w:bCs/>
          <w:rtl/>
        </w:rPr>
        <w:t xml:space="preserve">لحماية الضحايا، بما في ذلك خدمات الترجمة الفورية والدعم القانوني </w:t>
      </w:r>
      <w:r w:rsidR="00B329FD">
        <w:rPr>
          <w:rFonts w:hint="cs"/>
          <w:b/>
          <w:bCs/>
          <w:rtl/>
        </w:rPr>
        <w:t xml:space="preserve">المقدم </w:t>
      </w:r>
      <w:r w:rsidR="00B329FD" w:rsidRPr="0026731C">
        <w:rPr>
          <w:rFonts w:hint="cs"/>
          <w:b/>
          <w:bCs/>
          <w:rtl/>
        </w:rPr>
        <w:t>لطلب التعويض.</w:t>
      </w:r>
    </w:p>
    <w:p w:rsidR="00B329FD" w:rsidRPr="0026731C" w:rsidRDefault="00EB70D4" w:rsidP="00EB70D4">
      <w:pPr>
        <w:pStyle w:val="H23GA"/>
        <w:rPr>
          <w:rtl/>
        </w:rPr>
      </w:pPr>
      <w:r>
        <w:rPr>
          <w:rFonts w:hint="cs"/>
          <w:rtl/>
        </w:rPr>
        <w:tab/>
      </w:r>
      <w:r>
        <w:rPr>
          <w:rFonts w:hint="cs"/>
          <w:rtl/>
        </w:rPr>
        <w:tab/>
      </w:r>
      <w:r w:rsidR="00B329FD" w:rsidRPr="0026731C">
        <w:rPr>
          <w:rFonts w:hint="cs"/>
          <w:rtl/>
        </w:rPr>
        <w:t>برنامج التدريب التقني الداخلي</w:t>
      </w:r>
    </w:p>
    <w:p w:rsidR="00B329FD" w:rsidRPr="00A4175A" w:rsidRDefault="00EB70D4" w:rsidP="00EB70D4">
      <w:pPr>
        <w:pStyle w:val="SingleTxtGA"/>
        <w:rPr>
          <w:b/>
          <w:bCs/>
          <w:rtl/>
        </w:rPr>
      </w:pPr>
      <w:r>
        <w:rPr>
          <w:rFonts w:hint="cs"/>
          <w:rtl/>
        </w:rPr>
        <w:t>16-</w:t>
      </w:r>
      <w:r>
        <w:rPr>
          <w:rFonts w:hint="cs"/>
          <w:rtl/>
        </w:rPr>
        <w:tab/>
      </w:r>
      <w:r w:rsidR="00B329FD" w:rsidRPr="00A4175A">
        <w:rPr>
          <w:rFonts w:hint="cs"/>
          <w:rtl/>
        </w:rPr>
        <w:t xml:space="preserve">تلاحظ اللجنة مع القلق أنه على الرغم من التعديلات التشريعية التي </w:t>
      </w:r>
      <w:r w:rsidR="00B329FD">
        <w:rPr>
          <w:rFonts w:hint="cs"/>
          <w:rtl/>
        </w:rPr>
        <w:t>أفضت إلى ت</w:t>
      </w:r>
      <w:r w:rsidR="00B329FD" w:rsidRPr="00A4175A">
        <w:rPr>
          <w:rFonts w:hint="cs"/>
          <w:rtl/>
        </w:rPr>
        <w:t>وس</w:t>
      </w:r>
      <w:r w:rsidR="00B329FD">
        <w:rPr>
          <w:rFonts w:hint="cs"/>
          <w:rtl/>
        </w:rPr>
        <w:t>ي</w:t>
      </w:r>
      <w:r w:rsidR="00B329FD" w:rsidRPr="00A4175A">
        <w:rPr>
          <w:rFonts w:hint="cs"/>
          <w:rtl/>
        </w:rPr>
        <w:t xml:space="preserve">ع نطاق الحماية المنصوص عليها في تشريع العمل ليشمل المتدربين الأجانب والمتدربين التقنيين لا تزال ثمة تقارير كثيرة تفيد </w:t>
      </w:r>
      <w:r w:rsidR="00B329FD">
        <w:rPr>
          <w:rFonts w:hint="cs"/>
          <w:rtl/>
        </w:rPr>
        <w:t xml:space="preserve">بأن </w:t>
      </w:r>
      <w:r w:rsidR="00B329FD" w:rsidRPr="00A4175A">
        <w:rPr>
          <w:rFonts w:hint="cs"/>
          <w:rtl/>
        </w:rPr>
        <w:t xml:space="preserve">برنامج التدريب التقني الداخلي </w:t>
      </w:r>
      <w:r w:rsidR="00B329FD">
        <w:rPr>
          <w:rFonts w:hint="cs"/>
          <w:rtl/>
        </w:rPr>
        <w:t>يشهد وقوع</w:t>
      </w:r>
      <w:r w:rsidR="00B329FD" w:rsidRPr="00A4175A">
        <w:rPr>
          <w:rFonts w:hint="cs"/>
          <w:rtl/>
        </w:rPr>
        <w:t xml:space="preserve"> اعتداءات جنسية ووفيات متصلة بالعمل و</w:t>
      </w:r>
      <w:r w:rsidR="00B329FD">
        <w:rPr>
          <w:rFonts w:hint="cs"/>
          <w:rtl/>
        </w:rPr>
        <w:t>ي</w:t>
      </w:r>
      <w:r>
        <w:rPr>
          <w:rFonts w:hint="cs"/>
          <w:rtl/>
        </w:rPr>
        <w:t xml:space="preserve">تسّم </w:t>
      </w:r>
      <w:r w:rsidR="00B329FD">
        <w:rPr>
          <w:rFonts w:hint="cs"/>
          <w:rtl/>
        </w:rPr>
        <w:t>ب</w:t>
      </w:r>
      <w:r w:rsidR="00B329FD" w:rsidRPr="00A4175A">
        <w:rPr>
          <w:rFonts w:hint="cs"/>
          <w:rtl/>
        </w:rPr>
        <w:t xml:space="preserve">ظروف </w:t>
      </w:r>
      <w:r w:rsidR="00B329FD">
        <w:rPr>
          <w:rFonts w:hint="cs"/>
          <w:rtl/>
        </w:rPr>
        <w:t xml:space="preserve">عمل </w:t>
      </w:r>
      <w:r w:rsidR="00B329FD" w:rsidRPr="00A4175A">
        <w:rPr>
          <w:rFonts w:hint="cs"/>
          <w:rtl/>
        </w:rPr>
        <w:t xml:space="preserve">قد </w:t>
      </w:r>
      <w:r>
        <w:rPr>
          <w:rFonts w:hint="cs"/>
          <w:rtl/>
        </w:rPr>
        <w:t xml:space="preserve">ترقى </w:t>
      </w:r>
      <w:r w:rsidR="00B329FD">
        <w:rPr>
          <w:rFonts w:hint="cs"/>
          <w:rtl/>
        </w:rPr>
        <w:t>إلى حد السخرة</w:t>
      </w:r>
      <w:r w:rsidR="00B329FD" w:rsidRPr="00A4175A">
        <w:rPr>
          <w:rFonts w:hint="cs"/>
          <w:rtl/>
        </w:rPr>
        <w:t xml:space="preserve"> (المادتان 2 و8)</w:t>
      </w:r>
      <w:r w:rsidR="00B329FD" w:rsidRPr="00A4175A">
        <w:rPr>
          <w:rFonts w:hint="cs"/>
          <w:b/>
          <w:bCs/>
          <w:rtl/>
        </w:rPr>
        <w:t>.</w:t>
      </w:r>
    </w:p>
    <w:p w:rsidR="00B329FD" w:rsidRDefault="00EB70D4" w:rsidP="00F60D14">
      <w:pPr>
        <w:pStyle w:val="SingleTxtGA"/>
        <w:rPr>
          <w:rtl/>
        </w:rPr>
      </w:pPr>
      <w:r>
        <w:rPr>
          <w:rFonts w:hint="cs"/>
          <w:b/>
          <w:bCs/>
          <w:rtl/>
        </w:rPr>
        <w:tab/>
      </w:r>
      <w:r w:rsidR="00B329FD" w:rsidRPr="00A4175A">
        <w:rPr>
          <w:rFonts w:hint="cs"/>
          <w:b/>
          <w:bCs/>
          <w:rtl/>
        </w:rPr>
        <w:t>تمشي</w:t>
      </w:r>
      <w:r w:rsidR="005D023E">
        <w:rPr>
          <w:rFonts w:hint="cs"/>
          <w:b/>
          <w:bCs/>
          <w:rtl/>
        </w:rPr>
        <w:t xml:space="preserve">اً </w:t>
      </w:r>
      <w:r w:rsidR="00B329FD" w:rsidRPr="00A4175A">
        <w:rPr>
          <w:rFonts w:hint="cs"/>
          <w:b/>
          <w:bCs/>
          <w:rtl/>
        </w:rPr>
        <w:t xml:space="preserve">مع الملاحظات الختامية السابقة للجنة (انظر </w:t>
      </w:r>
      <w:r w:rsidR="00B329FD" w:rsidRPr="001725C9">
        <w:rPr>
          <w:b/>
          <w:bCs/>
        </w:rPr>
        <w:t>CCPR/C/JPN/CO/5</w:t>
      </w:r>
      <w:r w:rsidR="00B329FD" w:rsidRPr="00A4175A">
        <w:rPr>
          <w:rFonts w:hint="cs"/>
          <w:b/>
          <w:bCs/>
          <w:rtl/>
        </w:rPr>
        <w:t>، الفقرة</w:t>
      </w:r>
      <w:r>
        <w:rPr>
          <w:rFonts w:hint="eastAsia"/>
          <w:b/>
          <w:bCs/>
          <w:rtl/>
        </w:rPr>
        <w:t> </w:t>
      </w:r>
      <w:r w:rsidR="00B329FD" w:rsidRPr="00A4175A">
        <w:rPr>
          <w:rFonts w:hint="cs"/>
          <w:b/>
          <w:bCs/>
          <w:rtl/>
        </w:rPr>
        <w:t>24) ينبغي أن تنظر الدولة الطرف بقوة في تعويض البرنامج الحالي بنظام جديد يركز على بناء القدرات بدل</w:t>
      </w:r>
      <w:r w:rsidR="005D023E">
        <w:rPr>
          <w:rFonts w:hint="cs"/>
          <w:b/>
          <w:bCs/>
          <w:rtl/>
        </w:rPr>
        <w:t xml:space="preserve">اً </w:t>
      </w:r>
      <w:r w:rsidR="00B329FD" w:rsidRPr="00A4175A">
        <w:rPr>
          <w:rFonts w:hint="cs"/>
          <w:b/>
          <w:bCs/>
          <w:rtl/>
        </w:rPr>
        <w:t xml:space="preserve">من توظيف عمالة منخفضة الأجور. وفي </w:t>
      </w:r>
      <w:r w:rsidR="00F60D14">
        <w:rPr>
          <w:rFonts w:hint="cs"/>
          <w:b/>
          <w:bCs/>
          <w:rtl/>
        </w:rPr>
        <w:t>ال</w:t>
      </w:r>
      <w:r w:rsidR="00B329FD" w:rsidRPr="00A4175A">
        <w:rPr>
          <w:rFonts w:hint="cs"/>
          <w:b/>
          <w:bCs/>
          <w:rtl/>
        </w:rPr>
        <w:t>أثناء</w:t>
      </w:r>
      <w:r w:rsidR="00F60D14">
        <w:rPr>
          <w:rFonts w:hint="cs"/>
          <w:b/>
          <w:bCs/>
          <w:rtl/>
        </w:rPr>
        <w:t>،</w:t>
      </w:r>
      <w:r w:rsidR="00B329FD" w:rsidRPr="00A4175A">
        <w:rPr>
          <w:rFonts w:hint="cs"/>
          <w:b/>
          <w:bCs/>
          <w:rtl/>
        </w:rPr>
        <w:t xml:space="preserve"> ينبغي للدولة الطرف </w:t>
      </w:r>
      <w:r w:rsidR="00B329FD">
        <w:rPr>
          <w:rFonts w:hint="cs"/>
          <w:b/>
          <w:bCs/>
          <w:rtl/>
        </w:rPr>
        <w:t>إجراء المزيد من عمليات</w:t>
      </w:r>
      <w:r w:rsidR="00B329FD" w:rsidRPr="00A4175A">
        <w:rPr>
          <w:rFonts w:hint="cs"/>
          <w:b/>
          <w:bCs/>
          <w:rtl/>
        </w:rPr>
        <w:t xml:space="preserve"> التفتيش في عين المكان، وإنشاء آلية مستقلة لتلقي الشكاوى وإجراء تحقيق فعال في حالات الاتجار بالعمال وغيره من انتهاكات العمل وملاحقة المذنبين ومعاقبتهم</w:t>
      </w:r>
      <w:r w:rsidR="00B329FD">
        <w:rPr>
          <w:rFonts w:hint="cs"/>
          <w:rtl/>
        </w:rPr>
        <w:t>.</w:t>
      </w:r>
    </w:p>
    <w:p w:rsidR="00B329FD" w:rsidRPr="00066B01" w:rsidRDefault="00EB70D4" w:rsidP="00EB70D4">
      <w:pPr>
        <w:pStyle w:val="H23GA"/>
        <w:rPr>
          <w:rtl/>
        </w:rPr>
      </w:pPr>
      <w:r>
        <w:rPr>
          <w:rFonts w:hint="cs"/>
          <w:rtl/>
        </w:rPr>
        <w:tab/>
      </w:r>
      <w:r>
        <w:rPr>
          <w:rFonts w:hint="cs"/>
          <w:rtl/>
        </w:rPr>
        <w:tab/>
      </w:r>
      <w:r w:rsidR="00B329FD">
        <w:rPr>
          <w:rFonts w:hint="cs"/>
          <w:rtl/>
        </w:rPr>
        <w:t>الإدخال القسري إلى</w:t>
      </w:r>
      <w:r w:rsidR="00B329FD" w:rsidRPr="00066B01">
        <w:rPr>
          <w:rFonts w:hint="cs"/>
          <w:rtl/>
        </w:rPr>
        <w:t xml:space="preserve"> المستشفى</w:t>
      </w:r>
    </w:p>
    <w:p w:rsidR="00B329FD" w:rsidRDefault="00EB70D4" w:rsidP="00F60D14">
      <w:pPr>
        <w:pStyle w:val="SingleTxtGA"/>
        <w:rPr>
          <w:rtl/>
        </w:rPr>
      </w:pPr>
      <w:r>
        <w:rPr>
          <w:rFonts w:hint="cs"/>
          <w:rtl/>
        </w:rPr>
        <w:t>17-</w:t>
      </w:r>
      <w:r>
        <w:rPr>
          <w:rFonts w:hint="cs"/>
          <w:rtl/>
        </w:rPr>
        <w:tab/>
      </w:r>
      <w:r w:rsidR="00B329FD">
        <w:rPr>
          <w:rFonts w:hint="cs"/>
          <w:rtl/>
        </w:rPr>
        <w:t xml:space="preserve">تعرب اللجنة عن قلقها </w:t>
      </w:r>
      <w:r w:rsidR="00F60D14">
        <w:rPr>
          <w:rFonts w:hint="cs"/>
          <w:rtl/>
        </w:rPr>
        <w:t xml:space="preserve">لخضوع </w:t>
      </w:r>
      <w:r w:rsidR="00B329FD">
        <w:rPr>
          <w:rFonts w:hint="cs"/>
          <w:rtl/>
        </w:rPr>
        <w:t xml:space="preserve">الكثير </w:t>
      </w:r>
      <w:r w:rsidR="00F60D14">
        <w:rPr>
          <w:rFonts w:hint="cs"/>
          <w:rtl/>
        </w:rPr>
        <w:t xml:space="preserve">ممن يعانون إعاقات ذهنية </w:t>
      </w:r>
      <w:r w:rsidR="00B329FD">
        <w:rPr>
          <w:rFonts w:hint="cs"/>
          <w:rtl/>
        </w:rPr>
        <w:t>للإدخال القسري إلى المستشفى على نطاق واسع جد</w:t>
      </w:r>
      <w:r w:rsidR="005D023E">
        <w:rPr>
          <w:rFonts w:hint="cs"/>
          <w:rtl/>
        </w:rPr>
        <w:t xml:space="preserve">اً </w:t>
      </w:r>
      <w:r w:rsidR="00B329FD">
        <w:rPr>
          <w:rFonts w:hint="cs"/>
          <w:rtl/>
        </w:rPr>
        <w:t>ومن دون الوصول إلى سبيل انتصاف فعال يسمح لهم بالاعتراض على حالات انتهاك حقوقهم، ولأن إقامتهم في المستشفى تمدد</w:t>
      </w:r>
      <w:r w:rsidR="00F60D14">
        <w:rPr>
          <w:rFonts w:hint="cs"/>
          <w:rtl/>
        </w:rPr>
        <w:t>،</w:t>
      </w:r>
      <w:r w:rsidR="00B329FD">
        <w:rPr>
          <w:rFonts w:hint="cs"/>
          <w:rtl/>
        </w:rPr>
        <w:t xml:space="preserve"> حسبما يقال</w:t>
      </w:r>
      <w:r w:rsidR="00F60D14">
        <w:rPr>
          <w:rFonts w:hint="cs"/>
          <w:rtl/>
        </w:rPr>
        <w:t>،</w:t>
      </w:r>
      <w:r w:rsidR="00B329FD">
        <w:rPr>
          <w:rFonts w:hint="cs"/>
          <w:rtl/>
        </w:rPr>
        <w:t xml:space="preserve"> بصورة غير ضرورية بسبب غياب </w:t>
      </w:r>
      <w:r w:rsidR="00F60D14">
        <w:rPr>
          <w:rFonts w:hint="cs"/>
          <w:rtl/>
        </w:rPr>
        <w:t>ال</w:t>
      </w:r>
      <w:r w:rsidR="00B329FD">
        <w:rPr>
          <w:rFonts w:hint="cs"/>
          <w:rtl/>
        </w:rPr>
        <w:t xml:space="preserve">خدمات </w:t>
      </w:r>
      <w:r w:rsidR="00F60D14">
        <w:rPr>
          <w:rFonts w:hint="cs"/>
          <w:rtl/>
        </w:rPr>
        <w:t>ال</w:t>
      </w:r>
      <w:r w:rsidR="00B329FD">
        <w:rPr>
          <w:rFonts w:hint="cs"/>
          <w:rtl/>
        </w:rPr>
        <w:t>بديلة (المادتان 7 و9).</w:t>
      </w:r>
    </w:p>
    <w:p w:rsidR="00B329FD" w:rsidRPr="00A4175A" w:rsidRDefault="00EB70D4" w:rsidP="00B329FD">
      <w:pPr>
        <w:pStyle w:val="SingleTxtGA"/>
        <w:rPr>
          <w:b/>
          <w:bCs/>
          <w:rtl/>
        </w:rPr>
      </w:pPr>
      <w:r>
        <w:rPr>
          <w:rFonts w:hint="cs"/>
          <w:b/>
          <w:bCs/>
          <w:rtl/>
        </w:rPr>
        <w:tab/>
      </w:r>
      <w:r w:rsidR="00B329FD" w:rsidRPr="00A4175A">
        <w:rPr>
          <w:rFonts w:hint="cs"/>
          <w:b/>
          <w:bCs/>
          <w:rtl/>
        </w:rPr>
        <w:t>ينبغي أن تقوم الدولة الطرف بما يلي:</w:t>
      </w:r>
    </w:p>
    <w:p w:rsidR="00B329FD" w:rsidRPr="00A4175A" w:rsidRDefault="00EB70D4" w:rsidP="00B329FD">
      <w:pPr>
        <w:pStyle w:val="SingleTxtGA"/>
        <w:rPr>
          <w:b/>
          <w:bCs/>
        </w:rPr>
      </w:pPr>
      <w:r>
        <w:rPr>
          <w:rFonts w:hint="cs"/>
          <w:b/>
          <w:bCs/>
          <w:rtl/>
        </w:rPr>
        <w:tab/>
        <w:t>(أ)</w:t>
      </w:r>
      <w:r>
        <w:rPr>
          <w:rFonts w:hint="cs"/>
          <w:b/>
          <w:bCs/>
          <w:rtl/>
        </w:rPr>
        <w:tab/>
      </w:r>
      <w:r w:rsidR="00B329FD" w:rsidRPr="00A4175A">
        <w:rPr>
          <w:rFonts w:hint="cs"/>
          <w:b/>
          <w:bCs/>
          <w:rtl/>
        </w:rPr>
        <w:t>زيادة توفير الخدمات المجتمعية أو البديلة للأشخاص ذوي الإعاقة؛</w:t>
      </w:r>
    </w:p>
    <w:p w:rsidR="00B329FD" w:rsidRPr="00A4175A" w:rsidRDefault="00EB70D4" w:rsidP="00F60D14">
      <w:pPr>
        <w:pStyle w:val="SingleTxtGA"/>
        <w:rPr>
          <w:b/>
          <w:bCs/>
        </w:rPr>
      </w:pPr>
      <w:r>
        <w:rPr>
          <w:rFonts w:hint="cs"/>
          <w:b/>
          <w:bCs/>
          <w:rtl/>
        </w:rPr>
        <w:tab/>
        <w:t>(ب)</w:t>
      </w:r>
      <w:r>
        <w:rPr>
          <w:rFonts w:hint="cs"/>
          <w:b/>
          <w:bCs/>
          <w:rtl/>
        </w:rPr>
        <w:tab/>
      </w:r>
      <w:r w:rsidR="00B329FD">
        <w:rPr>
          <w:rFonts w:hint="cs"/>
          <w:b/>
          <w:bCs/>
          <w:rtl/>
        </w:rPr>
        <w:t xml:space="preserve">ضمان عدم </w:t>
      </w:r>
      <w:r w:rsidR="00B329FD" w:rsidRPr="00A4175A">
        <w:rPr>
          <w:rFonts w:hint="cs"/>
          <w:b/>
          <w:bCs/>
          <w:rtl/>
        </w:rPr>
        <w:t xml:space="preserve">فرض الإدخال </w:t>
      </w:r>
      <w:r w:rsidR="00B329FD">
        <w:rPr>
          <w:rFonts w:hint="cs"/>
          <w:b/>
          <w:bCs/>
          <w:rtl/>
        </w:rPr>
        <w:t xml:space="preserve">القسري </w:t>
      </w:r>
      <w:r w:rsidR="00B329FD" w:rsidRPr="00A4175A">
        <w:rPr>
          <w:rFonts w:hint="cs"/>
          <w:b/>
          <w:bCs/>
          <w:rtl/>
        </w:rPr>
        <w:t>إلى المستشفى إلا كإجراء أخير وللمدة الزمنية الدنيا المطلوبة و</w:t>
      </w:r>
      <w:r w:rsidR="00B329FD">
        <w:rPr>
          <w:rFonts w:hint="cs"/>
          <w:b/>
          <w:bCs/>
          <w:rtl/>
        </w:rPr>
        <w:t xml:space="preserve">عدم فرضه إلا </w:t>
      </w:r>
      <w:r w:rsidR="00B329FD" w:rsidRPr="00A4175A">
        <w:rPr>
          <w:rFonts w:hint="cs"/>
          <w:b/>
          <w:bCs/>
          <w:rtl/>
        </w:rPr>
        <w:t>عندما يكون هذا الإجراء ضروري</w:t>
      </w:r>
      <w:r w:rsidR="005D023E">
        <w:rPr>
          <w:rFonts w:hint="cs"/>
          <w:b/>
          <w:bCs/>
          <w:rtl/>
        </w:rPr>
        <w:t xml:space="preserve">اً </w:t>
      </w:r>
      <w:r w:rsidR="00B329FD" w:rsidRPr="00A4175A">
        <w:rPr>
          <w:rFonts w:hint="cs"/>
          <w:b/>
          <w:bCs/>
          <w:rtl/>
        </w:rPr>
        <w:t>ومتن</w:t>
      </w:r>
      <w:r w:rsidR="00B329FD">
        <w:rPr>
          <w:rFonts w:hint="cs"/>
          <w:b/>
          <w:bCs/>
          <w:rtl/>
        </w:rPr>
        <w:t>اسب</w:t>
      </w:r>
      <w:r w:rsidR="005D023E">
        <w:rPr>
          <w:rFonts w:hint="cs"/>
          <w:b/>
          <w:bCs/>
          <w:rtl/>
        </w:rPr>
        <w:t xml:space="preserve">اً </w:t>
      </w:r>
      <w:r w:rsidR="00F60D14">
        <w:rPr>
          <w:rFonts w:hint="cs"/>
          <w:b/>
          <w:bCs/>
          <w:rtl/>
        </w:rPr>
        <w:t>وذلك بغرض حم</w:t>
      </w:r>
      <w:r w:rsidR="00B329FD">
        <w:rPr>
          <w:rFonts w:hint="cs"/>
          <w:b/>
          <w:bCs/>
          <w:rtl/>
        </w:rPr>
        <w:t>اية الشخص المعني من الضرر أو الحيلولة دون تعرض غيره</w:t>
      </w:r>
      <w:r w:rsidR="00B329FD" w:rsidRPr="00A4175A">
        <w:rPr>
          <w:rFonts w:hint="cs"/>
          <w:b/>
          <w:bCs/>
          <w:rtl/>
        </w:rPr>
        <w:t xml:space="preserve"> لإصابات؛</w:t>
      </w:r>
    </w:p>
    <w:p w:rsidR="00B329FD" w:rsidRPr="00A4175A" w:rsidRDefault="00EB70D4" w:rsidP="00EB70D4">
      <w:pPr>
        <w:pStyle w:val="SingleTxtGA"/>
        <w:rPr>
          <w:b/>
          <w:bCs/>
          <w:rtl/>
        </w:rPr>
      </w:pPr>
      <w:r>
        <w:rPr>
          <w:rFonts w:hint="cs"/>
          <w:b/>
          <w:bCs/>
          <w:rtl/>
        </w:rPr>
        <w:tab/>
      </w:r>
      <w:r w:rsidR="00B329FD" w:rsidRPr="00A4175A">
        <w:rPr>
          <w:rFonts w:hint="cs"/>
          <w:b/>
          <w:bCs/>
          <w:rtl/>
        </w:rPr>
        <w:t>(ج)</w:t>
      </w:r>
      <w:r>
        <w:rPr>
          <w:rFonts w:hint="cs"/>
          <w:b/>
          <w:bCs/>
          <w:rtl/>
        </w:rPr>
        <w:tab/>
      </w:r>
      <w:r w:rsidR="00B329FD" w:rsidRPr="00A4175A">
        <w:rPr>
          <w:rFonts w:hint="cs"/>
          <w:b/>
          <w:bCs/>
          <w:rtl/>
        </w:rPr>
        <w:t>ضمان تزويد مؤسسات الأمراض العقلية ب</w:t>
      </w:r>
      <w:r w:rsidR="00B329FD">
        <w:rPr>
          <w:rFonts w:hint="cs"/>
          <w:b/>
          <w:bCs/>
          <w:rtl/>
        </w:rPr>
        <w:t>نظام رصد وإبلاغ فعال ومستقل يهدف</w:t>
      </w:r>
      <w:r w:rsidR="00B329FD" w:rsidRPr="00A4175A">
        <w:rPr>
          <w:rFonts w:hint="cs"/>
          <w:b/>
          <w:bCs/>
          <w:rtl/>
        </w:rPr>
        <w:t xml:space="preserve"> إلى </w:t>
      </w:r>
      <w:r w:rsidR="00B329FD">
        <w:rPr>
          <w:rFonts w:hint="cs"/>
          <w:b/>
          <w:bCs/>
          <w:rtl/>
        </w:rPr>
        <w:t xml:space="preserve">إجراء </w:t>
      </w:r>
      <w:r w:rsidR="00B329FD" w:rsidRPr="00A4175A">
        <w:rPr>
          <w:rFonts w:hint="cs"/>
          <w:b/>
          <w:bCs/>
          <w:rtl/>
        </w:rPr>
        <w:t>تحقيق فعال في الاعتداءات ومعاقبة المذنبين وتقديم تعويضات إلى الضحايا وأسرهم.</w:t>
      </w:r>
    </w:p>
    <w:p w:rsidR="00B329FD" w:rsidRDefault="00EB70D4" w:rsidP="00EB70D4">
      <w:pPr>
        <w:pStyle w:val="H23GA"/>
        <w:rPr>
          <w:rtl/>
        </w:rPr>
      </w:pPr>
      <w:r>
        <w:rPr>
          <w:rFonts w:hint="cs"/>
          <w:rtl/>
        </w:rPr>
        <w:tab/>
      </w:r>
      <w:r>
        <w:rPr>
          <w:rFonts w:hint="cs"/>
          <w:rtl/>
        </w:rPr>
        <w:tab/>
      </w:r>
      <w:r w:rsidR="00B329FD">
        <w:rPr>
          <w:rFonts w:hint="cs"/>
          <w:rtl/>
        </w:rPr>
        <w:t>نظام الاحتجاز البديل</w:t>
      </w:r>
      <w:r w:rsidR="00B329FD" w:rsidRPr="00A4175A">
        <w:rPr>
          <w:rFonts w:hint="cs"/>
          <w:rtl/>
        </w:rPr>
        <w:t xml:space="preserve"> </w:t>
      </w:r>
      <w:r w:rsidR="00B329FD" w:rsidRPr="00E87AD5">
        <w:rPr>
          <w:rFonts w:hint="cs"/>
          <w:i/>
          <w:iCs/>
          <w:rtl/>
        </w:rPr>
        <w:t>(داليو كانغوكو)</w:t>
      </w:r>
      <w:r w:rsidR="00B329FD" w:rsidRPr="00A4175A">
        <w:rPr>
          <w:rFonts w:hint="cs"/>
          <w:rtl/>
        </w:rPr>
        <w:t xml:space="preserve"> والاعترافات المنتزعة </w:t>
      </w:r>
      <w:r w:rsidR="00B329FD">
        <w:rPr>
          <w:rFonts w:hint="cs"/>
          <w:rtl/>
        </w:rPr>
        <w:t>ب</w:t>
      </w:r>
      <w:r w:rsidR="00B329FD" w:rsidRPr="00A4175A">
        <w:rPr>
          <w:rFonts w:hint="cs"/>
          <w:rtl/>
        </w:rPr>
        <w:t>الإكراه</w:t>
      </w:r>
      <w:r w:rsidR="00B329FD">
        <w:rPr>
          <w:rFonts w:hint="cs"/>
          <w:rtl/>
        </w:rPr>
        <w:t xml:space="preserve"> </w:t>
      </w:r>
    </w:p>
    <w:p w:rsidR="00B329FD" w:rsidRDefault="00B329FD" w:rsidP="00F60D14">
      <w:pPr>
        <w:pStyle w:val="SingleTxtGA"/>
        <w:rPr>
          <w:rtl/>
        </w:rPr>
      </w:pPr>
      <w:r>
        <w:rPr>
          <w:rFonts w:hint="cs"/>
          <w:rtl/>
        </w:rPr>
        <w:t>18-</w:t>
      </w:r>
      <w:r w:rsidR="00F60D14">
        <w:rPr>
          <w:rFonts w:hint="cs"/>
          <w:rtl/>
        </w:rPr>
        <w:tab/>
      </w:r>
      <w:r>
        <w:rPr>
          <w:rFonts w:hint="cs"/>
          <w:rtl/>
        </w:rPr>
        <w:t xml:space="preserve">تعرب اللجنة عن قلقها </w:t>
      </w:r>
      <w:r w:rsidR="00F60D14">
        <w:rPr>
          <w:rFonts w:hint="cs"/>
          <w:rtl/>
        </w:rPr>
        <w:t xml:space="preserve">لمواصلة </w:t>
      </w:r>
      <w:r>
        <w:rPr>
          <w:rFonts w:hint="cs"/>
          <w:rtl/>
        </w:rPr>
        <w:t xml:space="preserve">الدولة الطرف تبرير استخدام نظام الاحتجاز البديل </w:t>
      </w:r>
      <w:r w:rsidRPr="00E87AD5">
        <w:rPr>
          <w:rFonts w:hint="cs"/>
          <w:i/>
          <w:iCs/>
          <w:rtl/>
        </w:rPr>
        <w:t>(داليو كانغوكو)</w:t>
      </w:r>
      <w:r>
        <w:rPr>
          <w:rFonts w:hint="cs"/>
          <w:rtl/>
        </w:rPr>
        <w:t xml:space="preserve"> متحججة في ذلك </w:t>
      </w:r>
      <w:r w:rsidR="00F60D14">
        <w:rPr>
          <w:rFonts w:hint="cs"/>
          <w:rtl/>
        </w:rPr>
        <w:t xml:space="preserve">بقلة </w:t>
      </w:r>
      <w:r>
        <w:rPr>
          <w:rFonts w:hint="cs"/>
          <w:rtl/>
        </w:rPr>
        <w:t xml:space="preserve">الموارد </w:t>
      </w:r>
      <w:r w:rsidR="00F60D14">
        <w:rPr>
          <w:rFonts w:hint="cs"/>
          <w:rtl/>
        </w:rPr>
        <w:t xml:space="preserve">المتاحة </w:t>
      </w:r>
      <w:r>
        <w:rPr>
          <w:rFonts w:hint="cs"/>
          <w:rtl/>
        </w:rPr>
        <w:t xml:space="preserve">وعدم فعالية النظام لإجراء تحقيقات جنائية. ولا تزال اللجنة قلقة لأن غياب الحق في الإفراج بكفالة أو حق الاستعانة قبل الإدانة بخدمات محام تعينه الدولة يعزز خطر انتزاع الاعترافات بالإكراه في إطار نظام </w:t>
      </w:r>
      <w:r w:rsidRPr="00E87AD5">
        <w:rPr>
          <w:rFonts w:hint="cs"/>
          <w:i/>
          <w:iCs/>
          <w:rtl/>
        </w:rPr>
        <w:t>"</w:t>
      </w:r>
      <w:r w:rsidRPr="009D17CB">
        <w:rPr>
          <w:rFonts w:hint="cs"/>
          <w:i/>
          <w:iCs/>
          <w:rtl/>
        </w:rPr>
        <w:t xml:space="preserve">داليو </w:t>
      </w:r>
      <w:r w:rsidRPr="00E87AD5">
        <w:rPr>
          <w:rFonts w:hint="cs"/>
          <w:i/>
          <w:iCs/>
          <w:rtl/>
        </w:rPr>
        <w:t>كانغوكو"</w:t>
      </w:r>
      <w:r>
        <w:rPr>
          <w:rFonts w:hint="cs"/>
          <w:rtl/>
        </w:rPr>
        <w:t>. وعلاوة على ذلك، تعرب اللجنة عن قلقها إزاء غيا</w:t>
      </w:r>
      <w:r w:rsidR="00F60D14">
        <w:rPr>
          <w:rFonts w:hint="cs"/>
          <w:rtl/>
        </w:rPr>
        <w:t>ب لوائح صارمة تنظم عمليات الاستجواب</w:t>
      </w:r>
      <w:r>
        <w:rPr>
          <w:rFonts w:hint="cs"/>
          <w:rtl/>
        </w:rPr>
        <w:t>، وتأسف لمحدودية نطاق إجراء التسجيل الإلزامي بالفيديو لعمليات الاست</w:t>
      </w:r>
      <w:r w:rsidR="00F60D14">
        <w:rPr>
          <w:rFonts w:hint="cs"/>
          <w:rtl/>
        </w:rPr>
        <w:t>جواب</w:t>
      </w:r>
      <w:r>
        <w:rPr>
          <w:rFonts w:hint="cs"/>
          <w:rtl/>
        </w:rPr>
        <w:t>، وهو الإجراء الذي اقتُرح في "تقرير خطة الإصلاح" لعام 2014 (المواد 7 و9 و10 و14).</w:t>
      </w:r>
    </w:p>
    <w:p w:rsidR="00B329FD" w:rsidRPr="00773F85" w:rsidRDefault="00F60D14" w:rsidP="00F60D14">
      <w:pPr>
        <w:pStyle w:val="SingleTxtGA"/>
        <w:rPr>
          <w:b/>
          <w:bCs/>
          <w:rtl/>
        </w:rPr>
      </w:pPr>
      <w:r>
        <w:rPr>
          <w:rFonts w:hint="cs"/>
          <w:b/>
          <w:bCs/>
          <w:rtl/>
        </w:rPr>
        <w:tab/>
      </w:r>
      <w:r w:rsidR="00B329FD" w:rsidRPr="00773F85">
        <w:rPr>
          <w:rFonts w:hint="cs"/>
          <w:b/>
          <w:bCs/>
          <w:rtl/>
        </w:rPr>
        <w:t xml:space="preserve">ينبغي أن تتخذ الدولة الطرف جميع التدابير الرامية إلى إلغاء </w:t>
      </w:r>
      <w:r w:rsidR="00B329FD">
        <w:rPr>
          <w:rFonts w:hint="cs"/>
          <w:b/>
          <w:bCs/>
          <w:rtl/>
        </w:rPr>
        <w:t>نظام الاحتجاز البديل أو ضمان امتثاله التام</w:t>
      </w:r>
      <w:r w:rsidR="00B329FD" w:rsidRPr="00773F85">
        <w:rPr>
          <w:rFonts w:hint="cs"/>
          <w:b/>
          <w:bCs/>
          <w:rtl/>
        </w:rPr>
        <w:t xml:space="preserve"> لجميع الضمانات المكفولة في مادتي العهد 9 و14، بطرق</w:t>
      </w:r>
      <w:r>
        <w:rPr>
          <w:rFonts w:hint="eastAsia"/>
          <w:b/>
          <w:bCs/>
          <w:rtl/>
        </w:rPr>
        <w:t> </w:t>
      </w:r>
      <w:r w:rsidR="00B329FD" w:rsidRPr="00773F85">
        <w:rPr>
          <w:rFonts w:hint="cs"/>
          <w:b/>
          <w:bCs/>
          <w:rtl/>
        </w:rPr>
        <w:t>منها:</w:t>
      </w:r>
    </w:p>
    <w:p w:rsidR="00B329FD" w:rsidRPr="00773F85" w:rsidRDefault="00F60D14" w:rsidP="00B329FD">
      <w:pPr>
        <w:pStyle w:val="SingleTxtGA"/>
        <w:rPr>
          <w:b/>
          <w:bCs/>
        </w:rPr>
      </w:pPr>
      <w:r>
        <w:rPr>
          <w:rFonts w:hint="cs"/>
          <w:b/>
          <w:bCs/>
          <w:rtl/>
        </w:rPr>
        <w:tab/>
        <w:t>(أ)</w:t>
      </w:r>
      <w:r>
        <w:rPr>
          <w:rFonts w:hint="cs"/>
          <w:b/>
          <w:bCs/>
          <w:rtl/>
        </w:rPr>
        <w:tab/>
      </w:r>
      <w:r w:rsidR="00B329FD">
        <w:rPr>
          <w:rFonts w:hint="cs"/>
          <w:b/>
          <w:bCs/>
          <w:rtl/>
        </w:rPr>
        <w:t xml:space="preserve">ضمان </w:t>
      </w:r>
      <w:r w:rsidR="00B329FD" w:rsidRPr="00773F85">
        <w:rPr>
          <w:rFonts w:hint="cs"/>
          <w:b/>
          <w:bCs/>
          <w:rtl/>
        </w:rPr>
        <w:t xml:space="preserve">النظر على النحو الواجب في بدائل الاحتجاز، مثل </w:t>
      </w:r>
      <w:r w:rsidR="00B329FD">
        <w:rPr>
          <w:rFonts w:hint="cs"/>
          <w:b/>
          <w:bCs/>
          <w:rtl/>
        </w:rPr>
        <w:t>الإفراج بكفالة، خلال</w:t>
      </w:r>
      <w:r w:rsidR="00B329FD" w:rsidRPr="00773F85">
        <w:rPr>
          <w:rFonts w:hint="cs"/>
          <w:b/>
          <w:bCs/>
          <w:rtl/>
        </w:rPr>
        <w:t xml:space="preserve"> الاحتجاز السابق للإدانة؛</w:t>
      </w:r>
    </w:p>
    <w:p w:rsidR="00B329FD" w:rsidRPr="00773F85" w:rsidRDefault="00F60D14" w:rsidP="00F60D14">
      <w:pPr>
        <w:pStyle w:val="SingleTxtGA"/>
        <w:rPr>
          <w:b/>
          <w:bCs/>
        </w:rPr>
      </w:pPr>
      <w:r>
        <w:rPr>
          <w:rFonts w:hint="cs"/>
          <w:b/>
          <w:bCs/>
          <w:rtl/>
        </w:rPr>
        <w:tab/>
        <w:t>(ب)</w:t>
      </w:r>
      <w:r>
        <w:rPr>
          <w:rFonts w:hint="cs"/>
          <w:b/>
          <w:bCs/>
          <w:rtl/>
        </w:rPr>
        <w:tab/>
      </w:r>
      <w:r w:rsidR="00B329FD">
        <w:rPr>
          <w:rFonts w:hint="cs"/>
          <w:b/>
          <w:bCs/>
          <w:rtl/>
        </w:rPr>
        <w:t xml:space="preserve">ضمان </w:t>
      </w:r>
      <w:r w:rsidR="00B329FD" w:rsidRPr="00773F85">
        <w:rPr>
          <w:rFonts w:hint="cs"/>
          <w:b/>
          <w:bCs/>
          <w:rtl/>
        </w:rPr>
        <w:t>حق جميع المشتبه فيهم ف</w:t>
      </w:r>
      <w:r w:rsidR="00B329FD">
        <w:rPr>
          <w:rFonts w:hint="cs"/>
          <w:b/>
          <w:bCs/>
          <w:rtl/>
        </w:rPr>
        <w:t>ي الاستعانة ب</w:t>
      </w:r>
      <w:r w:rsidR="00B329FD" w:rsidRPr="00773F85">
        <w:rPr>
          <w:rFonts w:hint="cs"/>
          <w:b/>
          <w:bCs/>
          <w:rtl/>
        </w:rPr>
        <w:t>خدمات محام منذ لحظة اعتقالهم</w:t>
      </w:r>
      <w:r w:rsidR="00B329FD">
        <w:rPr>
          <w:rFonts w:hint="cs"/>
          <w:b/>
          <w:bCs/>
          <w:rtl/>
        </w:rPr>
        <w:t>،</w:t>
      </w:r>
      <w:r w:rsidR="00B329FD" w:rsidRPr="00773F85">
        <w:rPr>
          <w:rFonts w:hint="cs"/>
          <w:b/>
          <w:bCs/>
          <w:rtl/>
        </w:rPr>
        <w:t xml:space="preserve"> وحضور المحام</w:t>
      </w:r>
      <w:r>
        <w:rPr>
          <w:rFonts w:hint="cs"/>
          <w:b/>
          <w:bCs/>
          <w:rtl/>
        </w:rPr>
        <w:t>ي</w:t>
      </w:r>
      <w:r w:rsidR="00B329FD" w:rsidRPr="00773F85">
        <w:rPr>
          <w:rFonts w:hint="cs"/>
          <w:b/>
          <w:bCs/>
          <w:rtl/>
        </w:rPr>
        <w:t xml:space="preserve"> </w:t>
      </w:r>
      <w:r w:rsidR="00B329FD">
        <w:rPr>
          <w:rFonts w:hint="cs"/>
          <w:b/>
          <w:bCs/>
          <w:rtl/>
        </w:rPr>
        <w:t xml:space="preserve">خلال </w:t>
      </w:r>
      <w:r w:rsidR="00B329FD" w:rsidRPr="00773F85">
        <w:rPr>
          <w:rFonts w:hint="cs"/>
          <w:b/>
          <w:bCs/>
          <w:rtl/>
        </w:rPr>
        <w:t>عمليات الاست</w:t>
      </w:r>
      <w:r>
        <w:rPr>
          <w:rFonts w:hint="cs"/>
          <w:b/>
          <w:bCs/>
          <w:rtl/>
        </w:rPr>
        <w:t>جواب</w:t>
      </w:r>
      <w:r w:rsidR="00B329FD" w:rsidRPr="00773F85">
        <w:rPr>
          <w:rFonts w:hint="cs"/>
          <w:b/>
          <w:bCs/>
          <w:rtl/>
        </w:rPr>
        <w:t>؛</w:t>
      </w:r>
    </w:p>
    <w:p w:rsidR="00B329FD" w:rsidRPr="00773F85" w:rsidRDefault="00F60D14" w:rsidP="00F60D14">
      <w:pPr>
        <w:pStyle w:val="SingleTxtGA"/>
        <w:rPr>
          <w:b/>
          <w:bCs/>
          <w:rtl/>
        </w:rPr>
      </w:pPr>
      <w:r>
        <w:rPr>
          <w:rFonts w:hint="cs"/>
          <w:b/>
          <w:bCs/>
          <w:rtl/>
        </w:rPr>
        <w:tab/>
        <w:t>(ج)</w:t>
      </w:r>
      <w:r>
        <w:rPr>
          <w:rFonts w:hint="cs"/>
          <w:b/>
          <w:bCs/>
          <w:rtl/>
        </w:rPr>
        <w:tab/>
      </w:r>
      <w:r w:rsidR="00B329FD">
        <w:rPr>
          <w:rFonts w:hint="cs"/>
          <w:b/>
          <w:bCs/>
          <w:rtl/>
        </w:rPr>
        <w:t xml:space="preserve">ضمان </w:t>
      </w:r>
      <w:r w:rsidR="00B329FD" w:rsidRPr="00773F85">
        <w:rPr>
          <w:rFonts w:hint="cs"/>
          <w:b/>
          <w:bCs/>
          <w:rtl/>
        </w:rPr>
        <w:t xml:space="preserve">تدابير تشريعية تحدد بصورة صارمة </w:t>
      </w:r>
      <w:r w:rsidR="00B329FD">
        <w:rPr>
          <w:rFonts w:hint="cs"/>
          <w:b/>
          <w:bCs/>
          <w:rtl/>
        </w:rPr>
        <w:t>الأساليب و</w:t>
      </w:r>
      <w:r w:rsidR="00B329FD" w:rsidRPr="00773F85">
        <w:rPr>
          <w:rFonts w:hint="cs"/>
          <w:b/>
          <w:bCs/>
          <w:rtl/>
        </w:rPr>
        <w:t>المدة الزمنية القصوى المتعلقة بالاست</w:t>
      </w:r>
      <w:r>
        <w:rPr>
          <w:rFonts w:hint="cs"/>
          <w:b/>
          <w:bCs/>
          <w:rtl/>
        </w:rPr>
        <w:t xml:space="preserve">جواب </w:t>
      </w:r>
      <w:r w:rsidR="00B329FD">
        <w:rPr>
          <w:rFonts w:hint="cs"/>
          <w:b/>
          <w:bCs/>
          <w:rtl/>
        </w:rPr>
        <w:t>الذي ينبغي أن تسجل</w:t>
      </w:r>
      <w:r w:rsidR="00B329FD" w:rsidRPr="00773F85">
        <w:rPr>
          <w:rFonts w:hint="cs"/>
          <w:b/>
          <w:bCs/>
          <w:rtl/>
        </w:rPr>
        <w:t xml:space="preserve"> كامل أطواره</w:t>
      </w:r>
      <w:r w:rsidR="00B329FD">
        <w:rPr>
          <w:rFonts w:hint="cs"/>
          <w:b/>
          <w:bCs/>
          <w:rtl/>
        </w:rPr>
        <w:t xml:space="preserve"> بالفيديو</w:t>
      </w:r>
      <w:r w:rsidR="00B329FD" w:rsidRPr="00773F85">
        <w:rPr>
          <w:rFonts w:hint="cs"/>
          <w:b/>
          <w:bCs/>
          <w:rtl/>
        </w:rPr>
        <w:t>؛</w:t>
      </w:r>
    </w:p>
    <w:p w:rsidR="00B329FD" w:rsidRPr="00773F85" w:rsidRDefault="00F60D14" w:rsidP="00F60D14">
      <w:pPr>
        <w:pStyle w:val="SingleTxtGA"/>
        <w:rPr>
          <w:b/>
          <w:bCs/>
          <w:rtl/>
        </w:rPr>
      </w:pPr>
      <w:r>
        <w:rPr>
          <w:rFonts w:hint="cs"/>
          <w:b/>
          <w:bCs/>
          <w:rtl/>
        </w:rPr>
        <w:tab/>
      </w:r>
      <w:r w:rsidR="00B329FD" w:rsidRPr="00773F85">
        <w:rPr>
          <w:rFonts w:hint="cs"/>
          <w:b/>
          <w:bCs/>
          <w:rtl/>
        </w:rPr>
        <w:t>(د)</w:t>
      </w:r>
      <w:r>
        <w:rPr>
          <w:rFonts w:hint="cs"/>
          <w:b/>
          <w:bCs/>
          <w:rtl/>
        </w:rPr>
        <w:tab/>
      </w:r>
      <w:r w:rsidR="00B329FD">
        <w:rPr>
          <w:rFonts w:hint="cs"/>
          <w:b/>
          <w:bCs/>
          <w:rtl/>
        </w:rPr>
        <w:t>ضمان آلية بشأن مراجعة الشكاوى تكون مستقلة عن المحافظات المعنية بالسلامة العامة ومخولة ا</w:t>
      </w:r>
      <w:r w:rsidR="00B329FD" w:rsidRPr="00773F85">
        <w:rPr>
          <w:rFonts w:hint="cs"/>
          <w:b/>
          <w:bCs/>
          <w:rtl/>
        </w:rPr>
        <w:t xml:space="preserve">لتحقيق بصورة سريعة ونزيهة وفعالة في مزاعم التعذيب وغيره من </w:t>
      </w:r>
      <w:r w:rsidR="00B329FD">
        <w:rPr>
          <w:rFonts w:hint="cs"/>
          <w:b/>
          <w:bCs/>
          <w:rtl/>
        </w:rPr>
        <w:t>سوء المعاملة</w:t>
      </w:r>
      <w:r>
        <w:rPr>
          <w:rFonts w:hint="cs"/>
          <w:b/>
          <w:bCs/>
          <w:rtl/>
        </w:rPr>
        <w:t xml:space="preserve"> خلال عمليات الاستجواب</w:t>
      </w:r>
      <w:r w:rsidR="00B329FD" w:rsidRPr="00773F85">
        <w:rPr>
          <w:rFonts w:hint="cs"/>
          <w:b/>
          <w:bCs/>
          <w:rtl/>
        </w:rPr>
        <w:t>.</w:t>
      </w:r>
    </w:p>
    <w:p w:rsidR="00B329FD" w:rsidRPr="00773F85" w:rsidRDefault="00277B79" w:rsidP="00277B79">
      <w:pPr>
        <w:pStyle w:val="H23GA"/>
        <w:rPr>
          <w:rtl/>
        </w:rPr>
      </w:pPr>
      <w:r>
        <w:rPr>
          <w:rFonts w:hint="cs"/>
          <w:rtl/>
        </w:rPr>
        <w:tab/>
      </w:r>
      <w:r>
        <w:rPr>
          <w:rFonts w:hint="cs"/>
          <w:rtl/>
        </w:rPr>
        <w:tab/>
      </w:r>
      <w:r w:rsidR="00B329FD" w:rsidRPr="00773F85">
        <w:rPr>
          <w:rFonts w:hint="cs"/>
          <w:rtl/>
        </w:rPr>
        <w:t xml:space="preserve">طرد واحتجاز ملتمسي اللجوء والمهاجرين </w:t>
      </w:r>
      <w:r w:rsidR="00F60D14">
        <w:rPr>
          <w:rFonts w:hint="cs"/>
          <w:rtl/>
        </w:rPr>
        <w:t>ممن لا يحملوه وثائق هوية</w:t>
      </w:r>
    </w:p>
    <w:p w:rsidR="00B329FD" w:rsidRDefault="00B329FD" w:rsidP="00F60D14">
      <w:pPr>
        <w:pStyle w:val="SingleTxtGA"/>
        <w:rPr>
          <w:rtl/>
        </w:rPr>
      </w:pPr>
      <w:r>
        <w:rPr>
          <w:rFonts w:hint="cs"/>
          <w:rtl/>
        </w:rPr>
        <w:t>19-</w:t>
      </w:r>
      <w:r w:rsidR="00F60D14">
        <w:rPr>
          <w:rFonts w:hint="cs"/>
          <w:rtl/>
        </w:rPr>
        <w:tab/>
      </w:r>
      <w:r>
        <w:rPr>
          <w:rFonts w:hint="cs"/>
          <w:rtl/>
        </w:rPr>
        <w:t xml:space="preserve">تعرب اللجنة عن قلقها إزاء التقارير التي تفيد بحدوث حالات سوء معاملة خلال عمليات الترحيل أفضت إلى وفاة شخص في عام 2010. </w:t>
      </w:r>
      <w:r w:rsidR="00F60D14">
        <w:rPr>
          <w:rFonts w:hint="cs"/>
          <w:rtl/>
        </w:rPr>
        <w:t xml:space="preserve">كما تعرب </w:t>
      </w:r>
      <w:r>
        <w:rPr>
          <w:rFonts w:hint="cs"/>
          <w:rtl/>
        </w:rPr>
        <w:t xml:space="preserve">عن قلقها إزاء عدم تنفيذ مبدأ عدم الإعادة القسرية بصورة فعالة على أرض الواقع رغم تعديل قانون مراقبة الهجرة والاعتراف باللاجئين. </w:t>
      </w:r>
      <w:r w:rsidR="00F60D14">
        <w:rPr>
          <w:rFonts w:hint="cs"/>
          <w:rtl/>
        </w:rPr>
        <w:t>و</w:t>
      </w:r>
      <w:r>
        <w:rPr>
          <w:rFonts w:hint="cs"/>
          <w:rtl/>
        </w:rPr>
        <w:t xml:space="preserve">تعرب اللجنة </w:t>
      </w:r>
      <w:r w:rsidR="00F60D14">
        <w:rPr>
          <w:rFonts w:hint="cs"/>
          <w:rtl/>
        </w:rPr>
        <w:t xml:space="preserve">أيضاً </w:t>
      </w:r>
      <w:r>
        <w:rPr>
          <w:rFonts w:hint="cs"/>
          <w:rtl/>
        </w:rPr>
        <w:t>عن قلقها إزاء عدم وجود آلية طعن مستقلة ذات أثر توقيفي للقرارات السلبية المتصلة بعمليات التماس اللجوء، وكذا طول فترات الاحتجاز الإداري من دون تقديم مبررات مناسبة له وإجراء مراجعة مستقلة لقرار الاحتجاز (المواد 2 و7 و9 و13).</w:t>
      </w:r>
    </w:p>
    <w:p w:rsidR="00B329FD" w:rsidRPr="00854CAE" w:rsidRDefault="00F60D14" w:rsidP="00B329FD">
      <w:pPr>
        <w:pStyle w:val="SingleTxtGA"/>
        <w:rPr>
          <w:rFonts w:hint="cs"/>
          <w:b/>
          <w:bCs/>
          <w:rtl/>
        </w:rPr>
      </w:pPr>
      <w:r>
        <w:rPr>
          <w:rFonts w:hint="cs"/>
          <w:b/>
          <w:bCs/>
          <w:rtl/>
        </w:rPr>
        <w:tab/>
      </w:r>
      <w:r w:rsidR="00B329FD" w:rsidRPr="00854CAE">
        <w:rPr>
          <w:rFonts w:hint="cs"/>
          <w:b/>
          <w:bCs/>
          <w:rtl/>
        </w:rPr>
        <w:t>ينبغي أن تقوم الدولة الطرف بما يلي:</w:t>
      </w:r>
    </w:p>
    <w:p w:rsidR="00B329FD" w:rsidRPr="00854CAE" w:rsidRDefault="00F60D14" w:rsidP="00B329FD">
      <w:pPr>
        <w:pStyle w:val="SingleTxtGA"/>
        <w:rPr>
          <w:b/>
          <w:bCs/>
        </w:rPr>
      </w:pPr>
      <w:r>
        <w:rPr>
          <w:rFonts w:hint="cs"/>
          <w:b/>
          <w:bCs/>
          <w:rtl/>
        </w:rPr>
        <w:tab/>
        <w:t>(أ)</w:t>
      </w:r>
      <w:r>
        <w:rPr>
          <w:rFonts w:hint="cs"/>
          <w:b/>
          <w:bCs/>
          <w:rtl/>
        </w:rPr>
        <w:tab/>
      </w:r>
      <w:r w:rsidR="00B329FD" w:rsidRPr="00854CAE">
        <w:rPr>
          <w:rFonts w:hint="cs"/>
          <w:b/>
          <w:bCs/>
          <w:rtl/>
        </w:rPr>
        <w:t xml:space="preserve">اتخاذ </w:t>
      </w:r>
      <w:r w:rsidR="00B329FD">
        <w:rPr>
          <w:rFonts w:hint="cs"/>
          <w:b/>
          <w:bCs/>
          <w:rtl/>
        </w:rPr>
        <w:t xml:space="preserve">جميع </w:t>
      </w:r>
      <w:r w:rsidR="00B329FD" w:rsidRPr="00854CAE">
        <w:rPr>
          <w:rFonts w:hint="cs"/>
          <w:b/>
          <w:bCs/>
          <w:rtl/>
        </w:rPr>
        <w:t xml:space="preserve">التدابير المناسبة لضمان عدم تعرض المهاجرين </w:t>
      </w:r>
      <w:r w:rsidR="00B329FD">
        <w:rPr>
          <w:rFonts w:hint="cs"/>
          <w:b/>
          <w:bCs/>
          <w:rtl/>
        </w:rPr>
        <w:t>لسوء المعاملة</w:t>
      </w:r>
      <w:r w:rsidR="00B329FD" w:rsidRPr="00854CAE">
        <w:rPr>
          <w:rFonts w:hint="cs"/>
          <w:b/>
          <w:bCs/>
          <w:rtl/>
        </w:rPr>
        <w:t xml:space="preserve"> خلال ترحيلهم؛</w:t>
      </w:r>
    </w:p>
    <w:p w:rsidR="00B329FD" w:rsidRPr="00854CAE" w:rsidRDefault="00E87AD5" w:rsidP="00B329FD">
      <w:pPr>
        <w:pStyle w:val="SingleTxtGA"/>
        <w:rPr>
          <w:b/>
          <w:bCs/>
        </w:rPr>
      </w:pPr>
      <w:r>
        <w:rPr>
          <w:rFonts w:hint="cs"/>
          <w:b/>
          <w:bCs/>
          <w:rtl/>
        </w:rPr>
        <w:tab/>
        <w:t>(ب)</w:t>
      </w:r>
      <w:r>
        <w:rPr>
          <w:rFonts w:hint="cs"/>
          <w:b/>
          <w:bCs/>
          <w:rtl/>
        </w:rPr>
        <w:tab/>
      </w:r>
      <w:r w:rsidR="00B329FD" w:rsidRPr="00854CAE">
        <w:rPr>
          <w:rFonts w:hint="cs"/>
          <w:b/>
          <w:bCs/>
          <w:rtl/>
        </w:rPr>
        <w:t>ضمان</w:t>
      </w:r>
      <w:r w:rsidR="00B329FD">
        <w:rPr>
          <w:rFonts w:hint="cs"/>
          <w:b/>
          <w:bCs/>
          <w:rtl/>
        </w:rPr>
        <w:t xml:space="preserve"> وصول جميع متلمسي</w:t>
      </w:r>
      <w:r w:rsidR="00B329FD" w:rsidRPr="00854CAE">
        <w:rPr>
          <w:rFonts w:hint="cs"/>
          <w:b/>
          <w:bCs/>
          <w:rtl/>
        </w:rPr>
        <w:t xml:space="preserve"> الحماية الدولية إلى إجراءات </w:t>
      </w:r>
      <w:r w:rsidR="00B329FD">
        <w:rPr>
          <w:rFonts w:hint="cs"/>
          <w:b/>
          <w:bCs/>
          <w:rtl/>
        </w:rPr>
        <w:t>نزيهة بشأن البت في وضعهم</w:t>
      </w:r>
      <w:r w:rsidR="00B329FD" w:rsidRPr="00854CAE">
        <w:rPr>
          <w:rFonts w:hint="cs"/>
          <w:b/>
          <w:bCs/>
          <w:rtl/>
        </w:rPr>
        <w:t xml:space="preserve"> و</w:t>
      </w:r>
      <w:r w:rsidR="00B329FD">
        <w:rPr>
          <w:rFonts w:hint="cs"/>
          <w:b/>
          <w:bCs/>
          <w:rtl/>
        </w:rPr>
        <w:t xml:space="preserve">حمايتهم </w:t>
      </w:r>
      <w:r w:rsidR="00B329FD" w:rsidRPr="00854CAE">
        <w:rPr>
          <w:rFonts w:hint="cs"/>
          <w:b/>
          <w:bCs/>
          <w:rtl/>
        </w:rPr>
        <w:t>من الإبعاد القسري</w:t>
      </w:r>
      <w:r w:rsidR="00B329FD">
        <w:rPr>
          <w:rFonts w:hint="cs"/>
          <w:b/>
          <w:bCs/>
          <w:rtl/>
        </w:rPr>
        <w:t>،</w:t>
      </w:r>
      <w:r w:rsidR="00B329FD" w:rsidRPr="00854CAE">
        <w:rPr>
          <w:rFonts w:hint="cs"/>
          <w:b/>
          <w:bCs/>
          <w:rtl/>
        </w:rPr>
        <w:t xml:space="preserve"> ووصول</w:t>
      </w:r>
      <w:r w:rsidR="00B329FD">
        <w:rPr>
          <w:rFonts w:hint="cs"/>
          <w:b/>
          <w:bCs/>
          <w:rtl/>
        </w:rPr>
        <w:t>هم</w:t>
      </w:r>
      <w:r w:rsidR="00B329FD" w:rsidRPr="00854CAE">
        <w:rPr>
          <w:rFonts w:hint="cs"/>
          <w:b/>
          <w:bCs/>
          <w:rtl/>
        </w:rPr>
        <w:t xml:space="preserve"> إلى آلية طعن مستقلة </w:t>
      </w:r>
      <w:r w:rsidR="00B329FD">
        <w:rPr>
          <w:rFonts w:hint="cs"/>
          <w:b/>
          <w:bCs/>
          <w:rtl/>
        </w:rPr>
        <w:t>ذات أثر توقيفي</w:t>
      </w:r>
      <w:r w:rsidR="00B329FD" w:rsidRPr="00854CAE">
        <w:rPr>
          <w:rFonts w:hint="cs"/>
          <w:b/>
          <w:bCs/>
          <w:rtl/>
        </w:rPr>
        <w:t xml:space="preserve"> </w:t>
      </w:r>
      <w:r w:rsidR="00B329FD">
        <w:rPr>
          <w:rFonts w:hint="cs"/>
          <w:b/>
          <w:bCs/>
          <w:rtl/>
        </w:rPr>
        <w:t>ل</w:t>
      </w:r>
      <w:r w:rsidR="00B329FD" w:rsidRPr="00854CAE">
        <w:rPr>
          <w:rFonts w:hint="cs"/>
          <w:b/>
          <w:bCs/>
          <w:rtl/>
        </w:rPr>
        <w:t>لقرارات السلبية؛</w:t>
      </w:r>
    </w:p>
    <w:p w:rsidR="00B329FD" w:rsidRPr="00854CAE" w:rsidRDefault="00F60D14" w:rsidP="00B329FD">
      <w:pPr>
        <w:pStyle w:val="SingleTxtGA"/>
        <w:rPr>
          <w:b/>
          <w:bCs/>
          <w:rtl/>
        </w:rPr>
      </w:pPr>
      <w:r>
        <w:rPr>
          <w:rFonts w:hint="cs"/>
          <w:b/>
          <w:bCs/>
          <w:rtl/>
        </w:rPr>
        <w:tab/>
        <w:t>(ج)</w:t>
      </w:r>
      <w:r>
        <w:rPr>
          <w:rFonts w:hint="cs"/>
          <w:b/>
          <w:bCs/>
          <w:rtl/>
        </w:rPr>
        <w:tab/>
      </w:r>
      <w:r w:rsidR="00B329FD">
        <w:rPr>
          <w:rFonts w:hint="cs"/>
          <w:b/>
          <w:bCs/>
          <w:rtl/>
        </w:rPr>
        <w:t>اتخاذ تدابير لضمان اللجوء</w:t>
      </w:r>
      <w:r w:rsidR="00B329FD" w:rsidRPr="00854CAE">
        <w:rPr>
          <w:rFonts w:hint="cs"/>
          <w:b/>
          <w:bCs/>
          <w:rtl/>
        </w:rPr>
        <w:t xml:space="preserve"> إلى الاحتجاز ل</w:t>
      </w:r>
      <w:r w:rsidR="00B329FD">
        <w:rPr>
          <w:rFonts w:hint="cs"/>
          <w:b/>
          <w:bCs/>
          <w:rtl/>
        </w:rPr>
        <w:t>أقصر فترة مناسبة ورهن</w:t>
      </w:r>
      <w:r w:rsidR="005D023E">
        <w:rPr>
          <w:rFonts w:hint="cs"/>
          <w:b/>
          <w:bCs/>
          <w:rtl/>
        </w:rPr>
        <w:t xml:space="preserve">اً </w:t>
      </w:r>
      <w:r w:rsidR="00B329FD">
        <w:rPr>
          <w:rFonts w:hint="cs"/>
          <w:b/>
          <w:bCs/>
          <w:rtl/>
        </w:rPr>
        <w:t>بالنظر</w:t>
      </w:r>
      <w:r w:rsidR="00B329FD" w:rsidRPr="00854CAE">
        <w:rPr>
          <w:rFonts w:hint="cs"/>
          <w:b/>
          <w:bCs/>
          <w:rtl/>
        </w:rPr>
        <w:t xml:space="preserve"> على النحو الواجب في بدائل الاحتجاز الإداري الموجودة، </w:t>
      </w:r>
      <w:r w:rsidR="00B329FD">
        <w:rPr>
          <w:rFonts w:hint="cs"/>
          <w:b/>
          <w:bCs/>
          <w:rtl/>
        </w:rPr>
        <w:t>ولضمان قدرة</w:t>
      </w:r>
      <w:r w:rsidR="00B329FD" w:rsidRPr="00854CAE">
        <w:rPr>
          <w:rFonts w:hint="cs"/>
          <w:b/>
          <w:bCs/>
          <w:rtl/>
        </w:rPr>
        <w:t xml:space="preserve"> المهاجر</w:t>
      </w:r>
      <w:r w:rsidR="00B329FD">
        <w:rPr>
          <w:rFonts w:hint="cs"/>
          <w:b/>
          <w:bCs/>
          <w:rtl/>
        </w:rPr>
        <w:t>ي</w:t>
      </w:r>
      <w:r w:rsidR="00B329FD" w:rsidRPr="00854CAE">
        <w:rPr>
          <w:rFonts w:hint="cs"/>
          <w:b/>
          <w:bCs/>
          <w:rtl/>
        </w:rPr>
        <w:t>ن على اللجوء إلى محكمة تبت</w:t>
      </w:r>
      <w:r>
        <w:rPr>
          <w:rFonts w:hint="cs"/>
          <w:b/>
          <w:bCs/>
          <w:rtl/>
        </w:rPr>
        <w:t xml:space="preserve"> في مدى قانونية احتجازهم.</w:t>
      </w:r>
    </w:p>
    <w:p w:rsidR="00B329FD" w:rsidRPr="004D2D2C" w:rsidRDefault="00F60D14" w:rsidP="00F60D14">
      <w:pPr>
        <w:pStyle w:val="H23GA"/>
        <w:rPr>
          <w:rtl/>
        </w:rPr>
      </w:pPr>
      <w:r>
        <w:rPr>
          <w:rFonts w:hint="cs"/>
          <w:rtl/>
        </w:rPr>
        <w:tab/>
      </w:r>
      <w:r>
        <w:rPr>
          <w:rFonts w:hint="cs"/>
          <w:rtl/>
        </w:rPr>
        <w:tab/>
      </w:r>
      <w:r w:rsidR="00B329FD" w:rsidRPr="004D2D2C">
        <w:rPr>
          <w:rFonts w:hint="cs"/>
          <w:rtl/>
        </w:rPr>
        <w:t>مراقبة المسلمين</w:t>
      </w:r>
    </w:p>
    <w:p w:rsidR="00B329FD" w:rsidRDefault="00F60D14" w:rsidP="00B329FD">
      <w:pPr>
        <w:pStyle w:val="SingleTxtGA"/>
        <w:rPr>
          <w:rtl/>
        </w:rPr>
      </w:pPr>
      <w:r>
        <w:rPr>
          <w:rFonts w:hint="cs"/>
          <w:rtl/>
        </w:rPr>
        <w:t>20-</w:t>
      </w:r>
      <w:r>
        <w:rPr>
          <w:rFonts w:hint="cs"/>
          <w:rtl/>
        </w:rPr>
        <w:tab/>
      </w:r>
      <w:r w:rsidR="00B329FD">
        <w:rPr>
          <w:rFonts w:hint="cs"/>
          <w:rtl/>
        </w:rPr>
        <w:t xml:space="preserve">تعرب اللجنة عن قلقها إزاء التقارير التي تفيد بأن الموظفين المكلفين بإنفاذ القانون يمارسون مراقبة واسعة النطاق على المسلمين (المواد 2 و17 و26). </w:t>
      </w:r>
    </w:p>
    <w:p w:rsidR="00B329FD" w:rsidRPr="006A0EDC" w:rsidRDefault="00B329FD" w:rsidP="00B329FD">
      <w:pPr>
        <w:pStyle w:val="SingleTxtGA"/>
        <w:rPr>
          <w:b/>
          <w:bCs/>
          <w:rtl/>
        </w:rPr>
      </w:pPr>
      <w:r w:rsidRPr="006A0EDC">
        <w:rPr>
          <w:rFonts w:hint="cs"/>
          <w:b/>
          <w:bCs/>
          <w:rtl/>
        </w:rPr>
        <w:t>ينبغي أن تقوم الدولة الطرف بما يلي:</w:t>
      </w:r>
    </w:p>
    <w:p w:rsidR="00B329FD" w:rsidRPr="006A0EDC" w:rsidRDefault="00F60D14" w:rsidP="00B329FD">
      <w:pPr>
        <w:pStyle w:val="SingleTxtGA"/>
        <w:rPr>
          <w:b/>
          <w:bCs/>
        </w:rPr>
      </w:pPr>
      <w:r>
        <w:rPr>
          <w:rFonts w:hint="cs"/>
          <w:b/>
          <w:bCs/>
          <w:rtl/>
        </w:rPr>
        <w:tab/>
        <w:t>(أ)</w:t>
      </w:r>
      <w:r>
        <w:rPr>
          <w:rFonts w:hint="cs"/>
          <w:b/>
          <w:bCs/>
          <w:rtl/>
        </w:rPr>
        <w:tab/>
      </w:r>
      <w:r w:rsidR="00B329FD" w:rsidRPr="006A0EDC">
        <w:rPr>
          <w:rFonts w:hint="cs"/>
          <w:b/>
          <w:bCs/>
          <w:rtl/>
        </w:rPr>
        <w:t>تدريب الموظفين المعنيين بإنفاذ القانون على التوعية الثق</w:t>
      </w:r>
      <w:r w:rsidR="00B329FD">
        <w:rPr>
          <w:rFonts w:hint="cs"/>
          <w:b/>
          <w:bCs/>
          <w:rtl/>
        </w:rPr>
        <w:t>افية وعدم مقبولية التنميط العنصري</w:t>
      </w:r>
      <w:r w:rsidR="00B329FD" w:rsidRPr="006A0EDC">
        <w:rPr>
          <w:rFonts w:hint="cs"/>
          <w:b/>
          <w:bCs/>
          <w:rtl/>
        </w:rPr>
        <w:t>، بما في ذلك</w:t>
      </w:r>
      <w:r w:rsidR="00B329FD">
        <w:rPr>
          <w:rFonts w:hint="cs"/>
          <w:b/>
          <w:bCs/>
          <w:rtl/>
        </w:rPr>
        <w:t xml:space="preserve"> المراقبة الواسعة النطاق التي يمارسها الموظفون المكلفو</w:t>
      </w:r>
      <w:r w:rsidR="00B329FD" w:rsidRPr="006A0EDC">
        <w:rPr>
          <w:rFonts w:hint="cs"/>
          <w:b/>
          <w:bCs/>
          <w:rtl/>
        </w:rPr>
        <w:t>ن بإنفاذ القانون على المسلمين؛</w:t>
      </w:r>
    </w:p>
    <w:p w:rsidR="00B329FD" w:rsidRPr="006A0EDC" w:rsidRDefault="00F60D14" w:rsidP="00B329FD">
      <w:pPr>
        <w:pStyle w:val="SingleTxtGA"/>
        <w:rPr>
          <w:b/>
          <w:bCs/>
        </w:rPr>
      </w:pPr>
      <w:r>
        <w:rPr>
          <w:rFonts w:hint="cs"/>
          <w:b/>
          <w:bCs/>
          <w:rtl/>
        </w:rPr>
        <w:tab/>
        <w:t>(ب)</w:t>
      </w:r>
      <w:r>
        <w:rPr>
          <w:rFonts w:hint="cs"/>
          <w:b/>
          <w:bCs/>
          <w:rtl/>
        </w:rPr>
        <w:tab/>
      </w:r>
      <w:r w:rsidR="00B329FD" w:rsidRPr="006A0EDC">
        <w:rPr>
          <w:rFonts w:hint="cs"/>
          <w:b/>
          <w:bCs/>
          <w:rtl/>
        </w:rPr>
        <w:t>ضمان وصول الأشخاص المتضررين إلى سبل ال</w:t>
      </w:r>
      <w:r w:rsidR="00B329FD">
        <w:rPr>
          <w:rFonts w:hint="cs"/>
          <w:b/>
          <w:bCs/>
          <w:rtl/>
        </w:rPr>
        <w:t>انتصاف الفعالة في حالات الاعتداء</w:t>
      </w:r>
      <w:r w:rsidR="00B329FD" w:rsidRPr="006A0EDC">
        <w:rPr>
          <w:rFonts w:hint="cs"/>
          <w:b/>
          <w:bCs/>
          <w:rtl/>
        </w:rPr>
        <w:t>.</w:t>
      </w:r>
    </w:p>
    <w:p w:rsidR="00B329FD" w:rsidRPr="00397B3F" w:rsidRDefault="00F60D14" w:rsidP="00F60D14">
      <w:pPr>
        <w:pStyle w:val="H23GA"/>
        <w:rPr>
          <w:rtl/>
        </w:rPr>
      </w:pPr>
      <w:r>
        <w:rPr>
          <w:rFonts w:hint="cs"/>
          <w:rtl/>
        </w:rPr>
        <w:tab/>
      </w:r>
      <w:r>
        <w:rPr>
          <w:rFonts w:hint="cs"/>
          <w:rtl/>
        </w:rPr>
        <w:tab/>
      </w:r>
      <w:r w:rsidR="00B329FD" w:rsidRPr="00397B3F">
        <w:rPr>
          <w:rFonts w:hint="cs"/>
          <w:rtl/>
        </w:rPr>
        <w:t>الاختطاف والإكراه على ترك الدين</w:t>
      </w:r>
    </w:p>
    <w:p w:rsidR="00B329FD" w:rsidRDefault="00F60D14" w:rsidP="00B329FD">
      <w:pPr>
        <w:pStyle w:val="SingleTxtGA"/>
        <w:rPr>
          <w:rtl/>
        </w:rPr>
      </w:pPr>
      <w:r>
        <w:rPr>
          <w:rFonts w:hint="cs"/>
          <w:rtl/>
        </w:rPr>
        <w:t>21-</w:t>
      </w:r>
      <w:r>
        <w:rPr>
          <w:rFonts w:hint="cs"/>
          <w:rtl/>
        </w:rPr>
        <w:tab/>
      </w:r>
      <w:r w:rsidR="00B329FD">
        <w:rPr>
          <w:rFonts w:hint="cs"/>
          <w:rtl/>
        </w:rPr>
        <w:t>تعرب اللجنة عن قلقها إزاء التقارير التي تفيد بأن الأشخاص الذين يعتنقون ديانات جديدة يتعرضون للاختطاف والحبس التعسفي على يد أفراد أسرهم في محاولة لدفعهم إلى ترك دينهم الجديد (المواد 2 و9 و18 و26).</w:t>
      </w:r>
    </w:p>
    <w:p w:rsidR="00B329FD" w:rsidRPr="009C5D59" w:rsidRDefault="00F60D14" w:rsidP="00B329FD">
      <w:pPr>
        <w:pStyle w:val="SingleTxtGA"/>
        <w:rPr>
          <w:b/>
          <w:bCs/>
          <w:rtl/>
        </w:rPr>
      </w:pPr>
      <w:r>
        <w:rPr>
          <w:rFonts w:hint="cs"/>
          <w:b/>
          <w:bCs/>
          <w:rtl/>
        </w:rPr>
        <w:tab/>
      </w:r>
      <w:r w:rsidR="00B329FD" w:rsidRPr="009C5D59">
        <w:rPr>
          <w:rFonts w:hint="cs"/>
          <w:b/>
          <w:bCs/>
          <w:rtl/>
        </w:rPr>
        <w:t>ينبغي أن تتخذ الدولة الطرف تدابير فعالة لضمان حق كل شخص في عدم التعرض لإكرا</w:t>
      </w:r>
      <w:r w:rsidR="00B329FD">
        <w:rPr>
          <w:rFonts w:hint="cs"/>
          <w:b/>
          <w:bCs/>
          <w:rtl/>
        </w:rPr>
        <w:t>ه يمنعه من حرية ممارسة أو اعتناق</w:t>
      </w:r>
      <w:r w:rsidR="00B329FD" w:rsidRPr="009C5D59">
        <w:rPr>
          <w:rFonts w:hint="cs"/>
          <w:b/>
          <w:bCs/>
          <w:rtl/>
        </w:rPr>
        <w:t xml:space="preserve"> دين أو معتقد.</w:t>
      </w:r>
    </w:p>
    <w:p w:rsidR="00B329FD" w:rsidRPr="009C5D59" w:rsidRDefault="00F60D14" w:rsidP="00F60D14">
      <w:pPr>
        <w:pStyle w:val="H23GA"/>
        <w:rPr>
          <w:rtl/>
        </w:rPr>
      </w:pPr>
      <w:r>
        <w:rPr>
          <w:rFonts w:hint="cs"/>
          <w:rtl/>
        </w:rPr>
        <w:tab/>
      </w:r>
      <w:r>
        <w:rPr>
          <w:rFonts w:hint="cs"/>
          <w:rtl/>
        </w:rPr>
        <w:tab/>
      </w:r>
      <w:r w:rsidR="00B329FD" w:rsidRPr="009C5D59">
        <w:rPr>
          <w:rFonts w:hint="cs"/>
          <w:rtl/>
        </w:rPr>
        <w:t>القيود المفرو</w:t>
      </w:r>
      <w:r w:rsidR="00B329FD">
        <w:rPr>
          <w:rFonts w:hint="cs"/>
          <w:rtl/>
        </w:rPr>
        <w:t>ضة على الحريات الأساسية بناء على</w:t>
      </w:r>
      <w:r w:rsidR="00B329FD" w:rsidRPr="009C5D59">
        <w:rPr>
          <w:rFonts w:hint="cs"/>
          <w:rtl/>
        </w:rPr>
        <w:t xml:space="preserve"> مفهوم "الصالح العام"</w:t>
      </w:r>
    </w:p>
    <w:p w:rsidR="00B329FD" w:rsidRDefault="00B329FD" w:rsidP="00F60D14">
      <w:pPr>
        <w:pStyle w:val="SingleTxtGA"/>
        <w:rPr>
          <w:rtl/>
        </w:rPr>
      </w:pPr>
      <w:r>
        <w:rPr>
          <w:rFonts w:hint="cs"/>
          <w:rtl/>
        </w:rPr>
        <w:t>22-</w:t>
      </w:r>
      <w:r w:rsidR="00F60D14">
        <w:rPr>
          <w:rFonts w:hint="cs"/>
          <w:rtl/>
        </w:rPr>
        <w:tab/>
      </w:r>
      <w:r>
        <w:rPr>
          <w:rFonts w:hint="cs"/>
          <w:rtl/>
        </w:rPr>
        <w:t xml:space="preserve">تكرر اللجنة قلقها لأن مفهوم "الصالح العام" مبهم </w:t>
      </w:r>
      <w:r w:rsidR="00F60D14">
        <w:rPr>
          <w:rFonts w:hint="cs"/>
          <w:rtl/>
        </w:rPr>
        <w:t xml:space="preserve">وغير محصور </w:t>
      </w:r>
      <w:r>
        <w:rPr>
          <w:rFonts w:hint="cs"/>
          <w:rtl/>
        </w:rPr>
        <w:t>وقد يسمح بفرض قيود تتجاوز تلك التي يسمح بها العهد (المواد 2 و18 و19).</w:t>
      </w:r>
    </w:p>
    <w:p w:rsidR="00B329FD" w:rsidRDefault="00F60D14" w:rsidP="00B329FD">
      <w:pPr>
        <w:pStyle w:val="SingleTxtGA"/>
        <w:rPr>
          <w:b/>
          <w:bCs/>
          <w:rtl/>
        </w:rPr>
      </w:pPr>
      <w:r>
        <w:rPr>
          <w:rFonts w:hint="cs"/>
          <w:b/>
          <w:bCs/>
          <w:rtl/>
        </w:rPr>
        <w:tab/>
      </w:r>
      <w:r w:rsidR="00B329FD" w:rsidRPr="009C5D59">
        <w:rPr>
          <w:rFonts w:hint="cs"/>
          <w:b/>
          <w:bCs/>
          <w:rtl/>
        </w:rPr>
        <w:t xml:space="preserve">تذكّر اللجنة من جديد بملاحظاتها الختامية السابقة (انظر </w:t>
      </w:r>
      <w:r w:rsidR="00B329FD" w:rsidRPr="001725C9">
        <w:rPr>
          <w:b/>
          <w:bCs/>
        </w:rPr>
        <w:t>CCPR/C/JPN/CO/5</w:t>
      </w:r>
      <w:r w:rsidR="00B329FD" w:rsidRPr="009C5D59">
        <w:rPr>
          <w:rFonts w:hint="cs"/>
          <w:b/>
          <w:bCs/>
          <w:rtl/>
        </w:rPr>
        <w:t>، الفقرة 10) وتحث الدولة الطرف على التوقف عن فرض أي قيود على الحق في حرية الفكر والوجدان والدين أو الحق في حرية التعبير إلا إذا كانت هذه القيود تستوفي الشروط الصارمة المنصوص عليها في الفقرة 3 من المادتين 18 و19.</w:t>
      </w:r>
    </w:p>
    <w:p w:rsidR="00B329FD" w:rsidRDefault="00F60D14" w:rsidP="00F60D14">
      <w:pPr>
        <w:pStyle w:val="H23GA"/>
        <w:rPr>
          <w:rtl/>
        </w:rPr>
      </w:pPr>
      <w:r>
        <w:rPr>
          <w:rFonts w:hint="cs"/>
          <w:rtl/>
        </w:rPr>
        <w:tab/>
      </w:r>
      <w:r>
        <w:rPr>
          <w:rFonts w:hint="cs"/>
          <w:rtl/>
        </w:rPr>
        <w:tab/>
      </w:r>
      <w:r w:rsidR="00B329FD">
        <w:rPr>
          <w:rFonts w:hint="cs"/>
          <w:rtl/>
        </w:rPr>
        <w:t>قانون حماية الأسرار المحددة بصفة خاصة</w:t>
      </w:r>
    </w:p>
    <w:p w:rsidR="00B329FD" w:rsidRDefault="00F60D14" w:rsidP="00B329FD">
      <w:pPr>
        <w:pStyle w:val="SingleTxtGA"/>
        <w:rPr>
          <w:rtl/>
        </w:rPr>
      </w:pPr>
      <w:r>
        <w:rPr>
          <w:rFonts w:hint="cs"/>
          <w:rtl/>
        </w:rPr>
        <w:t>23-</w:t>
      </w:r>
      <w:r>
        <w:rPr>
          <w:rFonts w:hint="cs"/>
          <w:rtl/>
        </w:rPr>
        <w:tab/>
      </w:r>
      <w:r w:rsidR="00B329FD">
        <w:rPr>
          <w:rFonts w:hint="cs"/>
          <w:rtl/>
        </w:rPr>
        <w:t>تعرب اللجنة عن قلقها لأن القانون المعتمد حديث</w:t>
      </w:r>
      <w:r w:rsidR="005D023E">
        <w:rPr>
          <w:rFonts w:hint="cs"/>
          <w:rtl/>
        </w:rPr>
        <w:t xml:space="preserve">اً </w:t>
      </w:r>
      <w:r w:rsidR="00B329FD">
        <w:rPr>
          <w:rFonts w:hint="cs"/>
          <w:rtl/>
        </w:rPr>
        <w:t>بشأن حماية الأسرار المحددة بصفة خاصة يتضمن تعريف</w:t>
      </w:r>
      <w:r w:rsidR="005D023E">
        <w:rPr>
          <w:rFonts w:hint="cs"/>
          <w:rtl/>
        </w:rPr>
        <w:t xml:space="preserve">اً </w:t>
      </w:r>
      <w:r w:rsidR="00B329FD">
        <w:rPr>
          <w:rFonts w:hint="cs"/>
          <w:rtl/>
        </w:rPr>
        <w:t>مبهم</w:t>
      </w:r>
      <w:r w:rsidR="005D023E">
        <w:rPr>
          <w:rFonts w:hint="cs"/>
          <w:rtl/>
        </w:rPr>
        <w:t xml:space="preserve">اً </w:t>
      </w:r>
      <w:r w:rsidR="00B329FD">
        <w:rPr>
          <w:rFonts w:hint="cs"/>
          <w:rtl/>
        </w:rPr>
        <w:t>وواسع</w:t>
      </w:r>
      <w:r w:rsidR="005D023E">
        <w:rPr>
          <w:rFonts w:hint="cs"/>
          <w:rtl/>
        </w:rPr>
        <w:t xml:space="preserve">اً </w:t>
      </w:r>
      <w:r w:rsidR="00B329FD">
        <w:rPr>
          <w:rFonts w:hint="cs"/>
          <w:rtl/>
        </w:rPr>
        <w:t>للمسائل الممكن تصنيفها كمسائل سرية وللشروط العامة لتصنيفها، وينص على عقوبات جنائية كبيرة قد تؤثر سلب</w:t>
      </w:r>
      <w:r w:rsidR="005D023E">
        <w:rPr>
          <w:rFonts w:hint="cs"/>
          <w:rtl/>
        </w:rPr>
        <w:t xml:space="preserve">اً </w:t>
      </w:r>
      <w:r w:rsidR="00B329FD">
        <w:rPr>
          <w:rFonts w:hint="cs"/>
          <w:rtl/>
        </w:rPr>
        <w:t>في أنشطة الصحفيين والمدافعين عن حقوق الإنسان (المادة 19).</w:t>
      </w:r>
    </w:p>
    <w:p w:rsidR="00B329FD" w:rsidRPr="00307733" w:rsidRDefault="00F60D14" w:rsidP="00B329FD">
      <w:pPr>
        <w:pStyle w:val="SingleTxtGA"/>
        <w:rPr>
          <w:b/>
          <w:bCs/>
          <w:rtl/>
        </w:rPr>
      </w:pPr>
      <w:r>
        <w:rPr>
          <w:rFonts w:hint="cs"/>
          <w:b/>
          <w:bCs/>
          <w:rtl/>
        </w:rPr>
        <w:tab/>
      </w:r>
      <w:r w:rsidR="00B329FD" w:rsidRPr="00307733">
        <w:rPr>
          <w:rFonts w:hint="cs"/>
          <w:b/>
          <w:bCs/>
          <w:rtl/>
        </w:rPr>
        <w:t>ينبغي أن تتخذ الدولة الطرف جم</w:t>
      </w:r>
      <w:r w:rsidR="00B329FD">
        <w:rPr>
          <w:rFonts w:hint="cs"/>
          <w:b/>
          <w:bCs/>
          <w:rtl/>
        </w:rPr>
        <w:t>يع التدابير الضرورية لضمان أن يكون</w:t>
      </w:r>
      <w:r w:rsidR="00B329FD" w:rsidRPr="00307733">
        <w:rPr>
          <w:rFonts w:hint="cs"/>
          <w:b/>
          <w:bCs/>
          <w:rtl/>
        </w:rPr>
        <w:t xml:space="preserve"> </w:t>
      </w:r>
      <w:r w:rsidR="00B329FD">
        <w:rPr>
          <w:rFonts w:hint="cs"/>
          <w:b/>
          <w:bCs/>
          <w:rtl/>
        </w:rPr>
        <w:t xml:space="preserve">وضع وتطبيق </w:t>
      </w:r>
      <w:r w:rsidR="00B329FD" w:rsidRPr="00307733">
        <w:rPr>
          <w:rFonts w:hint="cs"/>
          <w:b/>
          <w:bCs/>
          <w:rtl/>
        </w:rPr>
        <w:t>قانون حماية الأسرار ال</w:t>
      </w:r>
      <w:r w:rsidR="00B329FD">
        <w:rPr>
          <w:rFonts w:hint="cs"/>
          <w:b/>
          <w:bCs/>
          <w:rtl/>
        </w:rPr>
        <w:t xml:space="preserve">محددة بصفة خاصة متطابقين </w:t>
      </w:r>
      <w:r w:rsidR="00B329FD" w:rsidRPr="00307733">
        <w:rPr>
          <w:rFonts w:hint="cs"/>
          <w:b/>
          <w:bCs/>
          <w:rtl/>
        </w:rPr>
        <w:t>مع الشروط الصارمة المنصوص عليها في المادة 19 من العهد بطرق منها ضمان:</w:t>
      </w:r>
    </w:p>
    <w:p w:rsidR="00B329FD" w:rsidRPr="00307733" w:rsidRDefault="00F60D14" w:rsidP="00F60D14">
      <w:pPr>
        <w:pStyle w:val="SingleTxtGA"/>
        <w:rPr>
          <w:b/>
          <w:bCs/>
          <w:rtl/>
        </w:rPr>
      </w:pPr>
      <w:r>
        <w:rPr>
          <w:rFonts w:hint="cs"/>
          <w:b/>
          <w:bCs/>
          <w:rtl/>
        </w:rPr>
        <w:tab/>
      </w:r>
      <w:r w:rsidR="00B329FD">
        <w:rPr>
          <w:rFonts w:hint="cs"/>
          <w:b/>
          <w:bCs/>
          <w:rtl/>
        </w:rPr>
        <w:t>(أ)</w:t>
      </w:r>
      <w:r>
        <w:rPr>
          <w:rFonts w:hint="cs"/>
          <w:b/>
          <w:bCs/>
          <w:rtl/>
        </w:rPr>
        <w:tab/>
      </w:r>
      <w:r w:rsidR="00B329FD">
        <w:rPr>
          <w:rFonts w:hint="cs"/>
          <w:b/>
          <w:bCs/>
          <w:rtl/>
        </w:rPr>
        <w:t>أن تعرّف</w:t>
      </w:r>
      <w:r w:rsidR="00B329FD" w:rsidRPr="00307733">
        <w:rPr>
          <w:rFonts w:hint="cs"/>
          <w:b/>
          <w:bCs/>
          <w:rtl/>
        </w:rPr>
        <w:t xml:space="preserve"> فئات المعلومات التي يمكن تصنيفها </w:t>
      </w:r>
      <w:r w:rsidR="00B329FD">
        <w:rPr>
          <w:rFonts w:hint="cs"/>
          <w:b/>
          <w:bCs/>
          <w:rtl/>
        </w:rPr>
        <w:t>تعريف</w:t>
      </w:r>
      <w:r w:rsidR="005D023E">
        <w:rPr>
          <w:rFonts w:hint="cs"/>
          <w:b/>
          <w:bCs/>
          <w:rtl/>
        </w:rPr>
        <w:t xml:space="preserve">اً </w:t>
      </w:r>
      <w:r w:rsidR="00B329FD">
        <w:rPr>
          <w:rFonts w:hint="cs"/>
          <w:b/>
          <w:bCs/>
          <w:rtl/>
        </w:rPr>
        <w:t>ضيق</w:t>
      </w:r>
      <w:r w:rsidR="005D023E">
        <w:rPr>
          <w:rFonts w:hint="cs"/>
          <w:b/>
          <w:bCs/>
          <w:rtl/>
        </w:rPr>
        <w:t xml:space="preserve">اً </w:t>
      </w:r>
      <w:r w:rsidR="00B329FD">
        <w:rPr>
          <w:rFonts w:hint="cs"/>
          <w:b/>
          <w:bCs/>
          <w:rtl/>
        </w:rPr>
        <w:t>و</w:t>
      </w:r>
      <w:r w:rsidR="00B329FD" w:rsidRPr="00307733">
        <w:rPr>
          <w:rFonts w:hint="cs"/>
          <w:b/>
          <w:bCs/>
          <w:rtl/>
        </w:rPr>
        <w:t>يمتثل أي قيد للحق في ا</w:t>
      </w:r>
      <w:r w:rsidR="00B329FD">
        <w:rPr>
          <w:rFonts w:hint="cs"/>
          <w:b/>
          <w:bCs/>
          <w:rtl/>
        </w:rPr>
        <w:t xml:space="preserve">لتماس المعلومات وتلقيها ونقلها </w:t>
      </w:r>
      <w:r w:rsidR="00B329FD" w:rsidRPr="00307733">
        <w:rPr>
          <w:rFonts w:hint="cs"/>
          <w:b/>
          <w:bCs/>
          <w:rtl/>
        </w:rPr>
        <w:t>مبادئ المساواة والنسبية والض</w:t>
      </w:r>
      <w:r w:rsidR="00B329FD">
        <w:rPr>
          <w:rFonts w:hint="cs"/>
          <w:b/>
          <w:bCs/>
          <w:rtl/>
        </w:rPr>
        <w:t>رورة لمنع حصول تهديد محدد ومميز</w:t>
      </w:r>
      <w:r w:rsidR="00B329FD" w:rsidRPr="00307733">
        <w:rPr>
          <w:rFonts w:hint="cs"/>
          <w:b/>
          <w:bCs/>
          <w:rtl/>
        </w:rPr>
        <w:t xml:space="preserve"> للأمن القومي؛</w:t>
      </w:r>
    </w:p>
    <w:p w:rsidR="00B329FD" w:rsidRPr="00307733" w:rsidRDefault="00F60D14" w:rsidP="005D023E">
      <w:pPr>
        <w:pStyle w:val="SingleTxtGA"/>
        <w:rPr>
          <w:b/>
          <w:bCs/>
          <w:rtl/>
        </w:rPr>
      </w:pPr>
      <w:r>
        <w:rPr>
          <w:rFonts w:hint="cs"/>
          <w:b/>
          <w:bCs/>
          <w:rtl/>
        </w:rPr>
        <w:tab/>
      </w:r>
      <w:r w:rsidR="00B329FD" w:rsidRPr="00307733">
        <w:rPr>
          <w:rFonts w:hint="cs"/>
          <w:b/>
          <w:bCs/>
          <w:rtl/>
        </w:rPr>
        <w:t>(ب)</w:t>
      </w:r>
      <w:r>
        <w:rPr>
          <w:rFonts w:hint="cs"/>
          <w:b/>
          <w:bCs/>
          <w:rtl/>
        </w:rPr>
        <w:tab/>
      </w:r>
      <w:r w:rsidR="00B329FD">
        <w:rPr>
          <w:rFonts w:hint="cs"/>
          <w:b/>
          <w:bCs/>
          <w:rtl/>
        </w:rPr>
        <w:t>أ</w:t>
      </w:r>
      <w:r w:rsidR="00B329FD" w:rsidRPr="00307733">
        <w:rPr>
          <w:rFonts w:hint="cs"/>
          <w:b/>
          <w:bCs/>
          <w:rtl/>
        </w:rPr>
        <w:t>لا يعاقب أي فرد على نشر معلومات ذات مصلحة عامة مشروعة لا</w:t>
      </w:r>
      <w:r w:rsidR="005D023E">
        <w:rPr>
          <w:rFonts w:hint="eastAsia"/>
          <w:b/>
          <w:bCs/>
          <w:rtl/>
        </w:rPr>
        <w:t> </w:t>
      </w:r>
      <w:r w:rsidR="00B329FD" w:rsidRPr="00307733">
        <w:rPr>
          <w:rFonts w:hint="cs"/>
          <w:b/>
          <w:bCs/>
          <w:rtl/>
        </w:rPr>
        <w:t>تضر بالأمن القومي.</w:t>
      </w:r>
    </w:p>
    <w:p w:rsidR="00B329FD" w:rsidRPr="002772E5" w:rsidRDefault="00F60D14" w:rsidP="00F60D14">
      <w:pPr>
        <w:pStyle w:val="H23GA"/>
        <w:rPr>
          <w:rtl/>
        </w:rPr>
      </w:pPr>
      <w:r>
        <w:rPr>
          <w:rFonts w:hint="cs"/>
          <w:rtl/>
        </w:rPr>
        <w:tab/>
      </w:r>
      <w:r>
        <w:rPr>
          <w:rFonts w:hint="cs"/>
          <w:rtl/>
        </w:rPr>
        <w:tab/>
      </w:r>
      <w:r w:rsidR="00B329FD" w:rsidRPr="002772E5">
        <w:rPr>
          <w:rFonts w:hint="cs"/>
          <w:rtl/>
        </w:rPr>
        <w:t>كارثة فوكوشيما النووية</w:t>
      </w:r>
    </w:p>
    <w:p w:rsidR="00B329FD" w:rsidRDefault="00F60D14" w:rsidP="00B329FD">
      <w:pPr>
        <w:pStyle w:val="SingleTxtGA"/>
        <w:rPr>
          <w:rtl/>
        </w:rPr>
      </w:pPr>
      <w:r>
        <w:rPr>
          <w:rFonts w:hint="cs"/>
          <w:rtl/>
        </w:rPr>
        <w:t>24-</w:t>
      </w:r>
      <w:r>
        <w:rPr>
          <w:rFonts w:hint="cs"/>
          <w:rtl/>
        </w:rPr>
        <w:tab/>
      </w:r>
      <w:r w:rsidR="00B329FD">
        <w:rPr>
          <w:rFonts w:hint="cs"/>
          <w:rtl/>
        </w:rPr>
        <w:t>تعرب اللجنة عن قلقها إزاء ارتفاع عتبة مستوى التعرض التي حددتها الدولة الطرف في فوكوشيما وقرار إسقاط صفة مناطق الإجلاء عن بعض المناطق ما أجبر الناس على العودة إلى مناطق مرتفعة التلوث (المواد 6 و12 و19).</w:t>
      </w:r>
    </w:p>
    <w:p w:rsidR="00B329FD" w:rsidRPr="00091641" w:rsidRDefault="00F60D14" w:rsidP="00B329FD">
      <w:pPr>
        <w:pStyle w:val="SingleTxtGA"/>
        <w:rPr>
          <w:b/>
          <w:bCs/>
          <w:rtl/>
        </w:rPr>
      </w:pPr>
      <w:r>
        <w:rPr>
          <w:rFonts w:hint="cs"/>
          <w:b/>
          <w:bCs/>
          <w:rtl/>
        </w:rPr>
        <w:tab/>
      </w:r>
      <w:r w:rsidR="00B329FD" w:rsidRPr="00091641">
        <w:rPr>
          <w:rFonts w:hint="cs"/>
          <w:b/>
          <w:bCs/>
          <w:rtl/>
        </w:rPr>
        <w:t>ينبغي أن تتخذ الدولة الطرف جميع التدابير الضرورية لحماية حياة الناس المتضررين من كارثة فوكوشيما النووية و</w:t>
      </w:r>
      <w:r w:rsidR="00B329FD">
        <w:rPr>
          <w:rFonts w:hint="cs"/>
          <w:b/>
          <w:bCs/>
          <w:rtl/>
        </w:rPr>
        <w:t>ألا تسقط صفة مناطق الإجلاء عن المواقع الملوثة إلا حيث لا يعرض مستوى الإشعاع السكان للخطر</w:t>
      </w:r>
      <w:r w:rsidR="00B329FD" w:rsidRPr="00091641">
        <w:rPr>
          <w:rFonts w:hint="cs"/>
          <w:b/>
          <w:bCs/>
          <w:rtl/>
        </w:rPr>
        <w:t>. وينبغي أن ترصد الدولة الطرف مستويات الإشعاع وتزو</w:t>
      </w:r>
      <w:r w:rsidR="00B329FD">
        <w:rPr>
          <w:rFonts w:hint="cs"/>
          <w:b/>
          <w:bCs/>
          <w:rtl/>
        </w:rPr>
        <w:t>د الأشخاص المتضررين ب</w:t>
      </w:r>
      <w:r w:rsidR="00B329FD" w:rsidRPr="00091641">
        <w:rPr>
          <w:rFonts w:hint="cs"/>
          <w:b/>
          <w:bCs/>
          <w:rtl/>
        </w:rPr>
        <w:t xml:space="preserve">المعلومات </w:t>
      </w:r>
      <w:r w:rsidR="00B329FD">
        <w:rPr>
          <w:rFonts w:hint="cs"/>
          <w:b/>
          <w:bCs/>
          <w:rtl/>
        </w:rPr>
        <w:t xml:space="preserve">ذات الصلة </w:t>
      </w:r>
      <w:r w:rsidR="00B329FD" w:rsidRPr="00091641">
        <w:rPr>
          <w:rFonts w:hint="cs"/>
          <w:b/>
          <w:bCs/>
          <w:rtl/>
        </w:rPr>
        <w:t>في الوقت المناسب.</w:t>
      </w:r>
    </w:p>
    <w:p w:rsidR="00B329FD" w:rsidRPr="00091641" w:rsidRDefault="00F60D14" w:rsidP="00F60D14">
      <w:pPr>
        <w:pStyle w:val="H23GA"/>
        <w:rPr>
          <w:rtl/>
        </w:rPr>
      </w:pPr>
      <w:r>
        <w:rPr>
          <w:rFonts w:hint="cs"/>
          <w:rtl/>
        </w:rPr>
        <w:tab/>
      </w:r>
      <w:r>
        <w:rPr>
          <w:rFonts w:hint="cs"/>
          <w:rtl/>
        </w:rPr>
        <w:tab/>
      </w:r>
      <w:r w:rsidR="00B329FD" w:rsidRPr="00091641">
        <w:rPr>
          <w:rFonts w:hint="cs"/>
          <w:rtl/>
        </w:rPr>
        <w:t>العقوبة البدنية</w:t>
      </w:r>
    </w:p>
    <w:p w:rsidR="00B329FD" w:rsidRDefault="00F60D14" w:rsidP="00B329FD">
      <w:pPr>
        <w:pStyle w:val="SingleTxtGA"/>
        <w:rPr>
          <w:rtl/>
        </w:rPr>
      </w:pPr>
      <w:r>
        <w:rPr>
          <w:rFonts w:hint="cs"/>
          <w:rtl/>
        </w:rPr>
        <w:t>25-</w:t>
      </w:r>
      <w:r>
        <w:rPr>
          <w:rFonts w:hint="cs"/>
          <w:rtl/>
        </w:rPr>
        <w:tab/>
      </w:r>
      <w:r w:rsidR="00B329FD">
        <w:rPr>
          <w:rFonts w:hint="cs"/>
          <w:rtl/>
        </w:rPr>
        <w:t>تلاحظ اللجنة أن العقوبة البدنية لا تحظر صراحة إلا في المدارس، وتعرب عن قلقها إزاء انتشارها وقبول المجتمع بها (المادتان 7 و24).</w:t>
      </w:r>
    </w:p>
    <w:p w:rsidR="00B329FD" w:rsidRPr="001B1C87" w:rsidRDefault="00F60D14" w:rsidP="00B329FD">
      <w:pPr>
        <w:pStyle w:val="SingleTxtGA"/>
        <w:rPr>
          <w:b/>
          <w:bCs/>
          <w:rtl/>
        </w:rPr>
      </w:pPr>
      <w:r>
        <w:rPr>
          <w:rFonts w:hint="cs"/>
          <w:b/>
          <w:bCs/>
          <w:rtl/>
        </w:rPr>
        <w:tab/>
      </w:r>
      <w:r w:rsidR="00B329FD" w:rsidRPr="001B1C87">
        <w:rPr>
          <w:rFonts w:hint="cs"/>
          <w:b/>
          <w:bCs/>
          <w:rtl/>
        </w:rPr>
        <w:t>ينبغي أن تتخذ الدولة الطرف خطوات عملية، بطرق منها اتخاذ تدابير تشريعية، عند الاقتضاء، لوضع حد للعقوبة البدنية في جميع الأوساط. وينبغي أن تشج</w:t>
      </w:r>
      <w:r w:rsidR="00B329FD">
        <w:rPr>
          <w:rFonts w:hint="cs"/>
          <w:b/>
          <w:bCs/>
          <w:rtl/>
        </w:rPr>
        <w:t>ِّ</w:t>
      </w:r>
      <w:r w:rsidR="00B329FD" w:rsidRPr="001B1C87">
        <w:rPr>
          <w:rFonts w:hint="cs"/>
          <w:b/>
          <w:bCs/>
          <w:rtl/>
        </w:rPr>
        <w:t>ع أشكال التأديب غير العنيفة كب</w:t>
      </w:r>
      <w:r w:rsidR="00B329FD">
        <w:rPr>
          <w:rFonts w:hint="cs"/>
          <w:b/>
          <w:bCs/>
          <w:rtl/>
        </w:rPr>
        <w:t>ديل للعقوبة البدنية</w:t>
      </w:r>
      <w:r w:rsidR="00B329FD" w:rsidRPr="001B1C87">
        <w:rPr>
          <w:rFonts w:hint="cs"/>
          <w:b/>
          <w:bCs/>
          <w:rtl/>
        </w:rPr>
        <w:t xml:space="preserve"> وتنظم حم</w:t>
      </w:r>
      <w:r w:rsidR="00B329FD">
        <w:rPr>
          <w:rFonts w:hint="cs"/>
          <w:b/>
          <w:bCs/>
          <w:rtl/>
        </w:rPr>
        <w:t>لات إعلامية عامة للتوعية بالآثار</w:t>
      </w:r>
      <w:r w:rsidR="00B329FD" w:rsidRPr="001B1C87">
        <w:rPr>
          <w:rFonts w:hint="cs"/>
          <w:b/>
          <w:bCs/>
          <w:rtl/>
        </w:rPr>
        <w:t xml:space="preserve"> الضارة</w:t>
      </w:r>
      <w:r w:rsidR="00B329FD">
        <w:rPr>
          <w:rFonts w:hint="cs"/>
          <w:b/>
          <w:bCs/>
          <w:rtl/>
        </w:rPr>
        <w:t xml:space="preserve"> للعقوبة البدنية</w:t>
      </w:r>
      <w:r w:rsidR="00B329FD" w:rsidRPr="001B1C87">
        <w:rPr>
          <w:rFonts w:hint="cs"/>
          <w:b/>
          <w:bCs/>
          <w:rtl/>
        </w:rPr>
        <w:t>.</w:t>
      </w:r>
    </w:p>
    <w:p w:rsidR="00B329FD" w:rsidRPr="001B1C87" w:rsidRDefault="001045E9" w:rsidP="00F60D14">
      <w:pPr>
        <w:pStyle w:val="H23GA"/>
        <w:rPr>
          <w:rtl/>
        </w:rPr>
      </w:pPr>
      <w:r>
        <w:rPr>
          <w:rtl/>
        </w:rPr>
        <w:br w:type="page"/>
      </w:r>
      <w:r w:rsidR="00F60D14">
        <w:rPr>
          <w:rFonts w:hint="cs"/>
          <w:rtl/>
        </w:rPr>
        <w:tab/>
      </w:r>
      <w:r w:rsidR="00F60D14">
        <w:rPr>
          <w:rFonts w:hint="cs"/>
          <w:rtl/>
        </w:rPr>
        <w:tab/>
      </w:r>
      <w:r w:rsidR="00B329FD" w:rsidRPr="001B1C87">
        <w:rPr>
          <w:rFonts w:hint="cs"/>
          <w:rtl/>
        </w:rPr>
        <w:t>حقوق الشعوب الأصلية</w:t>
      </w:r>
    </w:p>
    <w:p w:rsidR="00B329FD" w:rsidRDefault="00F60D14" w:rsidP="00F60D14">
      <w:pPr>
        <w:pStyle w:val="SingleTxtGA"/>
        <w:rPr>
          <w:rtl/>
        </w:rPr>
      </w:pPr>
      <w:r>
        <w:rPr>
          <w:rFonts w:hint="cs"/>
          <w:rtl/>
        </w:rPr>
        <w:t>26-</w:t>
      </w:r>
      <w:r>
        <w:rPr>
          <w:rFonts w:hint="cs"/>
          <w:rtl/>
        </w:rPr>
        <w:tab/>
      </w:r>
      <w:r w:rsidR="00B329FD">
        <w:rPr>
          <w:rFonts w:hint="cs"/>
          <w:rtl/>
        </w:rPr>
        <w:t>ترحب اللجنة بالاعتراف بجماعة آي</w:t>
      </w:r>
      <w:r>
        <w:rPr>
          <w:rFonts w:hint="cs"/>
          <w:rtl/>
        </w:rPr>
        <w:t xml:space="preserve">نو كواحدة من الجماعات الأصلية، إلا أنّها تعرب مجدداً عن </w:t>
      </w:r>
      <w:r w:rsidR="00B329FD">
        <w:rPr>
          <w:rFonts w:hint="cs"/>
          <w:rtl/>
        </w:rPr>
        <w:t xml:space="preserve">قلقها إزاء عدم الاعتراف بجماعة ريوكيو وجماعة أوكيناوا، وكذا بحقوق هذه الجماعات في أراضيها ومواردها التقليدية وبحق أطفالها في التعلم بلغتهم (المادة 27). </w:t>
      </w:r>
    </w:p>
    <w:p w:rsidR="00B329FD" w:rsidRDefault="00F60D14" w:rsidP="00F60D14">
      <w:pPr>
        <w:pStyle w:val="SingleTxtGA"/>
        <w:rPr>
          <w:rFonts w:hint="cs"/>
          <w:rtl/>
        </w:rPr>
      </w:pPr>
      <w:r>
        <w:rPr>
          <w:rFonts w:hint="cs"/>
          <w:b/>
          <w:bCs/>
          <w:rtl/>
        </w:rPr>
        <w:tab/>
      </w:r>
      <w:r w:rsidR="00B329FD" w:rsidRPr="00E51B5E">
        <w:rPr>
          <w:rFonts w:hint="cs"/>
          <w:b/>
          <w:bCs/>
          <w:rtl/>
        </w:rPr>
        <w:t xml:space="preserve">ينبغي أن تتخذ الدولة الطرف </w:t>
      </w:r>
      <w:r>
        <w:rPr>
          <w:rFonts w:hint="cs"/>
          <w:b/>
          <w:bCs/>
          <w:rtl/>
        </w:rPr>
        <w:t xml:space="preserve">المزيد من التدابير </w:t>
      </w:r>
      <w:r w:rsidR="00B329FD" w:rsidRPr="00E51B5E">
        <w:rPr>
          <w:rFonts w:hint="cs"/>
          <w:b/>
          <w:bCs/>
          <w:rtl/>
        </w:rPr>
        <w:t xml:space="preserve">لتنقيح تشريعها وضمان حقوق جماعات آينو وريوكيو وأوكيناوا </w:t>
      </w:r>
      <w:r w:rsidR="00B329FD">
        <w:rPr>
          <w:rFonts w:hint="cs"/>
          <w:b/>
          <w:bCs/>
          <w:rtl/>
        </w:rPr>
        <w:t>في أراضيها وموار</w:t>
      </w:r>
      <w:r w:rsidR="00B329FD" w:rsidRPr="00E51B5E">
        <w:rPr>
          <w:rFonts w:hint="cs"/>
          <w:b/>
          <w:bCs/>
          <w:rtl/>
        </w:rPr>
        <w:t>دها الطبيعية التقليدية، بما يضمن احترام حقها في مشاركة حرة ومسبقة ومستنيرة في وضع السياسات التي تؤثر فيها</w:t>
      </w:r>
      <w:r w:rsidR="00B329FD">
        <w:rPr>
          <w:rFonts w:hint="cs"/>
          <w:b/>
          <w:bCs/>
          <w:rtl/>
        </w:rPr>
        <w:t>، وييسّر</w:t>
      </w:r>
      <w:r w:rsidR="00B329FD" w:rsidRPr="00E51B5E">
        <w:rPr>
          <w:rFonts w:hint="cs"/>
          <w:b/>
          <w:bCs/>
          <w:rtl/>
        </w:rPr>
        <w:t xml:space="preserve"> تعل</w:t>
      </w:r>
      <w:r w:rsidR="00B329FD">
        <w:rPr>
          <w:rFonts w:hint="cs"/>
          <w:b/>
          <w:bCs/>
          <w:rtl/>
        </w:rPr>
        <w:t>ّ</w:t>
      </w:r>
      <w:r w:rsidR="00B329FD" w:rsidRPr="00E51B5E">
        <w:rPr>
          <w:rFonts w:hint="cs"/>
          <w:b/>
          <w:bCs/>
          <w:rtl/>
        </w:rPr>
        <w:t>م أطفالها بلغتهم</w:t>
      </w:r>
      <w:r w:rsidR="00B329FD">
        <w:rPr>
          <w:rFonts w:hint="cs"/>
          <w:b/>
          <w:bCs/>
          <w:rtl/>
        </w:rPr>
        <w:t xml:space="preserve"> قدر المستطاع</w:t>
      </w:r>
      <w:r w:rsidR="00B329FD">
        <w:rPr>
          <w:rFonts w:hint="cs"/>
          <w:rtl/>
        </w:rPr>
        <w:t>.</w:t>
      </w:r>
    </w:p>
    <w:p w:rsidR="00B329FD" w:rsidRDefault="00B329FD" w:rsidP="00F60D14">
      <w:pPr>
        <w:pStyle w:val="SingleTxtGA"/>
        <w:rPr>
          <w:rtl/>
        </w:rPr>
      </w:pPr>
      <w:r>
        <w:rPr>
          <w:rtl/>
        </w:rPr>
        <w:t>2</w:t>
      </w:r>
      <w:r w:rsidR="00F60D14">
        <w:rPr>
          <w:rFonts w:hint="cs"/>
          <w:rtl/>
        </w:rPr>
        <w:t>7</w:t>
      </w:r>
      <w:r>
        <w:rPr>
          <w:rFonts w:hint="cs"/>
          <w:rtl/>
        </w:rPr>
        <w:t>-</w:t>
      </w:r>
      <w:r w:rsidR="00F60D14">
        <w:rPr>
          <w:rFonts w:hint="cs"/>
          <w:rtl/>
        </w:rPr>
        <w:tab/>
      </w:r>
      <w:r>
        <w:rPr>
          <w:rtl/>
        </w:rPr>
        <w:t xml:space="preserve">وينبغي للدولة الطرف أن تنشر على نطاق واسع العهد ونص </w:t>
      </w:r>
      <w:r>
        <w:rPr>
          <w:rFonts w:hint="cs"/>
          <w:rtl/>
        </w:rPr>
        <w:t>تقريرها الدوري السادس</w:t>
      </w:r>
      <w:r>
        <w:rPr>
          <w:rtl/>
        </w:rPr>
        <w:t xml:space="preserve">، والردود الخطية على قائمة القضايا التي وضعتها اللجنة، وهذه الملاحظات الختامية في أوساط السلطات القضائية والتشريعية والإدارية والمجتمع المدني والمنظمات غير الحكومية العاملة في البلد، وكذلك عامة الجمهور. </w:t>
      </w:r>
    </w:p>
    <w:p w:rsidR="00B329FD" w:rsidRDefault="00B329FD" w:rsidP="00E87AD5">
      <w:pPr>
        <w:pStyle w:val="SingleTxtGA"/>
        <w:rPr>
          <w:rtl/>
        </w:rPr>
      </w:pPr>
      <w:r>
        <w:rPr>
          <w:rtl/>
        </w:rPr>
        <w:t>2</w:t>
      </w:r>
      <w:r w:rsidR="00F60D14">
        <w:rPr>
          <w:rFonts w:hint="cs"/>
          <w:rtl/>
        </w:rPr>
        <w:t>8-</w:t>
      </w:r>
      <w:r w:rsidR="00F60D14">
        <w:rPr>
          <w:rFonts w:hint="cs"/>
          <w:rtl/>
        </w:rPr>
        <w:tab/>
      </w:r>
      <w:r>
        <w:rPr>
          <w:rtl/>
        </w:rPr>
        <w:t>ووفقاً للفقرة 5 من المادة 71 من النظام الداخلي للجنة، ينبغي أن تقدّم الدولة الطرف، في غضون عام واحد، المعلومات ذات الصلة عن تنفيذ</w:t>
      </w:r>
      <w:r>
        <w:rPr>
          <w:rFonts w:hint="cs"/>
          <w:rtl/>
        </w:rPr>
        <w:t>ها</w:t>
      </w:r>
      <w:r>
        <w:rPr>
          <w:rtl/>
        </w:rPr>
        <w:t xml:space="preserve"> </w:t>
      </w:r>
      <w:r>
        <w:rPr>
          <w:rFonts w:hint="cs"/>
          <w:rtl/>
        </w:rPr>
        <w:t>ل</w:t>
      </w:r>
      <w:r>
        <w:rPr>
          <w:rtl/>
        </w:rPr>
        <w:t xml:space="preserve">توصيات اللجنة الواردة في الفقرات </w:t>
      </w:r>
      <w:r>
        <w:rPr>
          <w:rFonts w:hint="cs"/>
          <w:rtl/>
        </w:rPr>
        <w:t>13</w:t>
      </w:r>
      <w:r w:rsidR="00E87AD5">
        <w:rPr>
          <w:rFonts w:hint="cs"/>
          <w:rtl/>
        </w:rPr>
        <w:t xml:space="preserve"> </w:t>
      </w:r>
      <w:r>
        <w:rPr>
          <w:rFonts w:hint="cs"/>
          <w:rtl/>
        </w:rPr>
        <w:t>و</w:t>
      </w:r>
      <w:r>
        <w:rPr>
          <w:rtl/>
        </w:rPr>
        <w:t>14 و16 و</w:t>
      </w:r>
      <w:r>
        <w:rPr>
          <w:rFonts w:hint="cs"/>
          <w:rtl/>
        </w:rPr>
        <w:t>18</w:t>
      </w:r>
      <w:r>
        <w:rPr>
          <w:rtl/>
        </w:rPr>
        <w:t xml:space="preserve"> أعلاه.</w:t>
      </w:r>
    </w:p>
    <w:p w:rsidR="00B329FD" w:rsidRDefault="00B329FD" w:rsidP="00F60D14">
      <w:pPr>
        <w:pStyle w:val="SingleTxtGA"/>
        <w:rPr>
          <w:rFonts w:hint="cs"/>
          <w:rtl/>
        </w:rPr>
      </w:pPr>
      <w:r>
        <w:rPr>
          <w:rtl/>
        </w:rPr>
        <w:t>2</w:t>
      </w:r>
      <w:r w:rsidR="00F60D14">
        <w:rPr>
          <w:rFonts w:hint="cs"/>
          <w:rtl/>
        </w:rPr>
        <w:t>9-</w:t>
      </w:r>
      <w:r w:rsidR="00F60D14">
        <w:rPr>
          <w:rFonts w:hint="cs"/>
          <w:rtl/>
        </w:rPr>
        <w:tab/>
      </w:r>
      <w:r>
        <w:rPr>
          <w:rtl/>
        </w:rPr>
        <w:t xml:space="preserve">وتطلب اللجنة إلى الدولة الطرف أن تضمّن تقريرها الدوري المقبل، الذي يحل موعد تقديمه في </w:t>
      </w:r>
      <w:r>
        <w:rPr>
          <w:rFonts w:hint="cs"/>
          <w:rtl/>
        </w:rPr>
        <w:t>31</w:t>
      </w:r>
      <w:r>
        <w:rPr>
          <w:rtl/>
        </w:rPr>
        <w:t xml:space="preserve"> </w:t>
      </w:r>
      <w:r>
        <w:rPr>
          <w:rFonts w:hint="cs"/>
          <w:rtl/>
        </w:rPr>
        <w:t>تموز/يوليه 2018</w:t>
      </w:r>
      <w:r>
        <w:rPr>
          <w:rtl/>
        </w:rPr>
        <w:t>، معلومات محددة ومحدثة عن تنفيذ جميع توصيات اللجنة وعن العهد ككل. وتطلب اللجنة إلى الدولة الطرف أيضاً أن تعقد، عند إعداد تقريرها الدوري المقبل، مشاورات واسعة النطاق مع منظمات المجتمع المدني والمنظمات غير الحكومية العاملة في البلد.</w:t>
      </w:r>
    </w:p>
    <w:p w:rsidR="00B329FD" w:rsidRPr="00F60D14" w:rsidRDefault="00F60D14" w:rsidP="00F60D14">
      <w:pPr>
        <w:spacing w:before="120"/>
        <w:jc w:val="center"/>
        <w:rPr>
          <w:u w:val="single"/>
          <w:rtl/>
        </w:rPr>
      </w:pPr>
      <w:r>
        <w:rPr>
          <w:u w:val="single"/>
          <w:rtl/>
        </w:rPr>
        <w:tab/>
      </w:r>
      <w:r>
        <w:rPr>
          <w:u w:val="single"/>
          <w:rtl/>
        </w:rPr>
        <w:tab/>
      </w:r>
      <w:r>
        <w:rPr>
          <w:u w:val="single"/>
          <w:rtl/>
        </w:rPr>
        <w:tab/>
      </w:r>
    </w:p>
    <w:sectPr w:rsidR="00B329FD" w:rsidRPr="00F60D14"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1704" w:rsidRPr="00FE6865" w:rsidRDefault="00B11704" w:rsidP="00FE6865">
      <w:pPr>
        <w:pStyle w:val="Footer"/>
      </w:pPr>
    </w:p>
  </w:endnote>
  <w:endnote w:type="continuationSeparator" w:id="0">
    <w:p w:rsidR="00B11704" w:rsidRDefault="00B117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70D4" w:rsidRPr="00B329FD" w:rsidRDefault="00EB70D4" w:rsidP="00B329FD">
    <w:pPr>
      <w:pStyle w:val="Footer"/>
      <w:tabs>
        <w:tab w:val="right" w:pos="9598"/>
      </w:tabs>
    </w:pPr>
    <w:r>
      <w:t>GE.14-14247</w:t>
    </w:r>
    <w:r>
      <w:tab/>
    </w:r>
    <w:r w:rsidRPr="00B329FD">
      <w:rPr>
        <w:b/>
        <w:sz w:val="18"/>
      </w:rPr>
      <w:fldChar w:fldCharType="begin"/>
    </w:r>
    <w:r w:rsidRPr="00B329FD">
      <w:rPr>
        <w:b/>
        <w:sz w:val="18"/>
      </w:rPr>
      <w:instrText xml:space="preserve"> PAGE  \* MERGEFORMAT </w:instrText>
    </w:r>
    <w:r w:rsidRPr="00B329FD">
      <w:rPr>
        <w:b/>
        <w:sz w:val="18"/>
      </w:rPr>
      <w:fldChar w:fldCharType="separate"/>
    </w:r>
    <w:r w:rsidR="00B02226">
      <w:rPr>
        <w:b/>
        <w:noProof/>
        <w:sz w:val="18"/>
      </w:rPr>
      <w:t>12</w:t>
    </w:r>
    <w:r w:rsidRPr="00B329F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70D4" w:rsidRPr="00B329FD" w:rsidRDefault="00EB70D4" w:rsidP="00B329FD">
    <w:pPr>
      <w:pStyle w:val="Footer"/>
      <w:tabs>
        <w:tab w:val="right" w:pos="9598"/>
      </w:tabs>
      <w:rPr>
        <w:b/>
        <w:sz w:val="18"/>
      </w:rPr>
    </w:pPr>
    <w:r w:rsidRPr="00B329FD">
      <w:rPr>
        <w:b/>
        <w:sz w:val="18"/>
      </w:rPr>
      <w:fldChar w:fldCharType="begin"/>
    </w:r>
    <w:r w:rsidRPr="00B329FD">
      <w:rPr>
        <w:b/>
        <w:sz w:val="18"/>
      </w:rPr>
      <w:instrText xml:space="preserve"> PAGE  \* MERGEFORMAT </w:instrText>
    </w:r>
    <w:r w:rsidRPr="00B329FD">
      <w:rPr>
        <w:b/>
        <w:sz w:val="18"/>
      </w:rPr>
      <w:fldChar w:fldCharType="separate"/>
    </w:r>
    <w:r w:rsidR="00B02226">
      <w:rPr>
        <w:b/>
        <w:noProof/>
        <w:sz w:val="18"/>
      </w:rPr>
      <w:t>11</w:t>
    </w:r>
    <w:r w:rsidRPr="00B329FD">
      <w:rPr>
        <w:b/>
        <w:sz w:val="18"/>
      </w:rPr>
      <w:fldChar w:fldCharType="end"/>
    </w:r>
    <w:r>
      <w:rPr>
        <w:b/>
        <w:sz w:val="18"/>
      </w:rPr>
      <w:tab/>
    </w:r>
    <w:r>
      <w:t>GE.14-14247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70D4" w:rsidRPr="00B329FD" w:rsidRDefault="00EB70D4" w:rsidP="00B329FD">
    <w:pPr>
      <w:pStyle w:val="Footer"/>
      <w:jc w:val="right"/>
      <w:rPr>
        <w:sz w:val="20"/>
        <w:szCs w:val="20"/>
      </w:rPr>
    </w:pPr>
    <w:r>
      <w:rPr>
        <w:sz w:val="20"/>
      </w:rPr>
      <w:t>(</w:t>
    </w:r>
    <w:r w:rsidRPr="00B329FD">
      <w:rPr>
        <w:sz w:val="20"/>
        <w:szCs w:val="20"/>
      </w:rPr>
      <w:t>A)   GE.14-14247</w:t>
    </w:r>
    <w:r w:rsidRPr="00B329FD">
      <w:rPr>
        <w:noProof/>
        <w:sz w:val="20"/>
        <w:szCs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sidRPr="00B329FD">
      <w:rPr>
        <w:sz w:val="20"/>
        <w:szCs w:val="20"/>
      </w:rPr>
      <w:t xml:space="preserve">     131014    141014</w:t>
    </w:r>
    <w:r w:rsidR="00B02226">
      <w:rPr>
        <w:sz w:val="20"/>
        <w:szCs w:val="20"/>
      </w:rPr>
      <w:br/>
    </w:r>
    <w:r w:rsidR="00B02226" w:rsidRPr="00B02226">
      <w:rPr>
        <w:rFonts w:ascii="C39T30Lfz" w:hAnsi="C39T30Lfz"/>
        <w:sz w:val="56"/>
        <w:szCs w:val="20"/>
      </w:rPr>
      <w:t></w:t>
    </w:r>
    <w:r w:rsidR="00B02226" w:rsidRPr="00B02226">
      <w:rPr>
        <w:rFonts w:ascii="C39T30Lfz" w:hAnsi="C39T30Lfz"/>
        <w:sz w:val="56"/>
        <w:szCs w:val="20"/>
      </w:rPr>
      <w:t></w:t>
    </w:r>
    <w:r w:rsidR="00B02226" w:rsidRPr="00B02226">
      <w:rPr>
        <w:rFonts w:ascii="C39T30Lfz" w:hAnsi="C39T30Lfz"/>
        <w:sz w:val="56"/>
        <w:szCs w:val="20"/>
      </w:rPr>
      <w:t></w:t>
    </w:r>
    <w:r w:rsidR="00B02226" w:rsidRPr="00B02226">
      <w:rPr>
        <w:rFonts w:ascii="C39T30Lfz" w:hAnsi="C39T30Lfz"/>
        <w:sz w:val="56"/>
        <w:szCs w:val="20"/>
      </w:rPr>
      <w:t></w:t>
    </w:r>
    <w:r w:rsidR="00B02226" w:rsidRPr="00B02226">
      <w:rPr>
        <w:rFonts w:ascii="C39T30Lfz" w:hAnsi="C39T30Lfz"/>
        <w:sz w:val="56"/>
        <w:szCs w:val="20"/>
      </w:rPr>
      <w:t></w:t>
    </w:r>
    <w:r w:rsidR="00B02226" w:rsidRPr="00B02226">
      <w:rPr>
        <w:rFonts w:ascii="C39T30Lfz" w:hAnsi="C39T30Lfz"/>
        <w:sz w:val="56"/>
        <w:szCs w:val="20"/>
      </w:rPr>
      <w:t></w:t>
    </w:r>
    <w:r w:rsidR="00B02226" w:rsidRPr="00B02226">
      <w:rPr>
        <w:rFonts w:ascii="C39T30Lfz" w:hAnsi="C39T30Lfz"/>
        <w:sz w:val="56"/>
        <w:szCs w:val="20"/>
      </w:rPr>
      <w:t></w:t>
    </w:r>
    <w:r w:rsidR="00B02226" w:rsidRPr="00B02226">
      <w:rPr>
        <w:rFonts w:ascii="C39T30Lfz" w:hAnsi="C39T30Lfz"/>
        <w:sz w:val="56"/>
        <w:szCs w:val="20"/>
      </w:rPr>
      <w:t></w:t>
    </w:r>
    <w:r w:rsidR="00B02226" w:rsidRPr="00B02226">
      <w:rPr>
        <w:rFonts w:ascii="C39T30Lfz" w:hAnsi="C39T30Lfz"/>
        <w:sz w:val="56"/>
        <w:szCs w:val="20"/>
      </w:rPr>
      <w:t></w:t>
    </w:r>
    <w:r w:rsidR="00B02226">
      <w:rPr>
        <w:sz w:val="20"/>
        <w:szCs w:val="20"/>
      </w:rPr>
      <w:tab/>
    </w:r>
    <w:r w:rsidR="00B02226">
      <w:rPr>
        <w:noProof/>
        <w:sz w:val="20"/>
        <w:szCs w:val="20"/>
        <w:lang w:val="en-US"/>
      </w:rPr>
      <w:pict>
        <v:shape id="_x0000_s2054" type="#_x0000_t75" style="position:absolute;left:0;text-align:left;margin-left:.05pt;margin-top:0;width:50.25pt;height:50.25pt;z-index:3;mso-position-horizontal-relative:text;mso-position-vertical-relative:text" o:allowincell="f">
          <v:imagedata r:id="rId2" o:title="6&amp;Size=2&amp;Lang=A"/>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1704" w:rsidRDefault="00B11704" w:rsidP="007E4686">
      <w:pPr>
        <w:pStyle w:val="Footer"/>
        <w:bidi/>
        <w:spacing w:after="80" w:line="200" w:lineRule="exact"/>
        <w:ind w:left="680"/>
      </w:pPr>
      <w:r>
        <w:rPr>
          <w:rFonts w:hint="cs"/>
          <w:rtl/>
        </w:rPr>
        <w:t>__________</w:t>
      </w:r>
    </w:p>
  </w:footnote>
  <w:footnote w:type="continuationSeparator" w:id="0">
    <w:p w:rsidR="00B11704" w:rsidRDefault="00B11704" w:rsidP="007E4686">
      <w:pPr>
        <w:pStyle w:val="Footer"/>
        <w:bidi/>
        <w:spacing w:after="80" w:line="200" w:lineRule="exact"/>
        <w:ind w:left="680"/>
      </w:pPr>
      <w:r>
        <w:rPr>
          <w:rFonts w:hint="cs"/>
          <w:rtl/>
        </w:rPr>
        <w:t>__________</w:t>
      </w:r>
    </w:p>
  </w:footnote>
  <w:footnote w:id="1">
    <w:p w:rsidR="00EB70D4" w:rsidRPr="00AE47D3" w:rsidRDefault="00EB70D4" w:rsidP="00B02226">
      <w:pPr>
        <w:pStyle w:val="footnoteText0"/>
        <w:spacing w:after="240"/>
      </w:pPr>
      <w:r w:rsidRPr="00AE47D3">
        <w:rPr>
          <w:rtl/>
        </w:rPr>
        <w:tab/>
      </w:r>
      <w:r w:rsidRPr="00B329FD">
        <w:rPr>
          <w:rStyle w:val="FootnoteReference"/>
          <w:vertAlign w:val="baseline"/>
          <w:rtl/>
        </w:rPr>
        <w:t>*</w:t>
      </w:r>
      <w:r w:rsidRPr="00AE47D3">
        <w:rPr>
          <w:rtl/>
        </w:rPr>
        <w:tab/>
      </w:r>
      <w:r w:rsidRPr="00AE47D3">
        <w:rPr>
          <w:rFonts w:hint="cs"/>
          <w:rtl/>
        </w:rPr>
        <w:t>اعتمدتها اللجنة في دورتها</w:t>
      </w:r>
      <w:r>
        <w:rPr>
          <w:rFonts w:hint="cs"/>
          <w:rtl/>
        </w:rPr>
        <w:t xml:space="preserve"> 111 (7-25 تموز/يوليه 2014).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70D4" w:rsidRPr="00B329FD" w:rsidRDefault="00EB70D4" w:rsidP="00B329FD">
    <w:pPr>
      <w:pStyle w:val="Header"/>
      <w:jc w:val="right"/>
    </w:pPr>
    <w:r w:rsidRPr="00B329FD">
      <w:t>CCPR/C/JPN/CO/6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70D4" w:rsidRPr="00B329FD" w:rsidRDefault="00EB70D4" w:rsidP="00B329FD">
    <w:pPr>
      <w:pStyle w:val="Header"/>
      <w:jc w:val="left"/>
    </w:pPr>
    <w:r w:rsidRPr="00B329FD">
      <w:t>CCPR/C/JPN/CO/6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70D4" w:rsidRDefault="00EB70D4"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EB70D4" w:rsidRPr="008F6743" w:rsidRDefault="00EB70D4"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6EA6D54"/>
    <w:multiLevelType w:val="hybridMultilevel"/>
    <w:tmpl w:val="B812067A"/>
    <w:lvl w:ilvl="0" w:tplc="81C85DE0">
      <w:start w:val="1"/>
      <w:numFmt w:val="arabicAlpha"/>
      <w:lvlText w:val="(%1)"/>
      <w:lvlJc w:val="left"/>
      <w:pPr>
        <w:ind w:left="1080" w:hanging="72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nsid w:val="06F47A2E"/>
    <w:multiLevelType w:val="hybridMultilevel"/>
    <w:tmpl w:val="80B8857C"/>
    <w:lvl w:ilvl="0" w:tplc="47D2DB10">
      <w:start w:val="1"/>
      <w:numFmt w:val="arabicAlpha"/>
      <w:lvlText w:val="(%1)"/>
      <w:lvlJc w:val="left"/>
      <w:pPr>
        <w:ind w:left="1080" w:hanging="72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9">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24A87C5D"/>
    <w:multiLevelType w:val="hybridMultilevel"/>
    <w:tmpl w:val="940AB320"/>
    <w:lvl w:ilvl="0" w:tplc="71B218C4">
      <w:start w:val="1"/>
      <w:numFmt w:val="arabicAlpha"/>
      <w:lvlText w:val="(%1)"/>
      <w:lvlJc w:val="left"/>
      <w:pPr>
        <w:ind w:left="1080" w:hanging="72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2">
    <w:nsid w:val="28B67BB7"/>
    <w:multiLevelType w:val="hybridMultilevel"/>
    <w:tmpl w:val="C7D0F8B0"/>
    <w:lvl w:ilvl="0" w:tplc="4F18C3F2">
      <w:start w:val="1"/>
      <w:numFmt w:val="arabicAlpha"/>
      <w:lvlText w:val="(%1)"/>
      <w:lvlJc w:val="left"/>
      <w:pPr>
        <w:ind w:left="1428" w:hanging="720"/>
      </w:pPr>
      <w:rPr>
        <w:rFonts w:hint="default"/>
      </w:rPr>
    </w:lvl>
    <w:lvl w:ilvl="1" w:tplc="100C0019" w:tentative="1">
      <w:start w:val="1"/>
      <w:numFmt w:val="lowerLetter"/>
      <w:lvlText w:val="%2."/>
      <w:lvlJc w:val="left"/>
      <w:pPr>
        <w:ind w:left="1788" w:hanging="360"/>
      </w:pPr>
    </w:lvl>
    <w:lvl w:ilvl="2" w:tplc="100C001B" w:tentative="1">
      <w:start w:val="1"/>
      <w:numFmt w:val="lowerRoman"/>
      <w:lvlText w:val="%3."/>
      <w:lvlJc w:val="right"/>
      <w:pPr>
        <w:ind w:left="2508" w:hanging="180"/>
      </w:pPr>
    </w:lvl>
    <w:lvl w:ilvl="3" w:tplc="100C000F" w:tentative="1">
      <w:start w:val="1"/>
      <w:numFmt w:val="decimal"/>
      <w:lvlText w:val="%4."/>
      <w:lvlJc w:val="left"/>
      <w:pPr>
        <w:ind w:left="3228" w:hanging="360"/>
      </w:pPr>
    </w:lvl>
    <w:lvl w:ilvl="4" w:tplc="100C0019" w:tentative="1">
      <w:start w:val="1"/>
      <w:numFmt w:val="lowerLetter"/>
      <w:lvlText w:val="%5."/>
      <w:lvlJc w:val="left"/>
      <w:pPr>
        <w:ind w:left="3948" w:hanging="360"/>
      </w:pPr>
    </w:lvl>
    <w:lvl w:ilvl="5" w:tplc="100C001B" w:tentative="1">
      <w:start w:val="1"/>
      <w:numFmt w:val="lowerRoman"/>
      <w:lvlText w:val="%6."/>
      <w:lvlJc w:val="right"/>
      <w:pPr>
        <w:ind w:left="4668" w:hanging="180"/>
      </w:pPr>
    </w:lvl>
    <w:lvl w:ilvl="6" w:tplc="100C000F" w:tentative="1">
      <w:start w:val="1"/>
      <w:numFmt w:val="decimal"/>
      <w:lvlText w:val="%7."/>
      <w:lvlJc w:val="left"/>
      <w:pPr>
        <w:ind w:left="5388" w:hanging="360"/>
      </w:pPr>
    </w:lvl>
    <w:lvl w:ilvl="7" w:tplc="100C0019" w:tentative="1">
      <w:start w:val="1"/>
      <w:numFmt w:val="lowerLetter"/>
      <w:lvlText w:val="%8."/>
      <w:lvlJc w:val="left"/>
      <w:pPr>
        <w:ind w:left="6108" w:hanging="360"/>
      </w:pPr>
    </w:lvl>
    <w:lvl w:ilvl="8" w:tplc="100C001B" w:tentative="1">
      <w:start w:val="1"/>
      <w:numFmt w:val="lowerRoman"/>
      <w:lvlText w:val="%9."/>
      <w:lvlJc w:val="right"/>
      <w:pPr>
        <w:ind w:left="6828" w:hanging="180"/>
      </w:pPr>
    </w:lvl>
  </w:abstractNum>
  <w:abstractNum w:abstractNumId="13">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5">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D9A045C"/>
    <w:multiLevelType w:val="hybridMultilevel"/>
    <w:tmpl w:val="BF68AC3E"/>
    <w:lvl w:ilvl="0" w:tplc="0A20B6A0">
      <w:start w:val="1"/>
      <w:numFmt w:val="arabicAlpha"/>
      <w:lvlText w:val="(%1)"/>
      <w:lvlJc w:val="left"/>
      <w:pPr>
        <w:ind w:left="1080" w:hanging="72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7">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42F6251B"/>
    <w:multiLevelType w:val="hybridMultilevel"/>
    <w:tmpl w:val="4FEA1F26"/>
    <w:lvl w:ilvl="0" w:tplc="155E336E">
      <w:start w:val="5"/>
      <w:numFmt w:val="arabicAlpha"/>
      <w:lvlText w:val="(%1)"/>
      <w:lvlJc w:val="left"/>
      <w:pPr>
        <w:ind w:left="1080" w:hanging="72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9">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0">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912026D"/>
    <w:multiLevelType w:val="hybridMultilevel"/>
    <w:tmpl w:val="5C8CE57C"/>
    <w:lvl w:ilvl="0" w:tplc="09EC24F6">
      <w:start w:val="1"/>
      <w:numFmt w:val="arabicAlpha"/>
      <w:lvlText w:val="(%1)"/>
      <w:lvlJc w:val="left"/>
      <w:pPr>
        <w:ind w:left="1080" w:hanging="72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2">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E8E6DEA"/>
    <w:multiLevelType w:val="hybridMultilevel"/>
    <w:tmpl w:val="0E9A8BFE"/>
    <w:lvl w:ilvl="0" w:tplc="91B088D0">
      <w:start w:val="1"/>
      <w:numFmt w:val="arabicAlpha"/>
      <w:lvlText w:val="(%1)"/>
      <w:lvlJc w:val="left"/>
      <w:pPr>
        <w:ind w:left="1080" w:hanging="72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4">
    <w:nsid w:val="4F1344EE"/>
    <w:multiLevelType w:val="hybridMultilevel"/>
    <w:tmpl w:val="61E2B44C"/>
    <w:lvl w:ilvl="0" w:tplc="5A6C623E">
      <w:start w:val="1"/>
      <w:numFmt w:val="arabicAlpha"/>
      <w:lvlText w:val="(%1)"/>
      <w:lvlJc w:val="left"/>
      <w:pPr>
        <w:ind w:left="1080" w:hanging="720"/>
      </w:pPr>
      <w:rPr>
        <w:rFonts w:ascii="Calibri" w:hAnsi="Calibri" w:cs="Arial" w:hint="default"/>
        <w:sz w:val="22"/>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5">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6">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651E0E7D"/>
    <w:multiLevelType w:val="hybridMultilevel"/>
    <w:tmpl w:val="3D46040E"/>
    <w:lvl w:ilvl="0" w:tplc="95DECA58">
      <w:start w:val="1"/>
      <w:numFmt w:val="arabicAlpha"/>
      <w:lvlText w:val="(%1)"/>
      <w:lvlJc w:val="left"/>
      <w:pPr>
        <w:ind w:left="1080" w:hanging="72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3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5"/>
  </w:num>
  <w:num w:numId="2">
    <w:abstractNumId w:val="3"/>
  </w:num>
  <w:num w:numId="3">
    <w:abstractNumId w:val="19"/>
  </w:num>
  <w:num w:numId="4">
    <w:abstractNumId w:val="15"/>
  </w:num>
  <w:num w:numId="5">
    <w:abstractNumId w:val="11"/>
  </w:num>
  <w:num w:numId="6">
    <w:abstractNumId w:val="30"/>
  </w:num>
  <w:num w:numId="7">
    <w:abstractNumId w:val="14"/>
  </w:num>
  <w:num w:numId="8">
    <w:abstractNumId w:val="13"/>
  </w:num>
  <w:num w:numId="9">
    <w:abstractNumId w:val="17"/>
  </w:num>
  <w:num w:numId="10">
    <w:abstractNumId w:val="29"/>
  </w:num>
  <w:num w:numId="11">
    <w:abstractNumId w:val="3"/>
  </w:num>
  <w:num w:numId="12">
    <w:abstractNumId w:val="19"/>
  </w:num>
  <w:num w:numId="13">
    <w:abstractNumId w:val="15"/>
  </w:num>
  <w:num w:numId="14">
    <w:abstractNumId w:val="11"/>
  </w:num>
  <w:num w:numId="15">
    <w:abstractNumId w:val="30"/>
  </w:num>
  <w:num w:numId="16">
    <w:abstractNumId w:val="3"/>
  </w:num>
  <w:num w:numId="17">
    <w:abstractNumId w:val="19"/>
  </w:num>
  <w:num w:numId="18">
    <w:abstractNumId w:val="15"/>
  </w:num>
  <w:num w:numId="19">
    <w:abstractNumId w:val="11"/>
  </w:num>
  <w:num w:numId="20">
    <w:abstractNumId w:val="30"/>
  </w:num>
  <w:num w:numId="21">
    <w:abstractNumId w:val="3"/>
  </w:num>
  <w:num w:numId="22">
    <w:abstractNumId w:val="19"/>
  </w:num>
  <w:num w:numId="23">
    <w:abstractNumId w:val="11"/>
  </w:num>
  <w:num w:numId="24">
    <w:abstractNumId w:val="30"/>
  </w:num>
  <w:num w:numId="25">
    <w:abstractNumId w:val="19"/>
  </w:num>
  <w:num w:numId="26">
    <w:abstractNumId w:val="3"/>
  </w:num>
  <w:num w:numId="27">
    <w:abstractNumId w:val="5"/>
  </w:num>
  <w:num w:numId="28">
    <w:abstractNumId w:val="4"/>
  </w:num>
  <w:num w:numId="29">
    <w:abstractNumId w:val="22"/>
  </w:num>
  <w:num w:numId="30">
    <w:abstractNumId w:val="6"/>
  </w:num>
  <w:num w:numId="31">
    <w:abstractNumId w:val="9"/>
  </w:num>
  <w:num w:numId="32">
    <w:abstractNumId w:val="20"/>
  </w:num>
  <w:num w:numId="33">
    <w:abstractNumId w:val="26"/>
  </w:num>
  <w:num w:numId="34">
    <w:abstractNumId w:val="31"/>
  </w:num>
  <w:num w:numId="35">
    <w:abstractNumId w:val="7"/>
  </w:num>
  <w:num w:numId="36">
    <w:abstractNumId w:val="25"/>
  </w:num>
  <w:num w:numId="37">
    <w:abstractNumId w:val="28"/>
  </w:num>
  <w:num w:numId="38">
    <w:abstractNumId w:val="0"/>
  </w:num>
  <w:num w:numId="39">
    <w:abstractNumId w:val="8"/>
  </w:num>
  <w:num w:numId="40">
    <w:abstractNumId w:val="24"/>
  </w:num>
  <w:num w:numId="41">
    <w:abstractNumId w:val="12"/>
  </w:num>
  <w:num w:numId="42">
    <w:abstractNumId w:val="10"/>
  </w:num>
  <w:num w:numId="43">
    <w:abstractNumId w:val="2"/>
  </w:num>
  <w:num w:numId="44">
    <w:abstractNumId w:val="18"/>
  </w:num>
  <w:num w:numId="45">
    <w:abstractNumId w:val="16"/>
  </w:num>
  <w:num w:numId="46">
    <w:abstractNumId w:val="27"/>
  </w:num>
  <w:num w:numId="47">
    <w:abstractNumId w:val="23"/>
  </w:num>
  <w:num w:numId="48">
    <w:abstractNumId w:val="1"/>
  </w:num>
  <w:num w:numId="4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7C62"/>
    <w:rsid w:val="00002D16"/>
    <w:rsid w:val="00040E25"/>
    <w:rsid w:val="00042149"/>
    <w:rsid w:val="000648EA"/>
    <w:rsid w:val="000957C8"/>
    <w:rsid w:val="00097049"/>
    <w:rsid w:val="000A04D5"/>
    <w:rsid w:val="000A56F7"/>
    <w:rsid w:val="000B52F2"/>
    <w:rsid w:val="000D0EAE"/>
    <w:rsid w:val="000D5380"/>
    <w:rsid w:val="000D6654"/>
    <w:rsid w:val="000E103D"/>
    <w:rsid w:val="000F0264"/>
    <w:rsid w:val="000F2EBF"/>
    <w:rsid w:val="000F3A9F"/>
    <w:rsid w:val="000F5FF6"/>
    <w:rsid w:val="001022B5"/>
    <w:rsid w:val="001045E9"/>
    <w:rsid w:val="00113FA5"/>
    <w:rsid w:val="001455A0"/>
    <w:rsid w:val="001602A3"/>
    <w:rsid w:val="001A5161"/>
    <w:rsid w:val="001A60BD"/>
    <w:rsid w:val="001C6D53"/>
    <w:rsid w:val="00232277"/>
    <w:rsid w:val="0023736D"/>
    <w:rsid w:val="00257225"/>
    <w:rsid w:val="00277B79"/>
    <w:rsid w:val="00310160"/>
    <w:rsid w:val="00341A8C"/>
    <w:rsid w:val="003519E6"/>
    <w:rsid w:val="00355F81"/>
    <w:rsid w:val="003B4356"/>
    <w:rsid w:val="003F08A8"/>
    <w:rsid w:val="004250E3"/>
    <w:rsid w:val="0044376D"/>
    <w:rsid w:val="00472A81"/>
    <w:rsid w:val="004A20A6"/>
    <w:rsid w:val="004B2C92"/>
    <w:rsid w:val="004D6A3A"/>
    <w:rsid w:val="004F03C7"/>
    <w:rsid w:val="004F4AD7"/>
    <w:rsid w:val="00557CD3"/>
    <w:rsid w:val="00571432"/>
    <w:rsid w:val="005732A2"/>
    <w:rsid w:val="005762A5"/>
    <w:rsid w:val="00590BA3"/>
    <w:rsid w:val="005B46D9"/>
    <w:rsid w:val="005B7AE0"/>
    <w:rsid w:val="005D023E"/>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66B73"/>
    <w:rsid w:val="00787C62"/>
    <w:rsid w:val="0079344E"/>
    <w:rsid w:val="007E197F"/>
    <w:rsid w:val="007E2786"/>
    <w:rsid w:val="007E4686"/>
    <w:rsid w:val="007F68C4"/>
    <w:rsid w:val="008153DE"/>
    <w:rsid w:val="00852A10"/>
    <w:rsid w:val="00862634"/>
    <w:rsid w:val="00866C59"/>
    <w:rsid w:val="00877306"/>
    <w:rsid w:val="00885524"/>
    <w:rsid w:val="008A6242"/>
    <w:rsid w:val="008B4BC6"/>
    <w:rsid w:val="008F6743"/>
    <w:rsid w:val="00901E57"/>
    <w:rsid w:val="009070DF"/>
    <w:rsid w:val="00935F0E"/>
    <w:rsid w:val="0095208F"/>
    <w:rsid w:val="00977B3F"/>
    <w:rsid w:val="009814AE"/>
    <w:rsid w:val="009901D3"/>
    <w:rsid w:val="0099038B"/>
    <w:rsid w:val="00996BBE"/>
    <w:rsid w:val="009B2C03"/>
    <w:rsid w:val="009D17B9"/>
    <w:rsid w:val="009D1DD5"/>
    <w:rsid w:val="009F722C"/>
    <w:rsid w:val="00A26157"/>
    <w:rsid w:val="00A265C3"/>
    <w:rsid w:val="00A43F9A"/>
    <w:rsid w:val="00A53F38"/>
    <w:rsid w:val="00A543D4"/>
    <w:rsid w:val="00AD0014"/>
    <w:rsid w:val="00AD4CF2"/>
    <w:rsid w:val="00AF0BBA"/>
    <w:rsid w:val="00B02226"/>
    <w:rsid w:val="00B11704"/>
    <w:rsid w:val="00B25159"/>
    <w:rsid w:val="00B30468"/>
    <w:rsid w:val="00B329FD"/>
    <w:rsid w:val="00B44E31"/>
    <w:rsid w:val="00B67655"/>
    <w:rsid w:val="00BA4F7E"/>
    <w:rsid w:val="00BB2C41"/>
    <w:rsid w:val="00BC3738"/>
    <w:rsid w:val="00BC55C8"/>
    <w:rsid w:val="00BC5C10"/>
    <w:rsid w:val="00BC5F2C"/>
    <w:rsid w:val="00BE2964"/>
    <w:rsid w:val="00C21623"/>
    <w:rsid w:val="00C24FBD"/>
    <w:rsid w:val="00C473BA"/>
    <w:rsid w:val="00C611ED"/>
    <w:rsid w:val="00C6490A"/>
    <w:rsid w:val="00C64FE1"/>
    <w:rsid w:val="00C726D2"/>
    <w:rsid w:val="00C74296"/>
    <w:rsid w:val="00C8345E"/>
    <w:rsid w:val="00CA5F7C"/>
    <w:rsid w:val="00D45F5A"/>
    <w:rsid w:val="00D51067"/>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87AD5"/>
    <w:rsid w:val="00EA796F"/>
    <w:rsid w:val="00EB077B"/>
    <w:rsid w:val="00EB70D4"/>
    <w:rsid w:val="00EC50B9"/>
    <w:rsid w:val="00ED26A0"/>
    <w:rsid w:val="00F1727A"/>
    <w:rsid w:val="00F34764"/>
    <w:rsid w:val="00F54E3C"/>
    <w:rsid w:val="00F60D14"/>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
    <w:rsid w:val="000D6654"/>
    <w:rPr>
      <w:rFonts w:ascii="Times New Roman" w:hAnsi="Times New Roman" w:cs="Traditional Arabic"/>
      <w:b/>
      <w:kern w:val="0"/>
      <w:sz w:val="18"/>
      <w:szCs w:val="28"/>
      <w:vertAlign w:val="superscript"/>
    </w:rPr>
  </w:style>
  <w:style w:type="paragraph" w:customStyle="1" w:styleId="footnoteText0">
    <w:name w:val="footnote Text"/>
    <w:aliases w:val="5_GA,Footnote Text1"/>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BlueFont">
    <w:name w:val="Blue_Font"/>
    <w:rsid w:val="00B329FD"/>
    <w:rPr>
      <w:color w:val="0000FF"/>
      <w:kern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12</Pages>
  <Words>3401</Words>
  <Characters>17714</Characters>
  <Application>Microsoft Office Word</Application>
  <DocSecurity>4</DocSecurity>
  <Lines>337</Lines>
  <Paragraphs>118</Paragraphs>
  <ScaleCrop>false</ScaleCrop>
  <HeadingPairs>
    <vt:vector size="2" baseType="variant">
      <vt:variant>
        <vt:lpstr>العنوان</vt:lpstr>
      </vt:variant>
      <vt:variant>
        <vt:i4>1</vt:i4>
      </vt:variant>
    </vt:vector>
  </HeadingPairs>
  <TitlesOfParts>
    <vt:vector size="1" baseType="lpstr">
      <vt:lpstr>CCPR/C/JPN/CO/6</vt:lpstr>
    </vt:vector>
  </TitlesOfParts>
  <Company>CSD</Company>
  <LinksUpToDate>false</LinksUpToDate>
  <CharactersWithSpaces>21116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CCPR/C/JPN/CO/6</dc:title>
  <dc:subject>fathi-louati</dc:subject>
  <dc:creator>BUHNAM</dc:creator>
  <cp:keywords/>
  <dc:description/>
  <cp:lastModifiedBy>TPS</cp:lastModifiedBy>
  <cp:revision>2</cp:revision>
  <cp:lastPrinted>2014-10-14T08:21:00Z</cp:lastPrinted>
  <dcterms:created xsi:type="dcterms:W3CDTF">2014-10-14T12:51:00Z</dcterms:created>
  <dcterms:modified xsi:type="dcterms:W3CDTF">2014-10-14T12:51:00Z</dcterms:modified>
</cp:coreProperties>
</file>