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C24BC2" w14:textId="77777777" w:rsidR="00C50EF3" w:rsidRDefault="00C50EF3" w:rsidP="00C50EF3">
      <w:pPr>
        <w:spacing w:line="60" w:lineRule="exact"/>
        <w:rPr>
          <w:sz w:val="2"/>
        </w:rPr>
        <w:sectPr w:rsidR="00C50EF3" w:rsidSect="0089177B">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Pr>
          <w:rStyle w:val="ad"/>
        </w:rPr>
        <w:commentReference w:id="0"/>
      </w:r>
    </w:p>
    <w:p w14:paraId="0C51EBDD" w14:textId="597D0F5D" w:rsidR="0089177B" w:rsidRDefault="0089177B" w:rsidP="00FC35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60" w:after="360"/>
        <w:ind w:left="1267" w:right="1260" w:hanging="1267"/>
      </w:pPr>
      <w:r>
        <w:rPr>
          <w:rFonts w:hint="eastAsia"/>
        </w:rPr>
        <w:t>消除对妇女歧视委员会</w:t>
      </w:r>
    </w:p>
    <w:p w14:paraId="46DA16DD" w14:textId="359ABC11" w:rsidR="00FC35CD" w:rsidRDefault="00FC35CD" w:rsidP="00FC35CD">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tab/>
      </w:r>
      <w:r>
        <w:rPr>
          <w:rFonts w:hint="eastAsia"/>
        </w:rPr>
        <w:t>关于保加利亚第八次定期报告的结论性意见</w:t>
      </w:r>
      <w:r w:rsidRPr="001E799A">
        <w:rPr>
          <w:rFonts w:hint="eastAsia"/>
          <w:vertAlign w:val="superscript"/>
        </w:rPr>
        <w:t>*</w:t>
      </w:r>
    </w:p>
    <w:p w14:paraId="37ABECD5" w14:textId="302DD04A" w:rsidR="00FC35CD" w:rsidRDefault="00FC35CD" w:rsidP="00FC35CD">
      <w:pPr>
        <w:pStyle w:val="SingleTxt"/>
      </w:pPr>
      <w:r>
        <w:rPr>
          <w:rFonts w:hint="eastAsia"/>
        </w:rPr>
        <w:t>1.</w:t>
      </w:r>
      <w:r>
        <w:rPr>
          <w:rFonts w:hint="eastAsia"/>
        </w:rPr>
        <w:tab/>
      </w:r>
      <w:r>
        <w:rPr>
          <w:rFonts w:hint="eastAsia"/>
        </w:rPr>
        <w:t>委员会在</w:t>
      </w:r>
      <w:r>
        <w:rPr>
          <w:rFonts w:hint="eastAsia"/>
        </w:rPr>
        <w:t>2020</w:t>
      </w:r>
      <w:r>
        <w:rPr>
          <w:rFonts w:hint="eastAsia"/>
        </w:rPr>
        <w:t>年</w:t>
      </w:r>
      <w:r>
        <w:rPr>
          <w:rFonts w:hint="eastAsia"/>
        </w:rPr>
        <w:t>2</w:t>
      </w:r>
      <w:r>
        <w:rPr>
          <w:rFonts w:hint="eastAsia"/>
        </w:rPr>
        <w:t>月</w:t>
      </w:r>
      <w:r>
        <w:rPr>
          <w:rFonts w:hint="eastAsia"/>
        </w:rPr>
        <w:t>19</w:t>
      </w:r>
      <w:r>
        <w:rPr>
          <w:rFonts w:hint="eastAsia"/>
        </w:rPr>
        <w:t>日举行的第</w:t>
      </w:r>
      <w:r>
        <w:rPr>
          <w:rFonts w:hint="eastAsia"/>
        </w:rPr>
        <w:t>1761</w:t>
      </w:r>
      <w:r>
        <w:rPr>
          <w:rFonts w:hint="eastAsia"/>
        </w:rPr>
        <w:t>次和第</w:t>
      </w:r>
      <w:r>
        <w:rPr>
          <w:rFonts w:hint="eastAsia"/>
        </w:rPr>
        <w:t>1762</w:t>
      </w:r>
      <w:r>
        <w:rPr>
          <w:rFonts w:hint="eastAsia"/>
        </w:rPr>
        <w:t>次会议</w:t>
      </w:r>
      <w:r>
        <w:rPr>
          <w:rFonts w:hint="eastAsia"/>
        </w:rPr>
        <w:t>(</w:t>
      </w:r>
      <w:r>
        <w:rPr>
          <w:rFonts w:hint="eastAsia"/>
        </w:rPr>
        <w:t>见</w:t>
      </w:r>
      <w:hyperlink r:id="rId17" w:history="1">
        <w:r w:rsidRPr="00CF37ED">
          <w:rPr>
            <w:rStyle w:val="af4"/>
            <w:rFonts w:hint="eastAsia"/>
            <w:spacing w:val="-6"/>
          </w:rPr>
          <w:t>CEDAW/</w:t>
        </w:r>
        <w:r w:rsidRPr="00CF37ED">
          <w:rPr>
            <w:rStyle w:val="af4"/>
            <w:spacing w:val="-6"/>
          </w:rPr>
          <w:t xml:space="preserve"> </w:t>
        </w:r>
        <w:r w:rsidRPr="00CF37ED">
          <w:rPr>
            <w:rStyle w:val="af4"/>
            <w:rFonts w:hint="eastAsia"/>
            <w:spacing w:val="-6"/>
          </w:rPr>
          <w:t>C/SR.1761</w:t>
        </w:r>
      </w:hyperlink>
      <w:r w:rsidRPr="00CF37ED">
        <w:rPr>
          <w:rFonts w:hint="eastAsia"/>
          <w:spacing w:val="-6"/>
        </w:rPr>
        <w:t>和</w:t>
      </w:r>
      <w:hyperlink r:id="rId18" w:history="1">
        <w:r w:rsidRPr="00CF37ED">
          <w:rPr>
            <w:rStyle w:val="af4"/>
            <w:rFonts w:hint="eastAsia"/>
            <w:spacing w:val="-6"/>
          </w:rPr>
          <w:t>CEDAW/C/SR.1762</w:t>
        </w:r>
      </w:hyperlink>
      <w:r w:rsidRPr="00CF37ED">
        <w:rPr>
          <w:rFonts w:hint="eastAsia"/>
          <w:spacing w:val="-6"/>
        </w:rPr>
        <w:t>)</w:t>
      </w:r>
      <w:r w:rsidRPr="00CF37ED">
        <w:rPr>
          <w:rFonts w:hint="eastAsia"/>
          <w:spacing w:val="-6"/>
        </w:rPr>
        <w:t>上审议了保加利亚的第八次定期报告</w:t>
      </w:r>
      <w:r w:rsidRPr="00CF37ED">
        <w:rPr>
          <w:rFonts w:hint="eastAsia"/>
          <w:spacing w:val="-6"/>
        </w:rPr>
        <w:t>(</w:t>
      </w:r>
      <w:hyperlink r:id="rId19" w:history="1">
        <w:r w:rsidRPr="00CF37ED">
          <w:rPr>
            <w:rStyle w:val="af4"/>
            <w:rFonts w:hint="eastAsia"/>
            <w:spacing w:val="-6"/>
          </w:rPr>
          <w:t>CEDAW/</w:t>
        </w:r>
        <w:r>
          <w:rPr>
            <w:rStyle w:val="af4"/>
            <w:spacing w:val="-6"/>
          </w:rPr>
          <w:t xml:space="preserve"> </w:t>
        </w:r>
        <w:r w:rsidRPr="00CF37ED">
          <w:rPr>
            <w:rStyle w:val="af4"/>
            <w:rFonts w:hint="eastAsia"/>
            <w:spacing w:val="-6"/>
          </w:rPr>
          <w:t>C/BGR/8</w:t>
        </w:r>
      </w:hyperlink>
      <w:r>
        <w:rPr>
          <w:rFonts w:hint="eastAsia"/>
        </w:rPr>
        <w:t>)</w:t>
      </w:r>
      <w:r>
        <w:rPr>
          <w:rFonts w:hint="eastAsia"/>
        </w:rPr>
        <w:t>。</w:t>
      </w:r>
    </w:p>
    <w:p w14:paraId="59A98B55" w14:textId="77777777" w:rsidR="00FC35CD" w:rsidRDefault="00FC35CD" w:rsidP="00FC35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A.</w:t>
      </w:r>
      <w:r>
        <w:rPr>
          <w:rFonts w:hint="eastAsia"/>
        </w:rPr>
        <w:tab/>
      </w:r>
      <w:r>
        <w:rPr>
          <w:rFonts w:hint="eastAsia"/>
        </w:rPr>
        <w:t>导言</w:t>
      </w:r>
    </w:p>
    <w:p w14:paraId="5853218E" w14:textId="56C98D77" w:rsidR="00FC35CD" w:rsidRDefault="00FC35CD" w:rsidP="00FC35CD">
      <w:pPr>
        <w:pStyle w:val="SingleTxt"/>
      </w:pPr>
      <w:r>
        <w:rPr>
          <w:rFonts w:hint="eastAsia"/>
        </w:rPr>
        <w:t>2.</w:t>
      </w:r>
      <w:r>
        <w:rPr>
          <w:rFonts w:hint="eastAsia"/>
        </w:rPr>
        <w:tab/>
      </w:r>
      <w:r>
        <w:rPr>
          <w:rFonts w:hint="eastAsia"/>
        </w:rPr>
        <w:t>委</w:t>
      </w:r>
      <w:r w:rsidRPr="00AE632E">
        <w:rPr>
          <w:rFonts w:hint="eastAsia"/>
          <w:spacing w:val="-6"/>
        </w:rPr>
        <w:t>员会赞赏缔约国提交其针对报告前的议题清单</w:t>
      </w:r>
      <w:r w:rsidRPr="00AE632E">
        <w:rPr>
          <w:rFonts w:hint="eastAsia"/>
          <w:spacing w:val="-6"/>
        </w:rPr>
        <w:t>(</w:t>
      </w:r>
      <w:hyperlink r:id="rId20" w:history="1">
        <w:r w:rsidRPr="00AE632E">
          <w:rPr>
            <w:rStyle w:val="af4"/>
            <w:rFonts w:hint="eastAsia"/>
            <w:spacing w:val="-6"/>
          </w:rPr>
          <w:t>CEDAW/C/BGR/QPR/8</w:t>
        </w:r>
      </w:hyperlink>
      <w:r w:rsidRPr="00AE632E">
        <w:rPr>
          <w:rFonts w:hint="eastAsia"/>
          <w:spacing w:val="-6"/>
        </w:rPr>
        <w:t>)</w:t>
      </w:r>
      <w:r>
        <w:rPr>
          <w:rFonts w:hint="eastAsia"/>
        </w:rPr>
        <w:t>编写的第八次定期报告。委员会还赞赏缔约国就委员会的结论性意见</w:t>
      </w:r>
      <w:r>
        <w:rPr>
          <w:rFonts w:hint="eastAsia"/>
        </w:rPr>
        <w:t>(</w:t>
      </w:r>
      <w:hyperlink r:id="rId21" w:history="1">
        <w:r w:rsidRPr="001822F6">
          <w:rPr>
            <w:rStyle w:val="af4"/>
            <w:rFonts w:hint="eastAsia"/>
          </w:rPr>
          <w:t>CEDAW/C/BGR/</w:t>
        </w:r>
        <w:r>
          <w:rPr>
            <w:rStyle w:val="af4"/>
          </w:rPr>
          <w:t xml:space="preserve"> </w:t>
        </w:r>
        <w:r w:rsidRPr="001822F6">
          <w:rPr>
            <w:rStyle w:val="af4"/>
            <w:rFonts w:hint="eastAsia"/>
          </w:rPr>
          <w:t>CO/4-7/Add.1</w:t>
        </w:r>
      </w:hyperlink>
      <w:r>
        <w:rPr>
          <w:rFonts w:hint="eastAsia"/>
        </w:rPr>
        <w:t>)</w:t>
      </w:r>
      <w:r>
        <w:rPr>
          <w:rFonts w:hint="eastAsia"/>
        </w:rPr>
        <w:t>编写的后续报告。委员会欢迎缔约国代表团进行口头介绍，以及对委员会在对话期间口头提出的问题做进一步澄清。</w:t>
      </w:r>
    </w:p>
    <w:p w14:paraId="083B3116" w14:textId="77777777" w:rsidR="00FC35CD" w:rsidRDefault="00FC35CD" w:rsidP="00FC35CD">
      <w:pPr>
        <w:pStyle w:val="SingleTxt"/>
      </w:pPr>
      <w:r>
        <w:rPr>
          <w:rFonts w:hint="eastAsia"/>
        </w:rPr>
        <w:t>3.</w:t>
      </w:r>
      <w:r>
        <w:rPr>
          <w:rFonts w:hint="eastAsia"/>
        </w:rPr>
        <w:tab/>
      </w:r>
      <w:r>
        <w:rPr>
          <w:rFonts w:hint="eastAsia"/>
        </w:rPr>
        <w:t>委员会称赞缔约国派出由外交部副部长乔治·乔尔杰夫先生率领的代表团，代表团成员包括司法部、劳动和社会政策部、卫生部、内政部、部长理事会和保加利亚常驻联合国日内瓦办事处及日内瓦其他国际组织代表团的代表。</w:t>
      </w:r>
    </w:p>
    <w:p w14:paraId="61D6CD11" w14:textId="77777777" w:rsidR="00FC35CD" w:rsidRDefault="00FC35CD" w:rsidP="00FC35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B.</w:t>
      </w:r>
      <w:r>
        <w:rPr>
          <w:rFonts w:hint="eastAsia"/>
        </w:rPr>
        <w:tab/>
      </w:r>
      <w:r>
        <w:rPr>
          <w:rFonts w:hint="eastAsia"/>
        </w:rPr>
        <w:t>积极方面</w:t>
      </w:r>
    </w:p>
    <w:p w14:paraId="0885E83C" w14:textId="77777777" w:rsidR="00FC35CD" w:rsidRDefault="00FC35CD" w:rsidP="00FC35CD">
      <w:pPr>
        <w:pStyle w:val="SingleTxt"/>
      </w:pPr>
      <w:r>
        <w:rPr>
          <w:rFonts w:hint="eastAsia"/>
        </w:rPr>
        <w:t>4.</w:t>
      </w:r>
      <w:r>
        <w:rPr>
          <w:rFonts w:hint="eastAsia"/>
        </w:rPr>
        <w:tab/>
      </w:r>
      <w:r>
        <w:rPr>
          <w:rFonts w:hint="eastAsia"/>
        </w:rPr>
        <w:t>委员会欢迎自</w:t>
      </w:r>
      <w:r>
        <w:rPr>
          <w:rFonts w:hint="eastAsia"/>
        </w:rPr>
        <w:t>2012</w:t>
      </w:r>
      <w:r>
        <w:rPr>
          <w:rFonts w:hint="eastAsia"/>
        </w:rPr>
        <w:t>年审议缔约国第四次至第七次合并定期报告以来在实施法律改革方面取得的进展，尤其是：</w:t>
      </w:r>
    </w:p>
    <w:p w14:paraId="142AFE39" w14:textId="77777777" w:rsidR="00FC35CD" w:rsidRPr="00AE632E" w:rsidRDefault="00FC35CD" w:rsidP="00FC35CD">
      <w:pPr>
        <w:framePr w:w="9792" w:h="432" w:hSpace="180" w:wrap="around" w:vAnchor="page" w:hAnchor="page" w:x="1229" w:y="138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2336" behindDoc="0" locked="0" layoutInCell="1" allowOverlap="1" wp14:anchorId="5F6C0234" wp14:editId="4D9D7E93">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770D0845" id="直接连接符 5"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" strokecolor="#010000" strokeweight=".25pt"/>
            </w:pict>
          </mc:Fallback>
        </mc:AlternateContent>
      </w:r>
      <w:r>
        <w:rPr>
          <w:sz w:val="18"/>
        </w:rPr>
        <w:tab/>
      </w:r>
      <w:r w:rsidRPr="00AE632E">
        <w:rPr>
          <w:rFonts w:hint="eastAsia"/>
          <w:sz w:val="18"/>
          <w:vertAlign w:val="superscript"/>
        </w:rPr>
        <w:t>*</w:t>
      </w:r>
      <w:r>
        <w:rPr>
          <w:sz w:val="18"/>
        </w:rPr>
        <w:tab/>
      </w:r>
      <w:r w:rsidRPr="00AE632E">
        <w:rPr>
          <w:rFonts w:hint="eastAsia"/>
          <w:sz w:val="18"/>
        </w:rPr>
        <w:t>由委员会第七十五届会议</w:t>
      </w:r>
      <w:r w:rsidRPr="00AE632E">
        <w:rPr>
          <w:rFonts w:hint="eastAsia"/>
          <w:sz w:val="18"/>
        </w:rPr>
        <w:t>(2020</w:t>
      </w:r>
      <w:r w:rsidRPr="00AE632E">
        <w:rPr>
          <w:rFonts w:hint="eastAsia"/>
          <w:sz w:val="18"/>
        </w:rPr>
        <w:t>年</w:t>
      </w:r>
      <w:r w:rsidRPr="00AE632E">
        <w:rPr>
          <w:rFonts w:hint="eastAsia"/>
          <w:sz w:val="18"/>
        </w:rPr>
        <w:t>2</w:t>
      </w:r>
      <w:r w:rsidRPr="00AE632E">
        <w:rPr>
          <w:rFonts w:hint="eastAsia"/>
          <w:sz w:val="18"/>
        </w:rPr>
        <w:t>月</w:t>
      </w:r>
      <w:r w:rsidRPr="00AE632E">
        <w:rPr>
          <w:rFonts w:hint="eastAsia"/>
          <w:sz w:val="18"/>
        </w:rPr>
        <w:t>10</w:t>
      </w:r>
      <w:r w:rsidRPr="00AE632E">
        <w:rPr>
          <w:rFonts w:hint="eastAsia"/>
          <w:sz w:val="18"/>
        </w:rPr>
        <w:t>日至</w:t>
      </w:r>
      <w:r w:rsidRPr="00AE632E">
        <w:rPr>
          <w:rFonts w:hint="eastAsia"/>
          <w:sz w:val="18"/>
        </w:rPr>
        <w:t>28</w:t>
      </w:r>
      <w:r w:rsidRPr="00AE632E">
        <w:rPr>
          <w:rFonts w:hint="eastAsia"/>
          <w:sz w:val="18"/>
        </w:rPr>
        <w:t>日</w:t>
      </w:r>
      <w:r w:rsidRPr="00AE632E">
        <w:rPr>
          <w:rFonts w:hint="eastAsia"/>
          <w:sz w:val="18"/>
        </w:rPr>
        <w:t>)</w:t>
      </w:r>
      <w:r w:rsidRPr="00AE632E">
        <w:rPr>
          <w:rFonts w:hint="eastAsia"/>
          <w:sz w:val="18"/>
        </w:rPr>
        <w:t>予以通过。</w:t>
      </w:r>
    </w:p>
    <w:p w14:paraId="50677B91" w14:textId="77777777" w:rsidR="00FC35CD" w:rsidRDefault="00FC35CD" w:rsidP="00FC35CD">
      <w:pPr>
        <w:pStyle w:val="SingleTxt"/>
      </w:pPr>
      <w:r>
        <w:rPr>
          <w:rFonts w:hint="eastAsia"/>
        </w:rPr>
        <w:tab/>
        <w:t>(a)</w:t>
      </w:r>
      <w:r>
        <w:tab/>
      </w:r>
      <w:r>
        <w:rPr>
          <w:rFonts w:hint="eastAsia"/>
        </w:rPr>
        <w:t>通过了</w:t>
      </w:r>
      <w:r>
        <w:rPr>
          <w:rFonts w:hint="eastAsia"/>
        </w:rPr>
        <w:t>2016</w:t>
      </w:r>
      <w:r>
        <w:rPr>
          <w:rFonts w:hint="eastAsia"/>
        </w:rPr>
        <w:t>年《男女平等法》；</w:t>
      </w:r>
    </w:p>
    <w:p w14:paraId="2CFC3F9F" w14:textId="77777777" w:rsidR="00FC35CD" w:rsidRPr="00FC35CD" w:rsidRDefault="00FC35CD" w:rsidP="00FC35CD">
      <w:pPr>
        <w:pStyle w:val="SingleTxt"/>
      </w:pPr>
      <w:r w:rsidRPr="00AE632E">
        <w:rPr>
          <w:rFonts w:hint="eastAsia"/>
          <w:sz w:val="20"/>
        </w:rPr>
        <w:tab/>
      </w:r>
      <w:r>
        <w:rPr>
          <w:rFonts w:hint="eastAsia"/>
        </w:rPr>
        <w:t>(b)</w:t>
      </w:r>
      <w:r>
        <w:tab/>
      </w:r>
      <w:r>
        <w:rPr>
          <w:rFonts w:hint="eastAsia"/>
        </w:rPr>
        <w:t>2017</w:t>
      </w:r>
      <w:r>
        <w:rPr>
          <w:rFonts w:hint="eastAsia"/>
        </w:rPr>
        <w:t>年</w:t>
      </w:r>
      <w:r w:rsidRPr="00FC35CD">
        <w:rPr>
          <w:rFonts w:hint="eastAsia"/>
        </w:rPr>
        <w:t>修订了</w:t>
      </w:r>
      <w:r w:rsidRPr="00FC35CD">
        <w:t>《刑事诉讼法》</w:t>
      </w:r>
      <w:r w:rsidRPr="00FC35CD">
        <w:rPr>
          <w:rFonts w:hint="eastAsia"/>
        </w:rPr>
        <w:t>，以</w:t>
      </w:r>
      <w:r w:rsidRPr="00FC35CD">
        <w:t>纳入欧洲议会</w:t>
      </w:r>
      <w:r w:rsidRPr="00FC35CD">
        <w:rPr>
          <w:rFonts w:hint="eastAsia"/>
        </w:rPr>
        <w:t>和理事会</w:t>
      </w:r>
      <w:r w:rsidRPr="00FC35CD">
        <w:rPr>
          <w:rFonts w:hint="eastAsia"/>
        </w:rPr>
        <w:t>2</w:t>
      </w:r>
      <w:r w:rsidRPr="00FC35CD">
        <w:t>012</w:t>
      </w:r>
      <w:r w:rsidRPr="00FC35CD">
        <w:rPr>
          <w:rFonts w:hint="eastAsia"/>
        </w:rPr>
        <w:t>年</w:t>
      </w:r>
      <w:r w:rsidRPr="00FC35CD">
        <w:rPr>
          <w:rFonts w:hint="eastAsia"/>
        </w:rPr>
        <w:t>1</w:t>
      </w:r>
      <w:r w:rsidRPr="00FC35CD">
        <w:t>0</w:t>
      </w:r>
      <w:r w:rsidRPr="00FC35CD">
        <w:rPr>
          <w:rFonts w:hint="eastAsia"/>
        </w:rPr>
        <w:t>月</w:t>
      </w:r>
      <w:r w:rsidRPr="00FC35CD">
        <w:rPr>
          <w:rFonts w:hint="eastAsia"/>
        </w:rPr>
        <w:t>2</w:t>
      </w:r>
      <w:r w:rsidRPr="00FC35CD">
        <w:t>5</w:t>
      </w:r>
      <w:r w:rsidRPr="00FC35CD">
        <w:rPr>
          <w:rFonts w:hint="eastAsia"/>
        </w:rPr>
        <w:t>日的</w:t>
      </w:r>
      <w:r w:rsidRPr="00FC35CD">
        <w:t>第</w:t>
      </w:r>
      <w:r w:rsidRPr="00FC35CD">
        <w:t>2012/29/EU</w:t>
      </w:r>
      <w:r w:rsidRPr="00FC35CD">
        <w:t>号指令</w:t>
      </w:r>
      <w:r w:rsidRPr="00FC35CD">
        <w:rPr>
          <w:rFonts w:hint="eastAsia"/>
        </w:rPr>
        <w:t>，该指令确立了关于</w:t>
      </w:r>
      <w:r w:rsidRPr="00FC35CD">
        <w:t>犯罪受害者权利、支持和保护</w:t>
      </w:r>
      <w:r w:rsidRPr="00FC35CD">
        <w:rPr>
          <w:rFonts w:hint="eastAsia"/>
        </w:rPr>
        <w:t>的</w:t>
      </w:r>
      <w:r w:rsidRPr="00FC35CD">
        <w:t>最低标准；</w:t>
      </w:r>
    </w:p>
    <w:p w14:paraId="64217759" w14:textId="77777777" w:rsidR="00FC35CD" w:rsidRDefault="00FC35CD" w:rsidP="00FC35CD">
      <w:pPr>
        <w:pStyle w:val="SingleTxt"/>
      </w:pPr>
      <w:r>
        <w:rPr>
          <w:rFonts w:hint="eastAsia"/>
        </w:rPr>
        <w:tab/>
        <w:t>(c)</w:t>
      </w:r>
      <w:r>
        <w:tab/>
      </w:r>
      <w:r>
        <w:rPr>
          <w:rFonts w:hint="eastAsia"/>
        </w:rPr>
        <w:t>2019</w:t>
      </w:r>
      <w:r>
        <w:rPr>
          <w:rFonts w:hint="eastAsia"/>
        </w:rPr>
        <w:t>年通过了新的《社会服务法》。</w:t>
      </w:r>
    </w:p>
    <w:p w14:paraId="72EC8132" w14:textId="77777777" w:rsidR="00FC35CD" w:rsidRDefault="00FC35CD" w:rsidP="00FC35CD">
      <w:pPr>
        <w:pStyle w:val="SingleTxt"/>
      </w:pPr>
      <w:r>
        <w:rPr>
          <w:rFonts w:hint="eastAsia"/>
        </w:rPr>
        <w:t>5.</w:t>
      </w:r>
      <w:r>
        <w:rPr>
          <w:rFonts w:hint="eastAsia"/>
        </w:rPr>
        <w:tab/>
      </w:r>
      <w:r>
        <w:rPr>
          <w:rFonts w:hint="eastAsia"/>
        </w:rPr>
        <w:t>委员会欢迎缔约国努力改进旨在加快消除对妇女的歧视和促进性别平等的体制和政策框架，例如通过了以下各项：</w:t>
      </w:r>
    </w:p>
    <w:p w14:paraId="762562A2" w14:textId="77777777" w:rsidR="00FC35CD" w:rsidRDefault="00FC35CD" w:rsidP="00FC35CD">
      <w:pPr>
        <w:pStyle w:val="SingleTxt"/>
      </w:pPr>
      <w:r>
        <w:rPr>
          <w:rFonts w:hint="eastAsia"/>
        </w:rPr>
        <w:lastRenderedPageBreak/>
        <w:tab/>
        <w:t>(a)</w:t>
      </w:r>
      <w:r>
        <w:tab/>
      </w:r>
      <w:r>
        <w:rPr>
          <w:rFonts w:hint="eastAsia"/>
        </w:rPr>
        <w:t>2016-2020</w:t>
      </w:r>
      <w:r>
        <w:rPr>
          <w:rFonts w:hint="eastAsia"/>
        </w:rPr>
        <w:t>年促进男女平等国家战略；</w:t>
      </w:r>
    </w:p>
    <w:p w14:paraId="1345CA47" w14:textId="77777777" w:rsidR="00FC35CD" w:rsidRDefault="00FC35CD" w:rsidP="00FC35CD">
      <w:pPr>
        <w:pStyle w:val="SingleTxt"/>
      </w:pPr>
      <w:r>
        <w:rPr>
          <w:rFonts w:hint="eastAsia"/>
        </w:rPr>
        <w:tab/>
        <w:t>(b)</w:t>
      </w:r>
      <w:r>
        <w:tab/>
      </w:r>
      <w:r>
        <w:rPr>
          <w:rFonts w:hint="eastAsia"/>
        </w:rPr>
        <w:t>2014-2020</w:t>
      </w:r>
      <w:r>
        <w:rPr>
          <w:rFonts w:hint="eastAsia"/>
        </w:rPr>
        <w:t>年改善妇幼保健国家方案；</w:t>
      </w:r>
    </w:p>
    <w:p w14:paraId="776DCF25" w14:textId="77777777" w:rsidR="00FC35CD" w:rsidRDefault="00FC35CD" w:rsidP="00FC35CD">
      <w:pPr>
        <w:pStyle w:val="SingleTxt"/>
      </w:pPr>
      <w:r>
        <w:rPr>
          <w:rFonts w:hint="eastAsia"/>
        </w:rPr>
        <w:tab/>
        <w:t>(c)</w:t>
      </w:r>
      <w:r>
        <w:tab/>
      </w:r>
      <w:r>
        <w:rPr>
          <w:rFonts w:hint="eastAsia"/>
        </w:rPr>
        <w:t>2014-2020</w:t>
      </w:r>
      <w:r>
        <w:rPr>
          <w:rFonts w:hint="eastAsia"/>
        </w:rPr>
        <w:t>年农村发展方案。</w:t>
      </w:r>
    </w:p>
    <w:p w14:paraId="788EBD45" w14:textId="7556E0D5" w:rsidR="00FC35CD" w:rsidRPr="002142A6" w:rsidRDefault="00FC35CD" w:rsidP="009749D3">
      <w:pPr>
        <w:pStyle w:val="SingleTxt"/>
      </w:pPr>
      <w:r>
        <w:rPr>
          <w:rFonts w:hint="eastAsia"/>
        </w:rPr>
        <w:t>6.</w:t>
      </w:r>
      <w:r>
        <w:rPr>
          <w:rFonts w:hint="eastAsia"/>
        </w:rPr>
        <w:tab/>
      </w:r>
      <w:r>
        <w:rPr>
          <w:rFonts w:hint="eastAsia"/>
        </w:rPr>
        <w:t>委员会</w:t>
      </w:r>
      <w:r w:rsidRPr="002142A6">
        <w:rPr>
          <w:rFonts w:hint="eastAsia"/>
        </w:rPr>
        <w:t>欢迎这样一个事实，</w:t>
      </w:r>
      <w:r>
        <w:rPr>
          <w:rFonts w:hint="eastAsia"/>
        </w:rPr>
        <w:t>即自审议前次报告以来的期间内，</w:t>
      </w:r>
      <w:r w:rsidRPr="002142A6">
        <w:rPr>
          <w:rFonts w:hint="eastAsia"/>
        </w:rPr>
        <w:t>缔约国于</w:t>
      </w:r>
      <w:r w:rsidRPr="002142A6">
        <w:t>2018</w:t>
      </w:r>
      <w:r w:rsidRPr="002142A6">
        <w:rPr>
          <w:rFonts w:hint="eastAsia"/>
        </w:rPr>
        <w:t>年批准了国际劳工组织</w:t>
      </w:r>
      <w:r w:rsidR="001852EA">
        <w:rPr>
          <w:rFonts w:hint="eastAsia"/>
        </w:rPr>
        <w:t>(</w:t>
      </w:r>
      <w:r w:rsidRPr="002142A6">
        <w:rPr>
          <w:rFonts w:hint="eastAsia"/>
        </w:rPr>
        <w:t>劳工组织</w:t>
      </w:r>
      <w:r w:rsidR="001852EA">
        <w:rPr>
          <w:rFonts w:hint="eastAsia"/>
        </w:rPr>
        <w:t>)</w:t>
      </w:r>
      <w:r w:rsidRPr="002142A6">
        <w:rPr>
          <w:rFonts w:hint="eastAsia"/>
        </w:rPr>
        <w:t>《确定最低工资公约》</w:t>
      </w:r>
      <w:r w:rsidR="001852EA">
        <w:rPr>
          <w:rFonts w:hint="eastAsia"/>
        </w:rPr>
        <w:t>(</w:t>
      </w:r>
      <w:r w:rsidRPr="002142A6">
        <w:rPr>
          <w:rFonts w:hint="eastAsia"/>
        </w:rPr>
        <w:t>第</w:t>
      </w:r>
      <w:r w:rsidRPr="002142A6">
        <w:t>131</w:t>
      </w:r>
      <w:r w:rsidRPr="002142A6">
        <w:rPr>
          <w:rFonts w:hint="eastAsia"/>
        </w:rPr>
        <w:t>号</w:t>
      </w:r>
      <w:r w:rsidR="001852EA">
        <w:rPr>
          <w:rFonts w:hint="eastAsia"/>
        </w:rPr>
        <w:t>)</w:t>
      </w:r>
      <w:r w:rsidRPr="002142A6">
        <w:rPr>
          <w:rFonts w:hint="eastAsia"/>
        </w:rPr>
        <w:t>。</w:t>
      </w:r>
    </w:p>
    <w:p w14:paraId="16FFFCE6" w14:textId="20FC3781" w:rsidR="00FC35CD" w:rsidRDefault="009749D3" w:rsidP="009749D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C35CD">
        <w:rPr>
          <w:rFonts w:hint="eastAsia"/>
        </w:rPr>
        <w:t>C.</w:t>
      </w:r>
      <w:r w:rsidR="00FC35CD">
        <w:rPr>
          <w:rFonts w:hint="eastAsia"/>
        </w:rPr>
        <w:tab/>
      </w:r>
      <w:r w:rsidR="00FC35CD">
        <w:rPr>
          <w:rFonts w:hint="eastAsia"/>
        </w:rPr>
        <w:t>可持续发展目标</w:t>
      </w:r>
    </w:p>
    <w:p w14:paraId="7595CEB4" w14:textId="77777777" w:rsidR="00FC35CD" w:rsidRDefault="00FC35CD" w:rsidP="00FC35CD">
      <w:pPr>
        <w:pStyle w:val="SingleTxt"/>
      </w:pPr>
      <w:r>
        <w:rPr>
          <w:rFonts w:hint="eastAsia"/>
        </w:rPr>
        <w:t>7.</w:t>
      </w:r>
      <w:r>
        <w:rPr>
          <w:rFonts w:hint="eastAsia"/>
        </w:rPr>
        <w:tab/>
      </w:r>
      <w:r w:rsidRPr="004D65B9">
        <w:rPr>
          <w:rFonts w:ascii="黑体" w:eastAsia="黑体" w:hAnsi="黑体" w:hint="eastAsia"/>
        </w:rPr>
        <w:t>委员会欢迎国际社会对可持续发展目标的支持，呼吁</w:t>
      </w:r>
      <w:r w:rsidRPr="001852EA">
        <w:rPr>
          <w:rFonts w:eastAsia="黑体"/>
        </w:rPr>
        <w:t>在整个《</w:t>
      </w:r>
      <w:r w:rsidRPr="001852EA">
        <w:rPr>
          <w:rFonts w:eastAsia="黑体"/>
        </w:rPr>
        <w:t>2030</w:t>
      </w:r>
      <w:r w:rsidRPr="001852EA">
        <w:rPr>
          <w:rFonts w:eastAsia="黑体"/>
        </w:rPr>
        <w:t>年可持续发展议程》执行进程中，根据《公约》规定实现依照法律的</w:t>
      </w:r>
      <w:r w:rsidRPr="001852EA">
        <w:rPr>
          <w:rFonts w:eastAsia="黑体"/>
        </w:rPr>
        <w:t>(</w:t>
      </w:r>
      <w:r w:rsidRPr="001852EA">
        <w:rPr>
          <w:rFonts w:eastAsia="黑体"/>
        </w:rPr>
        <w:t>法律上</w:t>
      </w:r>
      <w:r w:rsidRPr="001852EA">
        <w:rPr>
          <w:rFonts w:eastAsia="黑体"/>
        </w:rPr>
        <w:t>)</w:t>
      </w:r>
      <w:r w:rsidRPr="001852EA">
        <w:rPr>
          <w:rFonts w:eastAsia="黑体"/>
        </w:rPr>
        <w:t>和事实上</w:t>
      </w:r>
      <w:r w:rsidRPr="001852EA">
        <w:rPr>
          <w:rFonts w:eastAsia="黑体"/>
        </w:rPr>
        <w:t>(</w:t>
      </w:r>
      <w:r w:rsidRPr="001852EA">
        <w:rPr>
          <w:rFonts w:eastAsia="黑体"/>
        </w:rPr>
        <w:t>实质性</w:t>
      </w:r>
      <w:r w:rsidRPr="001852EA">
        <w:rPr>
          <w:rFonts w:eastAsia="黑体"/>
        </w:rPr>
        <w:t>)</w:t>
      </w:r>
      <w:r w:rsidRPr="001852EA">
        <w:rPr>
          <w:rFonts w:eastAsia="黑体"/>
        </w:rPr>
        <w:t>的性别平等。委员会回顾了可持续发展目标</w:t>
      </w:r>
      <w:r w:rsidRPr="001852EA">
        <w:rPr>
          <w:rFonts w:eastAsia="黑体"/>
        </w:rPr>
        <w:t>5</w:t>
      </w:r>
      <w:r w:rsidRPr="001852EA">
        <w:rPr>
          <w:rFonts w:eastAsia="黑体"/>
        </w:rPr>
        <w:t>以及将平等和</w:t>
      </w:r>
      <w:r w:rsidRPr="004D65B9">
        <w:rPr>
          <w:rFonts w:ascii="黑体" w:eastAsia="黑体" w:hAnsi="黑体" w:hint="eastAsia"/>
        </w:rPr>
        <w:t>不歧视原则纳入所有17项目标主流的重要性。委员会敦促缔约国认识到妇女是保加利亚实现可持续发展的推动力，并为此采取相关政策和战略</w:t>
      </w:r>
      <w:r>
        <w:rPr>
          <w:rFonts w:hint="eastAsia"/>
        </w:rPr>
        <w:t>。</w:t>
      </w:r>
    </w:p>
    <w:p w14:paraId="0F27D6B7" w14:textId="77777777" w:rsidR="00FC35CD" w:rsidRDefault="00FC35CD" w:rsidP="00FC35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D.</w:t>
      </w:r>
      <w:r>
        <w:rPr>
          <w:rFonts w:hint="eastAsia"/>
        </w:rPr>
        <w:tab/>
      </w:r>
      <w:r>
        <w:rPr>
          <w:rFonts w:hint="eastAsia"/>
        </w:rPr>
        <w:t>议会</w:t>
      </w:r>
    </w:p>
    <w:p w14:paraId="0664DFC2" w14:textId="0D44ED51" w:rsidR="00FC35CD" w:rsidRDefault="00FC35CD" w:rsidP="00FC35CD">
      <w:pPr>
        <w:pStyle w:val="SingleTxt"/>
      </w:pPr>
      <w:r>
        <w:rPr>
          <w:rFonts w:hint="eastAsia"/>
        </w:rPr>
        <w:t>8.</w:t>
      </w:r>
      <w:r>
        <w:rPr>
          <w:rFonts w:hint="eastAsia"/>
        </w:rPr>
        <w:tab/>
      </w:r>
      <w:r w:rsidRPr="004D65B9">
        <w:rPr>
          <w:rFonts w:ascii="黑体" w:eastAsia="黑体" w:hAnsi="黑体" w:hint="eastAsia"/>
        </w:rPr>
        <w:t>委员会强调了立法权</w:t>
      </w:r>
      <w:r w:rsidRPr="001852EA">
        <w:rPr>
          <w:rFonts w:eastAsia="黑体"/>
        </w:rPr>
        <w:t>力在确保全面执行《公约》方面发挥的关键作用</w:t>
      </w:r>
      <w:r w:rsidRPr="001852EA">
        <w:rPr>
          <w:rFonts w:eastAsia="黑体"/>
        </w:rPr>
        <w:t>(</w:t>
      </w:r>
      <w:r w:rsidRPr="001852EA">
        <w:rPr>
          <w:rFonts w:eastAsia="黑体"/>
        </w:rPr>
        <w:t>见</w:t>
      </w:r>
      <w:hyperlink r:id="rId22" w:history="1">
        <w:r w:rsidRPr="001852EA">
          <w:rPr>
            <w:rStyle w:val="af4"/>
            <w:rFonts w:eastAsia="黑体"/>
          </w:rPr>
          <w:t>A/65/38</w:t>
        </w:r>
      </w:hyperlink>
      <w:r w:rsidRPr="001852EA">
        <w:rPr>
          <w:rFonts w:eastAsia="黑体"/>
        </w:rPr>
        <w:t>，第二部分，附件六</w:t>
      </w:r>
      <w:r w:rsidRPr="001852EA">
        <w:rPr>
          <w:rFonts w:eastAsia="黑体"/>
        </w:rPr>
        <w:t>)</w:t>
      </w:r>
      <w:r w:rsidRPr="001852EA">
        <w:rPr>
          <w:rFonts w:eastAsia="黑体"/>
        </w:rPr>
        <w:t>。委员会请国</w:t>
      </w:r>
      <w:r w:rsidRPr="004D65B9">
        <w:rPr>
          <w:rFonts w:ascii="黑体" w:eastAsia="黑体" w:hAnsi="黑体" w:hint="eastAsia"/>
        </w:rPr>
        <w:t>民议会根据其任务授权，在从现在起到根据《公约》提交下一次定期报告期间，采取必要措施，落实本结论性意见</w:t>
      </w:r>
      <w:r>
        <w:rPr>
          <w:rFonts w:hint="eastAsia"/>
        </w:rPr>
        <w:t>。</w:t>
      </w:r>
    </w:p>
    <w:p w14:paraId="66E8CE92" w14:textId="77777777" w:rsidR="00FC35CD" w:rsidRDefault="00FC35CD" w:rsidP="00FC35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E.</w:t>
      </w:r>
      <w:r>
        <w:rPr>
          <w:rFonts w:hint="eastAsia"/>
        </w:rPr>
        <w:tab/>
      </w:r>
      <w:r>
        <w:rPr>
          <w:rFonts w:hint="eastAsia"/>
        </w:rPr>
        <w:t>所关注的主要领域及建议</w:t>
      </w:r>
    </w:p>
    <w:p w14:paraId="0C49A09E" w14:textId="77777777" w:rsidR="00FC35CD" w:rsidRPr="00FB2422" w:rsidRDefault="00FC35CD" w:rsidP="00FC35CD">
      <w:pPr>
        <w:pStyle w:val="SingleTxt"/>
        <w:rPr>
          <w:rFonts w:ascii="黑体" w:eastAsia="黑体" w:hAnsi="黑体"/>
        </w:rPr>
      </w:pPr>
      <w:r w:rsidRPr="00FB2422">
        <w:rPr>
          <w:rFonts w:ascii="黑体" w:eastAsia="黑体" w:hAnsi="黑体" w:hint="eastAsia"/>
        </w:rPr>
        <w:t>歧视妇女的定义</w:t>
      </w:r>
    </w:p>
    <w:p w14:paraId="7FA37E40" w14:textId="77777777" w:rsidR="00FC35CD" w:rsidRDefault="00FC35CD" w:rsidP="00FC35CD">
      <w:pPr>
        <w:pStyle w:val="SingleTxt"/>
      </w:pPr>
      <w:r>
        <w:rPr>
          <w:rFonts w:hint="eastAsia"/>
        </w:rPr>
        <w:t>9.</w:t>
      </w:r>
      <w:r>
        <w:rPr>
          <w:rFonts w:hint="eastAsia"/>
        </w:rPr>
        <w:tab/>
      </w:r>
      <w:r>
        <w:rPr>
          <w:rFonts w:hint="eastAsia"/>
        </w:rPr>
        <w:t>委员会注意到，有关直接和间接歧视妇女问题的原则载于缔约国的法律中。然而，委员会仍然感到关切的是，这一定义不包括《公约》第</w:t>
      </w:r>
      <w:r>
        <w:rPr>
          <w:rFonts w:hint="eastAsia"/>
        </w:rPr>
        <w:t>1</w:t>
      </w:r>
      <w:r>
        <w:rPr>
          <w:rFonts w:hint="eastAsia"/>
        </w:rPr>
        <w:t>条所要求的基于性别的歧视和交叉形式的歧视。</w:t>
      </w:r>
    </w:p>
    <w:p w14:paraId="3E2F4793" w14:textId="28510329" w:rsidR="00FC35CD" w:rsidRDefault="00FC35CD" w:rsidP="00FC35CD">
      <w:pPr>
        <w:pStyle w:val="SingleTxt"/>
      </w:pPr>
      <w:r>
        <w:rPr>
          <w:rFonts w:hint="eastAsia"/>
        </w:rPr>
        <w:t>10.</w:t>
      </w:r>
      <w:r>
        <w:rPr>
          <w:rFonts w:hint="eastAsia"/>
        </w:rPr>
        <w:tab/>
      </w:r>
      <w:r w:rsidRPr="00026F00">
        <w:rPr>
          <w:rFonts w:ascii="黑体" w:eastAsia="黑体" w:hAnsi="黑体" w:hint="eastAsia"/>
        </w:rPr>
        <w:t>回顾其先前的结论性意见</w:t>
      </w:r>
      <w:r w:rsidRPr="001852EA">
        <w:rPr>
          <w:rFonts w:eastAsia="黑体"/>
        </w:rPr>
        <w:t>(</w:t>
      </w:r>
      <w:hyperlink r:id="rId23" w:history="1">
        <w:r w:rsidRPr="001852EA">
          <w:rPr>
            <w:rStyle w:val="af4"/>
            <w:rFonts w:eastAsia="黑体"/>
          </w:rPr>
          <w:t>CEDAW/C/BGR/CO/4-7</w:t>
        </w:r>
      </w:hyperlink>
      <w:r w:rsidRPr="001852EA">
        <w:rPr>
          <w:rFonts w:eastAsia="黑体"/>
        </w:rPr>
        <w:t>，第</w:t>
      </w:r>
      <w:r w:rsidRPr="001852EA">
        <w:rPr>
          <w:rFonts w:eastAsia="黑体"/>
        </w:rPr>
        <w:t>12</w:t>
      </w:r>
      <w:r w:rsidRPr="001852EA">
        <w:rPr>
          <w:rFonts w:eastAsia="黑体"/>
        </w:rPr>
        <w:t>段</w:t>
      </w:r>
      <w:r w:rsidRPr="001852EA">
        <w:rPr>
          <w:rFonts w:eastAsia="黑体"/>
        </w:rPr>
        <w:t>)</w:t>
      </w:r>
      <w:r w:rsidRPr="001852EA">
        <w:rPr>
          <w:rFonts w:eastAsia="黑体"/>
        </w:rPr>
        <w:t>以</w:t>
      </w:r>
      <w:r w:rsidRPr="00026F00">
        <w:rPr>
          <w:rFonts w:ascii="黑体" w:eastAsia="黑体" w:hAnsi="黑体" w:hint="eastAsia"/>
        </w:rPr>
        <w:t>及《公约》第1条和第2条与可持续发展目标具体目标5.1之间的联系，为消除对世界各地所有妇女和女</w:t>
      </w:r>
      <w:r>
        <w:rPr>
          <w:rFonts w:ascii="黑体" w:eastAsia="黑体" w:hAnsi="黑体" w:hint="eastAsia"/>
        </w:rPr>
        <w:t>童</w:t>
      </w:r>
      <w:r w:rsidRPr="00026F00">
        <w:rPr>
          <w:rFonts w:ascii="黑体" w:eastAsia="黑体" w:hAnsi="黑体" w:hint="eastAsia"/>
        </w:rPr>
        <w:t>的一切形式的歧视，委员会建议缔约国采用包括直接和间接歧视及公共和私人领域交叉形式歧视等与《公约》第1条相符的歧视妇女的定义</w:t>
      </w:r>
      <w:r>
        <w:rPr>
          <w:rFonts w:hint="eastAsia"/>
        </w:rPr>
        <w:t>。</w:t>
      </w:r>
    </w:p>
    <w:p w14:paraId="36D9A2A7" w14:textId="77777777" w:rsidR="00FC35CD" w:rsidRPr="00B7178E" w:rsidRDefault="00FC35CD" w:rsidP="00FC35CD">
      <w:pPr>
        <w:pStyle w:val="SingleTxt"/>
        <w:rPr>
          <w:rFonts w:ascii="黑体" w:eastAsia="黑体" w:hAnsi="黑体"/>
        </w:rPr>
      </w:pPr>
      <w:r w:rsidRPr="00B7178E">
        <w:rPr>
          <w:rFonts w:ascii="黑体" w:eastAsia="黑体" w:hAnsi="黑体" w:hint="eastAsia"/>
        </w:rPr>
        <w:t>诉诸司法</w:t>
      </w:r>
    </w:p>
    <w:p w14:paraId="5641A8BF" w14:textId="77777777" w:rsidR="00FC35CD" w:rsidRDefault="00FC35CD" w:rsidP="00FC35CD">
      <w:pPr>
        <w:pStyle w:val="SingleTxt"/>
      </w:pPr>
      <w:r>
        <w:rPr>
          <w:rFonts w:hint="eastAsia"/>
        </w:rPr>
        <w:t>11.</w:t>
      </w:r>
      <w:r>
        <w:rPr>
          <w:rFonts w:hint="eastAsia"/>
        </w:rPr>
        <w:tab/>
      </w:r>
      <w:r>
        <w:rPr>
          <w:rFonts w:hint="eastAsia"/>
        </w:rPr>
        <w:t>委员会感到关切的是，由于这样一些原因，缔约国的妇女尤其是面临交叉形式歧视的妇女诉诸司法的机会有限：</w:t>
      </w:r>
      <w:r>
        <w:rPr>
          <w:rFonts w:hint="eastAsia"/>
        </w:rPr>
        <w:t xml:space="preserve"> </w:t>
      </w:r>
      <w:r>
        <w:rPr>
          <w:rFonts w:hint="eastAsia"/>
        </w:rPr>
        <w:t>即普遍存在的腐败、社会羞辱、司法系统难以进入、包括警察在内的执法人员存在性别偏见、在涉及基于性别的暴力侵害妇女的案件中优先考虑调解与和解程序、妇女对其权利的认识有限以及法官和执法官员对《公约》、《任择议定书》和委员会一般性建议的了解有限。</w:t>
      </w:r>
    </w:p>
    <w:p w14:paraId="2FF39D8D" w14:textId="77777777" w:rsidR="00FC35CD" w:rsidRDefault="00FC35CD" w:rsidP="00FC35CD">
      <w:pPr>
        <w:pStyle w:val="SingleTxt"/>
      </w:pPr>
      <w:r>
        <w:rPr>
          <w:rFonts w:hint="eastAsia"/>
        </w:rPr>
        <w:t>12.</w:t>
      </w:r>
      <w:r>
        <w:rPr>
          <w:rFonts w:hint="eastAsia"/>
        </w:rPr>
        <w:tab/>
      </w:r>
      <w:r w:rsidRPr="0025660E">
        <w:rPr>
          <w:rFonts w:ascii="黑体" w:eastAsia="黑体" w:hAnsi="黑体" w:hint="eastAsia"/>
        </w:rPr>
        <w:t>回顾其关于妇女诉诸司</w:t>
      </w:r>
      <w:r w:rsidRPr="001852EA">
        <w:rPr>
          <w:rFonts w:eastAsia="黑体"/>
        </w:rPr>
        <w:t>法的第</w:t>
      </w:r>
      <w:r w:rsidRPr="001852EA">
        <w:rPr>
          <w:rFonts w:eastAsia="黑体"/>
        </w:rPr>
        <w:t>33(2015)</w:t>
      </w:r>
      <w:r w:rsidRPr="001852EA">
        <w:rPr>
          <w:rFonts w:eastAsia="黑体"/>
        </w:rPr>
        <w:t>号一般性建</w:t>
      </w:r>
      <w:r w:rsidRPr="0025660E">
        <w:rPr>
          <w:rFonts w:ascii="黑体" w:eastAsia="黑体" w:hAnsi="黑体" w:hint="eastAsia"/>
        </w:rPr>
        <w:t>议，委员会建议缔约国</w:t>
      </w:r>
      <w:r>
        <w:rPr>
          <w:rFonts w:hint="eastAsia"/>
        </w:rPr>
        <w:t>：</w:t>
      </w:r>
    </w:p>
    <w:p w14:paraId="2FEFEEDC" w14:textId="77777777" w:rsidR="00FC35CD" w:rsidRPr="001852EA" w:rsidRDefault="00FC35CD" w:rsidP="00FC35CD">
      <w:pPr>
        <w:pStyle w:val="SingleTxt"/>
        <w:rPr>
          <w:rFonts w:eastAsia="黑体"/>
        </w:rPr>
      </w:pPr>
      <w:r w:rsidRPr="001852EA">
        <w:rPr>
          <w:rFonts w:eastAsia="黑体"/>
        </w:rPr>
        <w:tab/>
        <w:t>(a)</w:t>
      </w:r>
      <w:r w:rsidRPr="001852EA">
        <w:rPr>
          <w:rFonts w:eastAsia="黑体"/>
        </w:rPr>
        <w:tab/>
      </w:r>
      <w:r w:rsidRPr="001852EA">
        <w:rPr>
          <w:rFonts w:eastAsia="黑体"/>
        </w:rPr>
        <w:t>开展一项研究，找出阻碍妇女和女童诉诸司法的障碍，特别是面临交叉形式歧视的妇女和女童所遇到的障碍，并采取有效措施以消除这些障碍，包括为此提高妇女对自身权利的认识并改善司法系统的可及性；</w:t>
      </w:r>
    </w:p>
    <w:p w14:paraId="22AB3016" w14:textId="77777777" w:rsidR="00FC35CD" w:rsidRPr="001852EA" w:rsidRDefault="00FC35CD" w:rsidP="00FC35CD">
      <w:pPr>
        <w:pStyle w:val="SingleTxt"/>
        <w:rPr>
          <w:rFonts w:eastAsia="黑体"/>
        </w:rPr>
      </w:pPr>
      <w:r w:rsidRPr="001852EA">
        <w:rPr>
          <w:rFonts w:eastAsia="黑体"/>
        </w:rPr>
        <w:lastRenderedPageBreak/>
        <w:tab/>
        <w:t>(b)</w:t>
      </w:r>
      <w:r w:rsidRPr="001852EA">
        <w:rPr>
          <w:rFonts w:eastAsia="黑体"/>
        </w:rPr>
        <w:tab/>
      </w:r>
      <w:r w:rsidRPr="001852EA">
        <w:rPr>
          <w:rFonts w:eastAsia="黑体"/>
        </w:rPr>
        <w:t>创造鼓励妇女行使自身权利、举报其所遭受的犯罪行为并积极参与刑事司法程序的有利环境，并预防妇女在其同执法和司法机关的互动中遭受二次伤害；</w:t>
      </w:r>
    </w:p>
    <w:p w14:paraId="1C607E62" w14:textId="77777777" w:rsidR="00FC35CD" w:rsidRPr="001852EA" w:rsidRDefault="00FC35CD" w:rsidP="00FC35CD">
      <w:pPr>
        <w:pStyle w:val="SingleTxt"/>
        <w:rPr>
          <w:rFonts w:eastAsia="黑体"/>
        </w:rPr>
      </w:pPr>
      <w:r w:rsidRPr="001852EA">
        <w:rPr>
          <w:rFonts w:eastAsia="黑体"/>
        </w:rPr>
        <w:tab/>
        <w:t>(c)</w:t>
      </w:r>
      <w:r w:rsidRPr="001852EA">
        <w:rPr>
          <w:rFonts w:eastAsia="黑体"/>
        </w:rPr>
        <w:tab/>
      </w:r>
      <w:r w:rsidRPr="001852EA">
        <w:rPr>
          <w:rFonts w:eastAsia="黑体"/>
        </w:rPr>
        <w:t>打击腐败并开展法官、检察官、律师和警察的能力建设，包括为此将关于《公约》、《任择议定书》及委员会判例和一般性建议的培训当作其专业培训的强制性组成部分；</w:t>
      </w:r>
    </w:p>
    <w:p w14:paraId="3CDD2688" w14:textId="77777777" w:rsidR="00FC35CD" w:rsidRPr="0025660E" w:rsidRDefault="00FC35CD" w:rsidP="00FC35CD">
      <w:pPr>
        <w:pStyle w:val="SingleTxt"/>
        <w:rPr>
          <w:rFonts w:ascii="黑体" w:eastAsia="黑体" w:hAnsi="黑体"/>
        </w:rPr>
      </w:pPr>
      <w:r w:rsidRPr="001852EA">
        <w:rPr>
          <w:rFonts w:eastAsia="黑体"/>
        </w:rPr>
        <w:tab/>
        <w:t>(d)</w:t>
      </w:r>
      <w:r w:rsidRPr="001852EA">
        <w:rPr>
          <w:rFonts w:eastAsia="黑体"/>
        </w:rPr>
        <w:tab/>
      </w:r>
      <w:r w:rsidRPr="001852EA">
        <w:rPr>
          <w:rFonts w:eastAsia="黑体"/>
        </w:rPr>
        <w:t>创建一个数</w:t>
      </w:r>
      <w:r w:rsidRPr="0025660E">
        <w:rPr>
          <w:rFonts w:ascii="黑体" w:eastAsia="黑体" w:hAnsi="黑体" w:hint="eastAsia"/>
        </w:rPr>
        <w:t>据库，并提供关于在</w:t>
      </w:r>
      <w:r>
        <w:rPr>
          <w:rFonts w:ascii="黑体" w:eastAsia="黑体" w:hAnsi="黑体" w:hint="eastAsia"/>
        </w:rPr>
        <w:t>本</w:t>
      </w:r>
      <w:r w:rsidRPr="0025660E">
        <w:rPr>
          <w:rFonts w:ascii="黑体" w:eastAsia="黑体" w:hAnsi="黑体" w:hint="eastAsia"/>
        </w:rPr>
        <w:t>国法院援引《公约》及其《任择议定书》的案件的统计数据和信息。</w:t>
      </w:r>
    </w:p>
    <w:p w14:paraId="0B1BFA57" w14:textId="77777777" w:rsidR="00FC35CD" w:rsidRPr="0025660E" w:rsidRDefault="00FC35CD" w:rsidP="00FC35CD">
      <w:pPr>
        <w:pStyle w:val="SingleTxt"/>
        <w:rPr>
          <w:rFonts w:ascii="黑体" w:eastAsia="黑体" w:hAnsi="黑体"/>
        </w:rPr>
      </w:pPr>
      <w:r w:rsidRPr="0025660E">
        <w:rPr>
          <w:rFonts w:ascii="黑体" w:eastAsia="黑体" w:hAnsi="黑体" w:hint="eastAsia"/>
        </w:rPr>
        <w:t>提高妇女地位国家机构</w:t>
      </w:r>
    </w:p>
    <w:p w14:paraId="4B5F814B" w14:textId="77777777" w:rsidR="00FC35CD" w:rsidRDefault="00FC35CD" w:rsidP="00FC35CD">
      <w:pPr>
        <w:pStyle w:val="SingleTxt"/>
      </w:pPr>
      <w:r>
        <w:rPr>
          <w:rFonts w:hint="eastAsia"/>
        </w:rPr>
        <w:t>13.</w:t>
      </w:r>
      <w:r>
        <w:rPr>
          <w:rFonts w:hint="eastAsia"/>
        </w:rPr>
        <w:tab/>
      </w:r>
      <w:r>
        <w:rPr>
          <w:rFonts w:hint="eastAsia"/>
        </w:rPr>
        <w:t>委员会注意到在部长会议内设立了全国性别平等理事会。委员会还称赞缔约国在</w:t>
      </w:r>
      <w:r>
        <w:rPr>
          <w:rFonts w:hint="eastAsia"/>
        </w:rPr>
        <w:t>2013</w:t>
      </w:r>
      <w:r>
        <w:rPr>
          <w:rFonts w:hint="eastAsia"/>
        </w:rPr>
        <w:t>年设立了国家人权协调机制。但委员会感到关切的是：</w:t>
      </w:r>
    </w:p>
    <w:p w14:paraId="29F00219" w14:textId="77777777" w:rsidR="00FC35CD" w:rsidRDefault="00FC35CD" w:rsidP="00FC35CD">
      <w:pPr>
        <w:pStyle w:val="SingleTxt"/>
      </w:pPr>
      <w:r>
        <w:rPr>
          <w:rFonts w:hint="eastAsia"/>
        </w:rPr>
        <w:tab/>
        <w:t>(a)</w:t>
      </w:r>
      <w:r>
        <w:tab/>
      </w:r>
      <w:r>
        <w:rPr>
          <w:rFonts w:hint="eastAsia"/>
        </w:rPr>
        <w:t>全国理事会缺乏足够的人力、技术和财政资源来确保其有效运作和可持续性；</w:t>
      </w:r>
    </w:p>
    <w:p w14:paraId="778D497A" w14:textId="77777777" w:rsidR="00FC35CD" w:rsidRDefault="00FC35CD" w:rsidP="00FC35CD">
      <w:pPr>
        <w:pStyle w:val="SingleTxt"/>
      </w:pPr>
      <w:r>
        <w:rPr>
          <w:rFonts w:hint="eastAsia"/>
        </w:rPr>
        <w:tab/>
        <w:t>(b)</w:t>
      </w:r>
      <w:r>
        <w:tab/>
      </w:r>
      <w:r>
        <w:rPr>
          <w:rFonts w:hint="eastAsia"/>
        </w:rPr>
        <w:t>并不是所有的城市都有性别平等地方机制；</w:t>
      </w:r>
    </w:p>
    <w:p w14:paraId="0248C9B5" w14:textId="77777777" w:rsidR="00FC35CD" w:rsidRDefault="00FC35CD" w:rsidP="00FC35CD">
      <w:pPr>
        <w:pStyle w:val="SingleTxt"/>
      </w:pPr>
      <w:r>
        <w:rPr>
          <w:rFonts w:hint="eastAsia"/>
        </w:rPr>
        <w:tab/>
        <w:t>(c)</w:t>
      </w:r>
      <w:r>
        <w:tab/>
      </w:r>
      <w:r>
        <w:rPr>
          <w:rFonts w:hint="eastAsia"/>
        </w:rPr>
        <w:t>国家和市政预算未纳入关于促进性别平等预算编制的原则。</w:t>
      </w:r>
    </w:p>
    <w:p w14:paraId="3D6EC5F3" w14:textId="77777777" w:rsidR="00FC35CD" w:rsidRDefault="00FC35CD" w:rsidP="00FC35CD">
      <w:pPr>
        <w:pStyle w:val="SingleTxt"/>
      </w:pPr>
      <w:r>
        <w:rPr>
          <w:rFonts w:hint="eastAsia"/>
        </w:rPr>
        <w:t>14.</w:t>
      </w:r>
      <w:r>
        <w:rPr>
          <w:rFonts w:hint="eastAsia"/>
        </w:rPr>
        <w:tab/>
      </w:r>
      <w:r w:rsidRPr="0022797E">
        <w:rPr>
          <w:rFonts w:ascii="黑体" w:eastAsia="黑体" w:hAnsi="黑体" w:hint="eastAsia"/>
        </w:rPr>
        <w:t>委员会建议缔约国</w:t>
      </w:r>
      <w:r>
        <w:rPr>
          <w:rFonts w:hint="eastAsia"/>
        </w:rPr>
        <w:t>：</w:t>
      </w:r>
    </w:p>
    <w:p w14:paraId="5DACC0A9" w14:textId="77777777" w:rsidR="00FC35CD" w:rsidRPr="001852EA" w:rsidRDefault="00FC35CD" w:rsidP="00FC35CD">
      <w:pPr>
        <w:pStyle w:val="SingleTxt"/>
        <w:rPr>
          <w:rFonts w:eastAsia="黑体"/>
        </w:rPr>
      </w:pPr>
      <w:r w:rsidRPr="001852EA">
        <w:rPr>
          <w:rFonts w:eastAsia="黑体"/>
        </w:rPr>
        <w:tab/>
        <w:t>(a)</w:t>
      </w:r>
      <w:r w:rsidRPr="001852EA">
        <w:rPr>
          <w:rFonts w:eastAsia="黑体"/>
        </w:rPr>
        <w:tab/>
      </w:r>
      <w:r w:rsidRPr="001852EA">
        <w:rPr>
          <w:rFonts w:eastAsia="黑体"/>
        </w:rPr>
        <w:t>加强其提高妇女地位国家机制，为此，明确界定其任务和责任，并向其提供充足的人力、技术和财政资源，使之能够协调并有效开展推动两性平等和将性别问题纳入主流的工作；</w:t>
      </w:r>
    </w:p>
    <w:p w14:paraId="47680BE1" w14:textId="77777777" w:rsidR="00FC35CD" w:rsidRPr="001852EA" w:rsidRDefault="00FC35CD" w:rsidP="00FC35CD">
      <w:pPr>
        <w:pStyle w:val="SingleTxt"/>
        <w:rPr>
          <w:rFonts w:eastAsia="黑体"/>
        </w:rPr>
      </w:pPr>
      <w:r w:rsidRPr="001852EA">
        <w:rPr>
          <w:rFonts w:eastAsia="黑体"/>
        </w:rPr>
        <w:tab/>
        <w:t>(b)</w:t>
      </w:r>
      <w:r w:rsidRPr="001852EA">
        <w:rPr>
          <w:rFonts w:eastAsia="黑体"/>
        </w:rPr>
        <w:tab/>
      </w:r>
      <w:r w:rsidRPr="001852EA">
        <w:rPr>
          <w:rFonts w:eastAsia="黑体"/>
        </w:rPr>
        <w:t>在地方一级建立性别平等机制，为其配备充足的人力、技术和财力，并确保这些机制与国家机制其他部分相协调；</w:t>
      </w:r>
    </w:p>
    <w:p w14:paraId="7D9C9392" w14:textId="77777777" w:rsidR="00FC35CD" w:rsidRPr="001852EA" w:rsidRDefault="00FC35CD" w:rsidP="00FC35CD">
      <w:pPr>
        <w:pStyle w:val="SingleTxt"/>
        <w:rPr>
          <w:rFonts w:eastAsia="黑体"/>
        </w:rPr>
      </w:pPr>
      <w:r w:rsidRPr="001852EA">
        <w:rPr>
          <w:rFonts w:eastAsia="黑体"/>
        </w:rPr>
        <w:tab/>
        <w:t>(c)</w:t>
      </w:r>
      <w:r w:rsidRPr="001852EA">
        <w:rPr>
          <w:rFonts w:eastAsia="黑体"/>
        </w:rPr>
        <w:tab/>
      </w:r>
      <w:r w:rsidRPr="001852EA">
        <w:rPr>
          <w:rFonts w:eastAsia="黑体"/>
        </w:rPr>
        <w:t>确</w:t>
      </w:r>
      <w:r w:rsidRPr="001852EA">
        <w:rPr>
          <w:rFonts w:eastAsia="黑体"/>
          <w:spacing w:val="-4"/>
        </w:rPr>
        <w:t>保从国家预算中为国家机制中国家和地方的实体划拨充足的资金；</w:t>
      </w:r>
    </w:p>
    <w:p w14:paraId="7AD64A43" w14:textId="77777777" w:rsidR="00FC35CD" w:rsidRPr="00184BBA" w:rsidRDefault="00FC35CD" w:rsidP="00FC35CD">
      <w:pPr>
        <w:pStyle w:val="SingleTxt"/>
        <w:rPr>
          <w:rFonts w:ascii="黑体" w:eastAsia="黑体" w:hAnsi="黑体"/>
        </w:rPr>
      </w:pPr>
      <w:r w:rsidRPr="001852EA">
        <w:rPr>
          <w:rFonts w:eastAsia="黑体"/>
        </w:rPr>
        <w:tab/>
        <w:t>(d)</w:t>
      </w:r>
      <w:r w:rsidRPr="001852EA">
        <w:rPr>
          <w:rFonts w:eastAsia="黑体"/>
        </w:rPr>
        <w:tab/>
      </w:r>
      <w:r w:rsidRPr="001852EA">
        <w:rPr>
          <w:rFonts w:eastAsia="黑体"/>
        </w:rPr>
        <w:t>加强影</w:t>
      </w:r>
      <w:r w:rsidRPr="00184BBA">
        <w:rPr>
          <w:rFonts w:ascii="黑体" w:eastAsia="黑体" w:hAnsi="黑体" w:hint="eastAsia"/>
        </w:rPr>
        <w:t>响评估机制，以确保适当监测和评价两性平等政策，并定期评估其执行情况。</w:t>
      </w:r>
    </w:p>
    <w:p w14:paraId="09EBE0DB" w14:textId="77777777" w:rsidR="00FC35CD" w:rsidRPr="00184BBA" w:rsidRDefault="00FC35CD" w:rsidP="00FC35CD">
      <w:pPr>
        <w:pStyle w:val="SingleTxt"/>
        <w:rPr>
          <w:rFonts w:ascii="黑体" w:eastAsia="黑体" w:hAnsi="黑体"/>
        </w:rPr>
      </w:pPr>
      <w:r w:rsidRPr="00184BBA">
        <w:rPr>
          <w:rFonts w:ascii="黑体" w:eastAsia="黑体" w:hAnsi="黑体" w:hint="eastAsia"/>
        </w:rPr>
        <w:t>民间社会组织</w:t>
      </w:r>
    </w:p>
    <w:p w14:paraId="391DF66B" w14:textId="77777777" w:rsidR="00FC35CD" w:rsidRPr="00F43562" w:rsidRDefault="00FC35CD" w:rsidP="00FC35CD">
      <w:pPr>
        <w:pStyle w:val="SingleTxt"/>
        <w:rPr>
          <w:spacing w:val="2"/>
        </w:rPr>
      </w:pPr>
      <w:r>
        <w:rPr>
          <w:rFonts w:hint="eastAsia"/>
        </w:rPr>
        <w:t>15.</w:t>
      </w:r>
      <w:r>
        <w:rPr>
          <w:rFonts w:hint="eastAsia"/>
        </w:rPr>
        <w:tab/>
      </w:r>
      <w:r w:rsidRPr="00C768D6">
        <w:rPr>
          <w:rFonts w:hint="eastAsia"/>
          <w:spacing w:val="2"/>
        </w:rPr>
        <w:t>委员会注意到民间社会在执行缔约国政策和方案方面发挥的强大作</w:t>
      </w:r>
      <w:r w:rsidRPr="00F43562">
        <w:rPr>
          <w:rFonts w:hint="eastAsia"/>
          <w:spacing w:val="2"/>
        </w:rPr>
        <w:t>用。然而，它所关注的是，一些非政府组织的活动受到限制，为争取</w:t>
      </w:r>
      <w:r w:rsidRPr="00F43562">
        <w:rPr>
          <w:spacing w:val="2"/>
        </w:rPr>
        <w:t>妇女权利和性别平等</w:t>
      </w:r>
      <w:r w:rsidRPr="00F43562">
        <w:rPr>
          <w:rFonts w:hint="eastAsia"/>
          <w:spacing w:val="2"/>
        </w:rPr>
        <w:t>而工</w:t>
      </w:r>
      <w:r w:rsidRPr="00F43562">
        <w:rPr>
          <w:spacing w:val="2"/>
        </w:rPr>
        <w:t>作的</w:t>
      </w:r>
      <w:r w:rsidRPr="00F43562">
        <w:rPr>
          <w:rFonts w:hint="eastAsia"/>
          <w:spacing w:val="2"/>
        </w:rPr>
        <w:t>若干</w:t>
      </w:r>
      <w:r w:rsidRPr="00F43562">
        <w:rPr>
          <w:spacing w:val="2"/>
        </w:rPr>
        <w:t>组织被暂停</w:t>
      </w:r>
      <w:r w:rsidRPr="00F43562">
        <w:rPr>
          <w:rFonts w:hint="eastAsia"/>
          <w:spacing w:val="2"/>
        </w:rPr>
        <w:t>活动</w:t>
      </w:r>
      <w:r w:rsidRPr="00F43562">
        <w:rPr>
          <w:spacing w:val="2"/>
        </w:rPr>
        <w:t>或被</w:t>
      </w:r>
      <w:r w:rsidRPr="00F43562">
        <w:rPr>
          <w:rFonts w:hint="eastAsia"/>
          <w:spacing w:val="2"/>
        </w:rPr>
        <w:t>解散</w:t>
      </w:r>
      <w:r w:rsidRPr="00F43562">
        <w:rPr>
          <w:spacing w:val="2"/>
        </w:rPr>
        <w:t>。</w:t>
      </w:r>
    </w:p>
    <w:p w14:paraId="4D833DF0" w14:textId="77777777" w:rsidR="00FC35CD" w:rsidRPr="00C92DBF" w:rsidRDefault="00FC35CD" w:rsidP="00FC35CD">
      <w:pPr>
        <w:pStyle w:val="SingleTxt"/>
        <w:spacing w:after="120"/>
        <w:rPr>
          <w:rFonts w:ascii="黑体" w:eastAsia="黑体" w:hAnsi="黑体"/>
        </w:rPr>
      </w:pPr>
      <w:r>
        <w:rPr>
          <w:rFonts w:hint="eastAsia"/>
        </w:rPr>
        <w:t>16.</w:t>
      </w:r>
      <w:r>
        <w:rPr>
          <w:rFonts w:hint="eastAsia"/>
        </w:rPr>
        <w:tab/>
      </w:r>
      <w:r w:rsidRPr="00C92DBF">
        <w:rPr>
          <w:rFonts w:ascii="黑体" w:eastAsia="黑体" w:hAnsi="黑体" w:hint="eastAsia"/>
        </w:rPr>
        <w:t>委员会建议缔约国加强与从事妇女权利和性别平等工作的民间社会组织的合作，并支持其执行《公约》的举措。委员会</w:t>
      </w:r>
      <w:r>
        <w:rPr>
          <w:rFonts w:ascii="黑体" w:eastAsia="黑体" w:hAnsi="黑体" w:hint="eastAsia"/>
        </w:rPr>
        <w:t>还</w:t>
      </w:r>
      <w:r w:rsidRPr="00C92DBF">
        <w:rPr>
          <w:rFonts w:ascii="黑体" w:eastAsia="黑体" w:hAnsi="黑体" w:hint="eastAsia"/>
        </w:rPr>
        <w:t>吁请缔约国：</w:t>
      </w:r>
    </w:p>
    <w:p w14:paraId="3EEBFC93" w14:textId="77777777" w:rsidR="00FC35CD" w:rsidRPr="001852EA" w:rsidRDefault="00FC35CD" w:rsidP="00FC35CD">
      <w:pPr>
        <w:pStyle w:val="SingleTxt"/>
        <w:spacing w:after="120"/>
        <w:rPr>
          <w:rFonts w:eastAsia="黑体"/>
        </w:rPr>
      </w:pPr>
      <w:r w:rsidRPr="00C92DBF">
        <w:rPr>
          <w:rFonts w:ascii="黑体" w:eastAsia="黑体" w:hAnsi="黑体" w:hint="eastAsia"/>
        </w:rPr>
        <w:tab/>
      </w:r>
      <w:r w:rsidRPr="001852EA">
        <w:rPr>
          <w:rFonts w:eastAsia="黑体"/>
        </w:rPr>
        <w:t>(a)</w:t>
      </w:r>
      <w:r w:rsidRPr="001852EA">
        <w:rPr>
          <w:rFonts w:eastAsia="黑体"/>
        </w:rPr>
        <w:tab/>
      </w:r>
      <w:r w:rsidRPr="001852EA">
        <w:rPr>
          <w:rFonts w:eastAsia="黑体"/>
        </w:rPr>
        <w:t>确保有一个法律上和事实上的安全环境，使为争取妇女权利和性别平等而工作的组织能够系统参与相关法律和政策的制定与实施；</w:t>
      </w:r>
    </w:p>
    <w:p w14:paraId="7E456BD0" w14:textId="77777777" w:rsidR="00FC35CD" w:rsidRPr="00C92DBF" w:rsidRDefault="00FC35CD" w:rsidP="00FC35CD">
      <w:pPr>
        <w:pStyle w:val="SingleTxt"/>
        <w:spacing w:after="120"/>
        <w:rPr>
          <w:rFonts w:ascii="黑体" w:eastAsia="黑体" w:hAnsi="黑体"/>
        </w:rPr>
      </w:pPr>
      <w:r w:rsidRPr="001852EA">
        <w:rPr>
          <w:rFonts w:eastAsia="黑体"/>
        </w:rPr>
        <w:tab/>
        <w:t>(b)</w:t>
      </w:r>
      <w:r w:rsidRPr="001852EA">
        <w:rPr>
          <w:rFonts w:eastAsia="黑体"/>
        </w:rPr>
        <w:tab/>
      </w:r>
      <w:r w:rsidRPr="001852EA">
        <w:rPr>
          <w:rFonts w:eastAsia="黑体"/>
        </w:rPr>
        <w:t>向面临歧视、基于性别</w:t>
      </w:r>
      <w:r w:rsidRPr="00C92DBF">
        <w:rPr>
          <w:rFonts w:ascii="黑体" w:eastAsia="黑体" w:hAnsi="黑体" w:hint="eastAsia"/>
        </w:rPr>
        <w:t>的暴力</w:t>
      </w:r>
      <w:r>
        <w:rPr>
          <w:rFonts w:ascii="黑体" w:eastAsia="黑体" w:hAnsi="黑体" w:hint="eastAsia"/>
        </w:rPr>
        <w:t>及其</w:t>
      </w:r>
      <w:r w:rsidRPr="00C92DBF">
        <w:rPr>
          <w:rFonts w:ascii="黑体" w:eastAsia="黑体" w:hAnsi="黑体" w:hint="eastAsia"/>
        </w:rPr>
        <w:t>权利受到侵犯的妇女提供援助的民间社会组织提供财政支持，同时确保缔约国保留向这些妇女提供保护、康复、重返社会和相关服务的首要责任。</w:t>
      </w:r>
    </w:p>
    <w:p w14:paraId="484617A7" w14:textId="77777777" w:rsidR="00FC35CD" w:rsidRPr="00C92DBF" w:rsidRDefault="00FC35CD" w:rsidP="00FC35CD">
      <w:pPr>
        <w:pStyle w:val="SingleTxt"/>
        <w:spacing w:after="120"/>
        <w:rPr>
          <w:rFonts w:ascii="黑体" w:eastAsia="黑体" w:hAnsi="黑体"/>
        </w:rPr>
      </w:pPr>
      <w:r w:rsidRPr="00C92DBF">
        <w:rPr>
          <w:rFonts w:ascii="黑体" w:eastAsia="黑体" w:hAnsi="黑体" w:hint="eastAsia"/>
        </w:rPr>
        <w:t>国家人权机构</w:t>
      </w:r>
    </w:p>
    <w:p w14:paraId="44063CB5" w14:textId="77777777" w:rsidR="00FC35CD" w:rsidRDefault="00FC35CD" w:rsidP="00FC35CD">
      <w:pPr>
        <w:pStyle w:val="SingleTxt"/>
        <w:spacing w:after="120"/>
      </w:pPr>
      <w:r>
        <w:rPr>
          <w:rFonts w:hint="eastAsia"/>
        </w:rPr>
        <w:t>17.</w:t>
      </w:r>
      <w:r>
        <w:rPr>
          <w:rFonts w:hint="eastAsia"/>
        </w:rPr>
        <w:tab/>
      </w:r>
      <w:r>
        <w:rPr>
          <w:rFonts w:hint="eastAsia"/>
        </w:rPr>
        <w:t>委员会欢迎国家人权机构全球联盟在</w:t>
      </w:r>
      <w:r>
        <w:rPr>
          <w:rFonts w:hint="eastAsia"/>
        </w:rPr>
        <w:t>2019</w:t>
      </w:r>
      <w:r>
        <w:rPr>
          <w:rFonts w:hint="eastAsia"/>
        </w:rPr>
        <w:t>年</w:t>
      </w:r>
      <w:r>
        <w:rPr>
          <w:rFonts w:hint="eastAsia"/>
        </w:rPr>
        <w:t>3</w:t>
      </w:r>
      <w:r>
        <w:rPr>
          <w:rFonts w:hint="eastAsia"/>
        </w:rPr>
        <w:t>月依照《关于促进和保护人权国家机构的地位的原则》</w:t>
      </w:r>
      <w:r>
        <w:rPr>
          <w:rFonts w:hint="eastAsia"/>
        </w:rPr>
        <w:t>(</w:t>
      </w:r>
      <w:r>
        <w:rPr>
          <w:rFonts w:hint="eastAsia"/>
        </w:rPr>
        <w:t>《巴黎原则》</w:t>
      </w:r>
      <w:r>
        <w:rPr>
          <w:rFonts w:hint="eastAsia"/>
        </w:rPr>
        <w:t>)</w:t>
      </w:r>
      <w:r>
        <w:rPr>
          <w:rFonts w:hint="eastAsia"/>
        </w:rPr>
        <w:t>给予监察员办公室以</w:t>
      </w:r>
      <w:r>
        <w:rPr>
          <w:rFonts w:hint="eastAsia"/>
        </w:rPr>
        <w:t>A</w:t>
      </w:r>
      <w:r>
        <w:rPr>
          <w:rFonts w:hint="eastAsia"/>
        </w:rPr>
        <w:t>级认证。它还欢迎监察员为与缔约国进行建设性对话所作的宝贵贡献。然而，委员会感到关切的是，没有向监察员办公室提供足够的技术和财政资源以有效执行其增进和保护妇女权利和性别平等的相关任务。</w:t>
      </w:r>
    </w:p>
    <w:p w14:paraId="3E53B9D4" w14:textId="77777777" w:rsidR="00FC35CD" w:rsidRPr="00191086" w:rsidRDefault="00FC35CD" w:rsidP="00FC35CD">
      <w:pPr>
        <w:pStyle w:val="SingleTxt"/>
        <w:spacing w:after="120"/>
        <w:rPr>
          <w:rFonts w:ascii="黑体" w:eastAsia="黑体" w:hAnsi="黑体"/>
        </w:rPr>
      </w:pPr>
      <w:r>
        <w:rPr>
          <w:rFonts w:hint="eastAsia"/>
        </w:rPr>
        <w:t>18.</w:t>
      </w:r>
      <w:r>
        <w:rPr>
          <w:rFonts w:hint="eastAsia"/>
        </w:rPr>
        <w:tab/>
      </w:r>
      <w:r w:rsidRPr="00191086">
        <w:rPr>
          <w:rFonts w:ascii="黑体" w:eastAsia="黑体" w:hAnsi="黑体" w:hint="eastAsia"/>
        </w:rPr>
        <w:t>委员会建议缔约国确保监察员办公室拥有足够的技术和财政资源，并加强其在保护妇女权利和两性平等方面的任务。</w:t>
      </w:r>
    </w:p>
    <w:p w14:paraId="2D0CDE32" w14:textId="77777777" w:rsidR="00FC35CD" w:rsidRPr="00191086" w:rsidRDefault="00FC35CD" w:rsidP="00FC35CD">
      <w:pPr>
        <w:pStyle w:val="SingleTxt"/>
        <w:spacing w:after="120"/>
        <w:rPr>
          <w:rFonts w:ascii="黑体" w:eastAsia="黑体" w:hAnsi="黑体"/>
        </w:rPr>
      </w:pPr>
      <w:r w:rsidRPr="00191086">
        <w:rPr>
          <w:rFonts w:ascii="黑体" w:eastAsia="黑体" w:hAnsi="黑体" w:hint="eastAsia"/>
        </w:rPr>
        <w:t>暂行特别措施</w:t>
      </w:r>
    </w:p>
    <w:p w14:paraId="61B4F862" w14:textId="77777777" w:rsidR="00FC35CD" w:rsidRDefault="00FC35CD" w:rsidP="00FC35CD">
      <w:pPr>
        <w:pStyle w:val="SingleTxt"/>
        <w:spacing w:after="120"/>
      </w:pPr>
      <w:r>
        <w:rPr>
          <w:rFonts w:hint="eastAsia"/>
        </w:rPr>
        <w:t>19.</w:t>
      </w:r>
      <w:r>
        <w:rPr>
          <w:rFonts w:hint="eastAsia"/>
        </w:rPr>
        <w:tab/>
      </w:r>
      <w:r>
        <w:rPr>
          <w:rFonts w:hint="eastAsia"/>
        </w:rPr>
        <w:t>委员会感到关切的是，缔约国没有采取任何暂行特别措施来实现实质性的男女平等，也没有在其公共和私营部门实施配额制度。</w:t>
      </w:r>
    </w:p>
    <w:p w14:paraId="76A9A7BB" w14:textId="77777777" w:rsidR="00FC35CD" w:rsidRPr="00FD2D85" w:rsidRDefault="00FC35CD" w:rsidP="00FC35CD">
      <w:pPr>
        <w:pStyle w:val="SingleTxt"/>
        <w:spacing w:after="120"/>
        <w:rPr>
          <w:rFonts w:ascii="黑体" w:eastAsia="黑体" w:hAnsi="黑体"/>
        </w:rPr>
      </w:pPr>
      <w:r>
        <w:rPr>
          <w:rFonts w:hint="eastAsia"/>
        </w:rPr>
        <w:t>20.</w:t>
      </w:r>
      <w:r>
        <w:rPr>
          <w:rFonts w:hint="eastAsia"/>
        </w:rPr>
        <w:tab/>
      </w:r>
      <w:r w:rsidRPr="00FD2D85">
        <w:rPr>
          <w:rFonts w:ascii="黑体" w:eastAsia="黑体" w:hAnsi="黑体" w:hint="eastAsia"/>
        </w:rPr>
        <w:t>委员会根据《公约》第4条第1款并回顾其关于暂行特别措施的第25(2004)号一般性建议，建议缔约国：</w:t>
      </w:r>
    </w:p>
    <w:p w14:paraId="6594B2DB" w14:textId="77777777" w:rsidR="00FC35CD" w:rsidRPr="001852EA" w:rsidRDefault="00FC35CD" w:rsidP="00FC35CD">
      <w:pPr>
        <w:pStyle w:val="SingleTxt"/>
        <w:spacing w:after="120"/>
        <w:rPr>
          <w:rFonts w:eastAsia="黑体"/>
        </w:rPr>
      </w:pPr>
      <w:r w:rsidRPr="001852EA">
        <w:rPr>
          <w:rFonts w:eastAsia="黑体"/>
        </w:rPr>
        <w:tab/>
        <w:t>(a)</w:t>
      </w:r>
      <w:r w:rsidRPr="001852EA">
        <w:rPr>
          <w:rFonts w:eastAsia="黑体"/>
        </w:rPr>
        <w:tab/>
      </w:r>
      <w:r w:rsidRPr="001852EA">
        <w:rPr>
          <w:rFonts w:eastAsia="黑体"/>
        </w:rPr>
        <w:t>通过并执行暂行特别措施，并制定有时限的目标，以便在诸如政治和公共生活、教育及就业等妇女仍处于不利地位或代表性不足的所有领域，加快实现男女实质性平等；</w:t>
      </w:r>
    </w:p>
    <w:p w14:paraId="149E7A91" w14:textId="77777777" w:rsidR="00FC35CD" w:rsidRPr="001852EA" w:rsidRDefault="00FC35CD" w:rsidP="00FC35CD">
      <w:pPr>
        <w:pStyle w:val="SingleTxt"/>
        <w:spacing w:after="120"/>
        <w:rPr>
          <w:rFonts w:eastAsia="黑体"/>
        </w:rPr>
      </w:pPr>
      <w:r w:rsidRPr="001852EA">
        <w:rPr>
          <w:rFonts w:eastAsia="黑体"/>
        </w:rPr>
        <w:tab/>
        <w:t>(b)</w:t>
      </w:r>
      <w:r w:rsidRPr="001852EA">
        <w:rPr>
          <w:rFonts w:eastAsia="黑体"/>
        </w:rPr>
        <w:tab/>
      </w:r>
      <w:r w:rsidRPr="001852EA">
        <w:rPr>
          <w:rFonts w:eastAsia="黑体"/>
        </w:rPr>
        <w:t>提高诸如罗姆人、移民和难民妇女以及残疾妇女等面临交叉形式歧视的妇女在决策职位上的参与程度；</w:t>
      </w:r>
    </w:p>
    <w:p w14:paraId="1ED0BB95" w14:textId="77777777" w:rsidR="00FC35CD" w:rsidRPr="00FD2D85" w:rsidRDefault="00FC35CD" w:rsidP="00FC35CD">
      <w:pPr>
        <w:pStyle w:val="SingleTxt"/>
        <w:spacing w:after="120"/>
        <w:rPr>
          <w:rFonts w:ascii="黑体" w:eastAsia="黑体" w:hAnsi="黑体"/>
        </w:rPr>
      </w:pPr>
      <w:r w:rsidRPr="001852EA">
        <w:rPr>
          <w:rFonts w:eastAsia="黑体"/>
        </w:rPr>
        <w:tab/>
        <w:t>(c)</w:t>
      </w:r>
      <w:r w:rsidRPr="001852EA">
        <w:rPr>
          <w:rFonts w:eastAsia="黑体"/>
        </w:rPr>
        <w:tab/>
      </w:r>
      <w:r w:rsidRPr="001852EA">
        <w:rPr>
          <w:rFonts w:eastAsia="黑体"/>
        </w:rPr>
        <w:t>面向所有相关国家官员和雇员开展有关暂行特别措施的非歧视性和重要性的能力建设方案，</w:t>
      </w:r>
      <w:r w:rsidRPr="00FD2D85">
        <w:rPr>
          <w:rFonts w:ascii="黑体" w:eastAsia="黑体" w:hAnsi="黑体" w:hint="eastAsia"/>
        </w:rPr>
        <w:t>以在进展缓慢或没有进展的所有领域实现男女实质性平等。</w:t>
      </w:r>
    </w:p>
    <w:p w14:paraId="48B911BA" w14:textId="77777777" w:rsidR="00FC35CD" w:rsidRPr="00FD2D85" w:rsidRDefault="00FC35CD" w:rsidP="00FC35CD">
      <w:pPr>
        <w:pStyle w:val="SingleTxt"/>
        <w:spacing w:after="120"/>
        <w:rPr>
          <w:rFonts w:ascii="黑体" w:eastAsia="黑体" w:hAnsi="黑体"/>
        </w:rPr>
      </w:pPr>
      <w:r w:rsidRPr="00FD2D85">
        <w:rPr>
          <w:rFonts w:ascii="黑体" w:eastAsia="黑体" w:hAnsi="黑体" w:hint="eastAsia"/>
        </w:rPr>
        <w:t>陈规定型观念和有害习俗</w:t>
      </w:r>
    </w:p>
    <w:p w14:paraId="7EE9FB29" w14:textId="77777777" w:rsidR="00FC35CD" w:rsidRDefault="00FC35CD" w:rsidP="00FC35CD">
      <w:pPr>
        <w:pStyle w:val="SingleTxt"/>
        <w:spacing w:after="120"/>
      </w:pPr>
      <w:r>
        <w:rPr>
          <w:rFonts w:hint="eastAsia"/>
        </w:rPr>
        <w:t>21.</w:t>
      </w:r>
      <w:r>
        <w:rPr>
          <w:rFonts w:hint="eastAsia"/>
        </w:rPr>
        <w:tab/>
      </w:r>
      <w:r>
        <w:rPr>
          <w:rFonts w:hint="eastAsia"/>
        </w:rPr>
        <w:t>委员会仍然感到关切的是，缔约国对打击影响妇女和女童教育和职业选择的长期性别陈规定型观念的承诺有限。委员会特别感到关切的是：</w:t>
      </w:r>
    </w:p>
    <w:p w14:paraId="715557FE" w14:textId="77777777" w:rsidR="00FC35CD" w:rsidRDefault="00FC35CD" w:rsidP="00FC35CD">
      <w:pPr>
        <w:pStyle w:val="SingleTxt"/>
        <w:spacing w:after="120"/>
      </w:pPr>
      <w:r>
        <w:rPr>
          <w:rFonts w:hint="eastAsia"/>
        </w:rPr>
        <w:tab/>
        <w:t>(a)</w:t>
      </w:r>
      <w:r>
        <w:tab/>
      </w:r>
      <w:r>
        <w:rPr>
          <w:rFonts w:hint="eastAsia"/>
        </w:rPr>
        <w:t>在公</w:t>
      </w:r>
      <w:r w:rsidRPr="00F2462C">
        <w:rPr>
          <w:rFonts w:hint="eastAsia"/>
          <w:spacing w:val="2"/>
        </w:rPr>
        <w:t>共领域</w:t>
      </w:r>
      <w:r>
        <w:rPr>
          <w:rFonts w:hint="eastAsia"/>
          <w:spacing w:val="2"/>
        </w:rPr>
        <w:t>发表</w:t>
      </w:r>
      <w:r w:rsidRPr="00F2462C">
        <w:rPr>
          <w:rFonts w:hint="eastAsia"/>
          <w:spacing w:val="2"/>
        </w:rPr>
        <w:t>性别歧视言论</w:t>
      </w:r>
      <w:r>
        <w:rPr>
          <w:rFonts w:hint="eastAsia"/>
          <w:spacing w:val="2"/>
        </w:rPr>
        <w:t>、</w:t>
      </w:r>
      <w:r w:rsidRPr="00F2462C">
        <w:rPr>
          <w:rFonts w:hint="eastAsia"/>
          <w:spacing w:val="2"/>
        </w:rPr>
        <w:t>公众对性别平等看法强烈反</w:t>
      </w:r>
      <w:r>
        <w:rPr>
          <w:rFonts w:hint="eastAsia"/>
        </w:rPr>
        <w:t>对及媒体包括高级别政界人士所发表的歧视女性言论的情况的增加；</w:t>
      </w:r>
    </w:p>
    <w:p w14:paraId="721D8E1A" w14:textId="77777777" w:rsidR="00FC35CD" w:rsidRDefault="00FC35CD" w:rsidP="00FC35CD">
      <w:pPr>
        <w:pStyle w:val="SingleTxt"/>
      </w:pPr>
      <w:r>
        <w:rPr>
          <w:rFonts w:hint="eastAsia"/>
        </w:rPr>
        <w:tab/>
        <w:t>(b)</w:t>
      </w:r>
      <w:r>
        <w:tab/>
      </w:r>
      <w:r>
        <w:rPr>
          <w:rFonts w:hint="eastAsia"/>
        </w:rPr>
        <w:t>宣传传统上的家庭价值观，把妇女的作用完全限定在照顾孩子和对家庭承担责任上，没有一个关于消除男女在家庭和社会上作用和责任的歧视性陈规定型观念的全面战略；</w:t>
      </w:r>
    </w:p>
    <w:p w14:paraId="72E16BC3" w14:textId="77777777" w:rsidR="00FC35CD" w:rsidRDefault="00FC35CD" w:rsidP="00FC35CD">
      <w:pPr>
        <w:pStyle w:val="SingleTxt"/>
        <w:spacing w:after="100"/>
      </w:pPr>
      <w:r>
        <w:rPr>
          <w:rFonts w:hint="eastAsia"/>
        </w:rPr>
        <w:tab/>
        <w:t>(c)</w:t>
      </w:r>
      <w:r>
        <w:tab/>
      </w:r>
      <w:r>
        <w:rPr>
          <w:rFonts w:hint="eastAsia"/>
        </w:rPr>
        <w:t>虽有禁止不满</w:t>
      </w:r>
      <w:r>
        <w:rPr>
          <w:rFonts w:hint="eastAsia"/>
        </w:rPr>
        <w:t>16</w:t>
      </w:r>
      <w:r>
        <w:rPr>
          <w:rFonts w:hint="eastAsia"/>
        </w:rPr>
        <w:t>岁人的婚姻的法律，但特别是在罗姆女孩中间童婚和</w:t>
      </w:r>
      <w:r>
        <w:rPr>
          <w:rFonts w:hint="eastAsia"/>
        </w:rPr>
        <w:t>/</w:t>
      </w:r>
      <w:r>
        <w:rPr>
          <w:rFonts w:hint="eastAsia"/>
        </w:rPr>
        <w:t>或强迫婚姻还持续存在；</w:t>
      </w:r>
    </w:p>
    <w:p w14:paraId="4CEFFC78" w14:textId="77777777" w:rsidR="00FC35CD" w:rsidRDefault="00FC35CD" w:rsidP="00FC35CD">
      <w:pPr>
        <w:pStyle w:val="SingleTxt"/>
        <w:spacing w:after="100"/>
      </w:pPr>
      <w:r>
        <w:rPr>
          <w:rFonts w:hint="eastAsia"/>
        </w:rPr>
        <w:tab/>
        <w:t>(d)</w:t>
      </w:r>
      <w:r>
        <w:tab/>
      </w:r>
      <w:r>
        <w:rPr>
          <w:rFonts w:hint="eastAsia"/>
        </w:rPr>
        <w:t>在媒体特别是网上社交媒体上仇恨言论和性别歧视有增无减。</w:t>
      </w:r>
    </w:p>
    <w:p w14:paraId="2DB55F56" w14:textId="46F3015A" w:rsidR="00FC35CD" w:rsidRPr="00266846" w:rsidRDefault="00FC35CD" w:rsidP="00FC35CD">
      <w:pPr>
        <w:pStyle w:val="SingleTxt"/>
        <w:spacing w:after="100"/>
        <w:rPr>
          <w:rFonts w:ascii="黑体" w:eastAsia="黑体" w:hAnsi="黑体"/>
        </w:rPr>
      </w:pPr>
      <w:r>
        <w:rPr>
          <w:rFonts w:hint="eastAsia"/>
        </w:rPr>
        <w:t>22.</w:t>
      </w:r>
      <w:r>
        <w:rPr>
          <w:rFonts w:hint="eastAsia"/>
        </w:rPr>
        <w:tab/>
      </w:r>
      <w:r w:rsidRPr="00266846">
        <w:rPr>
          <w:rFonts w:ascii="黑体" w:eastAsia="黑体" w:hAnsi="黑体" w:hint="eastAsia"/>
        </w:rPr>
        <w:t>委员</w:t>
      </w:r>
      <w:r w:rsidRPr="00266846">
        <w:rPr>
          <w:rFonts w:ascii="黑体" w:eastAsia="黑体" w:hAnsi="黑体" w:hint="eastAsia"/>
          <w:spacing w:val="-4"/>
        </w:rPr>
        <w:t>会重申其先前的</w:t>
      </w:r>
      <w:r w:rsidRPr="001852EA">
        <w:rPr>
          <w:rFonts w:eastAsia="黑体"/>
          <w:spacing w:val="-4"/>
        </w:rPr>
        <w:t>建议</w:t>
      </w:r>
      <w:r w:rsidRPr="001852EA">
        <w:rPr>
          <w:rFonts w:eastAsia="黑体"/>
          <w:spacing w:val="-4"/>
        </w:rPr>
        <w:t>(</w:t>
      </w:r>
      <w:r w:rsidRPr="001852EA">
        <w:rPr>
          <w:rFonts w:eastAsia="黑体"/>
          <w:spacing w:val="-4"/>
        </w:rPr>
        <w:t>见</w:t>
      </w:r>
      <w:hyperlink r:id="rId24" w:history="1">
        <w:r w:rsidRPr="001852EA">
          <w:rPr>
            <w:rStyle w:val="af4"/>
            <w:rFonts w:eastAsia="黑体"/>
            <w:spacing w:val="-4"/>
          </w:rPr>
          <w:t>CEDAW/C/BGR/CO/4-7</w:t>
        </w:r>
      </w:hyperlink>
      <w:r w:rsidRPr="001852EA">
        <w:rPr>
          <w:rFonts w:eastAsia="黑体"/>
          <w:spacing w:val="-4"/>
        </w:rPr>
        <w:t>，第</w:t>
      </w:r>
      <w:r w:rsidRPr="001852EA">
        <w:rPr>
          <w:rFonts w:eastAsia="黑体"/>
          <w:spacing w:val="-4"/>
        </w:rPr>
        <w:t>22</w:t>
      </w:r>
      <w:r w:rsidRPr="001852EA">
        <w:rPr>
          <w:rFonts w:eastAsia="黑体"/>
          <w:spacing w:val="-4"/>
        </w:rPr>
        <w:t>段</w:t>
      </w:r>
      <w:r w:rsidRPr="001852EA">
        <w:rPr>
          <w:rFonts w:eastAsia="黑体"/>
          <w:spacing w:val="-4"/>
        </w:rPr>
        <w:t>)</w:t>
      </w:r>
      <w:r w:rsidRPr="001852EA">
        <w:rPr>
          <w:rFonts w:eastAsia="黑体"/>
          <w:spacing w:val="-4"/>
        </w:rPr>
        <w:t>，并促请缔约国：</w:t>
      </w:r>
    </w:p>
    <w:p w14:paraId="2217349F" w14:textId="77777777" w:rsidR="00FC35CD" w:rsidRPr="001852EA" w:rsidRDefault="00FC35CD" w:rsidP="00FC35CD">
      <w:pPr>
        <w:pStyle w:val="SingleTxt"/>
        <w:spacing w:after="100"/>
        <w:rPr>
          <w:rFonts w:eastAsia="黑体"/>
        </w:rPr>
      </w:pPr>
      <w:r w:rsidRPr="001852EA">
        <w:rPr>
          <w:rFonts w:eastAsia="黑体"/>
        </w:rPr>
        <w:tab/>
        <w:t>(a)</w:t>
      </w:r>
      <w:r w:rsidRPr="001852EA">
        <w:rPr>
          <w:rFonts w:eastAsia="黑体"/>
        </w:rPr>
        <w:tab/>
      </w:r>
      <w:r w:rsidRPr="001852EA">
        <w:rPr>
          <w:rFonts w:eastAsia="黑体"/>
        </w:rPr>
        <w:t>制定具体战略，在包括有关部委、民间社会、社区和宗教领袖、学术机构、商界和媒体在内的社会各级开展针对男女的大规模公共运动，以重申性别平等的观念，宣传妇女作为积极参与经济、社会和政治生活的积极形象；</w:t>
      </w:r>
    </w:p>
    <w:p w14:paraId="6F4A6B16" w14:textId="77777777" w:rsidR="00FC35CD" w:rsidRPr="001852EA" w:rsidRDefault="00FC35CD" w:rsidP="00FC35CD">
      <w:pPr>
        <w:pStyle w:val="SingleTxt"/>
        <w:spacing w:after="100"/>
        <w:rPr>
          <w:rFonts w:eastAsia="黑体"/>
        </w:rPr>
      </w:pPr>
      <w:r w:rsidRPr="001852EA">
        <w:rPr>
          <w:rFonts w:eastAsia="黑体"/>
        </w:rPr>
        <w:tab/>
        <w:t>(b)</w:t>
      </w:r>
      <w:r w:rsidRPr="001852EA">
        <w:rPr>
          <w:rFonts w:eastAsia="黑体"/>
        </w:rPr>
        <w:tab/>
      </w:r>
      <w:r w:rsidRPr="001852EA">
        <w:rPr>
          <w:rFonts w:eastAsia="黑体"/>
        </w:rPr>
        <w:t>监测政界人士在公开声明和媒体报道中使用厌恶女性语言的情况，鼓励媒体建立有效的自我监管机制以解决使用这种语言的问题，并利用教育系统宣传积极和非陈规定型的妇女形象；</w:t>
      </w:r>
    </w:p>
    <w:p w14:paraId="14FB1518" w14:textId="77777777" w:rsidR="00FC35CD" w:rsidRPr="001852EA" w:rsidRDefault="00FC35CD" w:rsidP="00FC35CD">
      <w:pPr>
        <w:pStyle w:val="SingleTxt"/>
        <w:spacing w:after="100"/>
        <w:rPr>
          <w:rFonts w:eastAsia="黑体"/>
        </w:rPr>
      </w:pPr>
      <w:r w:rsidRPr="001852EA">
        <w:rPr>
          <w:rFonts w:eastAsia="黑体"/>
        </w:rPr>
        <w:tab/>
        <w:t>(c)</w:t>
      </w:r>
      <w:r w:rsidRPr="001852EA">
        <w:rPr>
          <w:rFonts w:eastAsia="黑体"/>
        </w:rPr>
        <w:tab/>
      </w:r>
      <w:r w:rsidRPr="001852EA">
        <w:rPr>
          <w:rFonts w:eastAsia="黑体"/>
        </w:rPr>
        <w:t>确保</w:t>
      </w:r>
      <w:r w:rsidRPr="001852EA">
        <w:rPr>
          <w:rFonts w:eastAsia="黑体"/>
          <w:spacing w:val="-4"/>
        </w:rPr>
        <w:t>有效调查童婚案件和</w:t>
      </w:r>
      <w:r w:rsidRPr="001852EA">
        <w:rPr>
          <w:rFonts w:eastAsia="黑体"/>
          <w:spacing w:val="-4"/>
        </w:rPr>
        <w:t>/</w:t>
      </w:r>
      <w:r w:rsidRPr="001852EA">
        <w:rPr>
          <w:rFonts w:eastAsia="黑体"/>
          <w:spacing w:val="-4"/>
        </w:rPr>
        <w:t>或强迫婚姻案件，并让犯罪者受到起诉和适当惩罚，以及使这类婚姻中的妇女和女孩能够获得保护，包括有机会得到庇护和支助服务；</w:t>
      </w:r>
    </w:p>
    <w:p w14:paraId="7F64F4FC" w14:textId="77777777" w:rsidR="00FC35CD" w:rsidRPr="001852EA" w:rsidRDefault="00FC35CD" w:rsidP="00FC35CD">
      <w:pPr>
        <w:pStyle w:val="SingleTxt"/>
        <w:spacing w:after="100"/>
        <w:rPr>
          <w:rFonts w:eastAsia="黑体"/>
        </w:rPr>
      </w:pPr>
      <w:r w:rsidRPr="001852EA">
        <w:rPr>
          <w:rFonts w:eastAsia="黑体"/>
        </w:rPr>
        <w:tab/>
        <w:t>(d)</w:t>
      </w:r>
      <w:r w:rsidRPr="001852EA">
        <w:rPr>
          <w:rFonts w:eastAsia="黑体"/>
        </w:rPr>
        <w:tab/>
      </w:r>
      <w:r w:rsidRPr="001852EA">
        <w:rPr>
          <w:rFonts w:eastAsia="黑体"/>
        </w:rPr>
        <w:t>为记者提供关于性别平等、妇女权益保护和媒体报道性别暴力和性别陈规定型观念的形式的培训；</w:t>
      </w:r>
    </w:p>
    <w:p w14:paraId="5F175B62" w14:textId="77777777" w:rsidR="00FC35CD" w:rsidRPr="00266846" w:rsidRDefault="00FC35CD" w:rsidP="00FC35CD">
      <w:pPr>
        <w:pStyle w:val="SingleTxt"/>
        <w:spacing w:after="100"/>
        <w:rPr>
          <w:rFonts w:ascii="黑体" w:eastAsia="黑体" w:hAnsi="黑体"/>
        </w:rPr>
      </w:pPr>
      <w:r w:rsidRPr="001852EA">
        <w:rPr>
          <w:rFonts w:eastAsia="黑体"/>
        </w:rPr>
        <w:tab/>
        <w:t>(e)</w:t>
      </w:r>
      <w:r w:rsidRPr="001852EA">
        <w:rPr>
          <w:rFonts w:eastAsia="黑体"/>
        </w:rPr>
        <w:tab/>
      </w:r>
      <w:r w:rsidRPr="001852EA">
        <w:rPr>
          <w:rFonts w:eastAsia="黑体"/>
        </w:rPr>
        <w:t>在行政立法中对一</w:t>
      </w:r>
      <w:r w:rsidRPr="00266846">
        <w:rPr>
          <w:rFonts w:ascii="黑体" w:eastAsia="黑体" w:hAnsi="黑体" w:hint="eastAsia"/>
        </w:rPr>
        <w:t>再出现的陈规定型观念和性别歧视行为引入具体制裁或</w:t>
      </w:r>
      <w:r>
        <w:rPr>
          <w:rFonts w:ascii="黑体" w:eastAsia="黑体" w:hAnsi="黑体" w:hint="eastAsia"/>
        </w:rPr>
        <w:t>确立</w:t>
      </w:r>
      <w:r w:rsidRPr="00266846">
        <w:rPr>
          <w:rFonts w:ascii="黑体" w:eastAsia="黑体" w:hAnsi="黑体" w:hint="eastAsia"/>
        </w:rPr>
        <w:t>问责。</w:t>
      </w:r>
    </w:p>
    <w:p w14:paraId="1E19B7EA" w14:textId="77777777" w:rsidR="00FC35CD" w:rsidRPr="00266846" w:rsidRDefault="00FC35CD" w:rsidP="00FC35CD">
      <w:pPr>
        <w:pStyle w:val="SingleTxt"/>
        <w:spacing w:after="100"/>
        <w:rPr>
          <w:rFonts w:ascii="黑体" w:eastAsia="黑体" w:hAnsi="黑体"/>
        </w:rPr>
      </w:pPr>
      <w:r w:rsidRPr="00266846">
        <w:rPr>
          <w:rFonts w:ascii="黑体" w:eastAsia="黑体" w:hAnsi="黑体" w:hint="eastAsia"/>
        </w:rPr>
        <w:t>暴力侵害妇女行为</w:t>
      </w:r>
    </w:p>
    <w:p w14:paraId="5BB14268" w14:textId="7387C224" w:rsidR="00FC35CD" w:rsidRDefault="00FC35CD" w:rsidP="00FC35CD">
      <w:pPr>
        <w:pStyle w:val="SingleTxt"/>
        <w:spacing w:after="100"/>
      </w:pPr>
      <w:r>
        <w:rPr>
          <w:rFonts w:hint="eastAsia"/>
        </w:rPr>
        <w:t>23.</w:t>
      </w:r>
      <w:r>
        <w:rPr>
          <w:rFonts w:hint="eastAsia"/>
        </w:rPr>
        <w:tab/>
      </w:r>
      <w:r>
        <w:rPr>
          <w:rFonts w:hint="eastAsia"/>
        </w:rPr>
        <w:t>委员会注意到宪法法院</w:t>
      </w:r>
      <w:r>
        <w:rPr>
          <w:rFonts w:hint="eastAsia"/>
        </w:rPr>
        <w:t>2018</w:t>
      </w:r>
      <w:r>
        <w:rPr>
          <w:rFonts w:hint="eastAsia"/>
        </w:rPr>
        <w:t>年</w:t>
      </w:r>
      <w:r>
        <w:rPr>
          <w:rFonts w:hint="eastAsia"/>
        </w:rPr>
        <w:t>7</w:t>
      </w:r>
      <w:r>
        <w:rPr>
          <w:rFonts w:hint="eastAsia"/>
        </w:rPr>
        <w:t>月</w:t>
      </w:r>
      <w:r>
        <w:rPr>
          <w:rFonts w:hint="eastAsia"/>
        </w:rPr>
        <w:t>27</w:t>
      </w:r>
      <w:r>
        <w:rPr>
          <w:rFonts w:hint="eastAsia"/>
        </w:rPr>
        <w:t>日关于《欧洲委员会防止和打击暴力侵害妇女和家庭暴力公约》</w:t>
      </w:r>
      <w:r>
        <w:rPr>
          <w:rFonts w:hint="eastAsia"/>
        </w:rPr>
        <w:t>(</w:t>
      </w:r>
      <w:r>
        <w:rPr>
          <w:rFonts w:hint="eastAsia"/>
        </w:rPr>
        <w:t>《伊斯坦布尔公约》</w:t>
      </w:r>
      <w:r>
        <w:rPr>
          <w:rFonts w:hint="eastAsia"/>
        </w:rPr>
        <w:t>)</w:t>
      </w:r>
      <w:r>
        <w:rPr>
          <w:rFonts w:hint="eastAsia"/>
        </w:rPr>
        <w:t>与《宪法》不相容的第</w:t>
      </w:r>
      <w:hyperlink r:id="rId25" w:history="1">
        <w:r w:rsidRPr="001822F6">
          <w:rPr>
            <w:rStyle w:val="af4"/>
            <w:rFonts w:hint="eastAsia"/>
          </w:rPr>
          <w:t>13/2018</w:t>
        </w:r>
      </w:hyperlink>
      <w:r>
        <w:rPr>
          <w:rFonts w:hint="eastAsia"/>
        </w:rPr>
        <w:t>号决定，并对该决定阻碍《伊斯坦布尔公约》获得批准表示关切。委员会还仍然感到关切的是：</w:t>
      </w:r>
    </w:p>
    <w:p w14:paraId="3A4D64AD" w14:textId="77777777" w:rsidR="00FC35CD" w:rsidRDefault="00FC35CD" w:rsidP="00FC35CD">
      <w:pPr>
        <w:pStyle w:val="SingleTxt"/>
        <w:spacing w:after="100"/>
      </w:pPr>
      <w:r>
        <w:rPr>
          <w:rFonts w:hint="eastAsia"/>
        </w:rPr>
        <w:tab/>
        <w:t>(a)</w:t>
      </w:r>
      <w:r>
        <w:tab/>
      </w:r>
      <w:r>
        <w:rPr>
          <w:rFonts w:hint="eastAsia"/>
        </w:rPr>
        <w:t>现行立法事实上没有界定包括身体暴力、性暴力、心理暴力和经济暴力等一切形式的基于性别的暴力侵害妇女和女童行为并将其定为犯罪，也没有对基于性别的暴力侵害妇女行为依职予以起诉做出规定；</w:t>
      </w:r>
    </w:p>
    <w:p w14:paraId="461C12F8" w14:textId="7686D0C7" w:rsidR="00FC35CD" w:rsidRDefault="00FC35CD" w:rsidP="00FC35CD">
      <w:pPr>
        <w:pStyle w:val="SingleTxt"/>
        <w:spacing w:after="100"/>
      </w:pPr>
      <w:r>
        <w:rPr>
          <w:rFonts w:hint="eastAsia"/>
        </w:rPr>
        <w:tab/>
        <w:t>(b)</w:t>
      </w:r>
      <w:r w:rsidR="001852EA">
        <w:tab/>
      </w:r>
      <w:r>
        <w:rPr>
          <w:rFonts w:hint="eastAsia"/>
        </w:rPr>
        <w:t>《刑法》对强奸的定义不包括婚内强奸的事实；</w:t>
      </w:r>
    </w:p>
    <w:p w14:paraId="3E1090EE" w14:textId="77777777" w:rsidR="00FC35CD" w:rsidRDefault="00FC35CD" w:rsidP="00FC35CD">
      <w:pPr>
        <w:pStyle w:val="SingleTxt"/>
        <w:spacing w:after="100"/>
      </w:pPr>
      <w:r>
        <w:rPr>
          <w:rFonts w:hint="eastAsia"/>
        </w:rPr>
        <w:tab/>
        <w:t>(c)</w:t>
      </w:r>
      <w:r>
        <w:tab/>
      </w:r>
      <w:r>
        <w:rPr>
          <w:rFonts w:hint="eastAsia"/>
        </w:rPr>
        <w:t>基于性别的暴力行为受害者撤回申诉的比率很高，提交保护令请愿书的时限设定为一个月</w:t>
      </w:r>
      <w:r>
        <w:rPr>
          <w:rFonts w:hint="eastAsia"/>
        </w:rPr>
        <w:t>(</w:t>
      </w:r>
      <w:r>
        <w:rPr>
          <w:rFonts w:hint="eastAsia"/>
        </w:rPr>
        <w:t>《防止家庭暴力法》第</w:t>
      </w:r>
      <w:r>
        <w:rPr>
          <w:rFonts w:hint="eastAsia"/>
        </w:rPr>
        <w:t>10(1)</w:t>
      </w:r>
      <w:r>
        <w:rPr>
          <w:rFonts w:hint="eastAsia"/>
        </w:rPr>
        <w:t>条</w:t>
      </w:r>
      <w:r>
        <w:rPr>
          <w:rFonts w:hint="eastAsia"/>
        </w:rPr>
        <w:t>)</w:t>
      </w:r>
      <w:r>
        <w:rPr>
          <w:rFonts w:hint="eastAsia"/>
        </w:rPr>
        <w:t>，及保护令相关民事诉讼的举证责任转移对受害者不利；</w:t>
      </w:r>
    </w:p>
    <w:p w14:paraId="1C94D653" w14:textId="77777777" w:rsidR="00FC35CD" w:rsidRDefault="00FC35CD" w:rsidP="00FC35CD">
      <w:pPr>
        <w:pStyle w:val="SingleTxt"/>
        <w:spacing w:after="100"/>
      </w:pPr>
      <w:r>
        <w:rPr>
          <w:rFonts w:hint="eastAsia"/>
        </w:rPr>
        <w:tab/>
        <w:t>(d)</w:t>
      </w:r>
      <w:r>
        <w:tab/>
      </w:r>
      <w:r>
        <w:rPr>
          <w:rFonts w:hint="eastAsia"/>
        </w:rPr>
        <w:t>在精神卫生机构和社会保障中心发生的死亡、苛待和虐待案件；</w:t>
      </w:r>
    </w:p>
    <w:p w14:paraId="14EEFC28" w14:textId="77777777" w:rsidR="00FC35CD" w:rsidRDefault="00FC35CD" w:rsidP="00FC35CD">
      <w:pPr>
        <w:pStyle w:val="SingleTxt"/>
        <w:spacing w:after="100"/>
      </w:pPr>
      <w:r>
        <w:rPr>
          <w:rFonts w:hint="eastAsia"/>
        </w:rPr>
        <w:tab/>
        <w:t>(e)</w:t>
      </w:r>
      <w:r>
        <w:tab/>
      </w:r>
      <w:r>
        <w:rPr>
          <w:rFonts w:hint="eastAsia"/>
        </w:rPr>
        <w:t>缺乏专门的国家受害者支助服务，包括给基于性别的暴力行为受害者提供庇护所，尽管缔约国国内包括家庭暴力等基于性别的暴力侵害妇女和女童行为的发生率很高，但由于社会污名的存在和受害者对执法当局缺乏信任，家庭暴力的报案率仍然很低；</w:t>
      </w:r>
    </w:p>
    <w:p w14:paraId="2F4C4161" w14:textId="77777777" w:rsidR="00FC35CD" w:rsidRDefault="00FC35CD" w:rsidP="00FC35CD">
      <w:pPr>
        <w:pStyle w:val="SingleTxt"/>
      </w:pPr>
      <w:r>
        <w:rPr>
          <w:rFonts w:hint="eastAsia"/>
        </w:rPr>
        <w:tab/>
        <w:t>(f)</w:t>
      </w:r>
      <w:r>
        <w:tab/>
      </w:r>
      <w:r>
        <w:rPr>
          <w:rFonts w:hint="eastAsia"/>
        </w:rPr>
        <w:t>法官、检察官、警官和医务人员对基于性别的暴力侵害妇女和女童行为的认识不足并且培训不够，从而无法对这类案件以对性别问题敏感方式做出有效回应；</w:t>
      </w:r>
    </w:p>
    <w:p w14:paraId="1B74FE95" w14:textId="77777777" w:rsidR="00FC35CD" w:rsidRDefault="00FC35CD" w:rsidP="00FC35CD">
      <w:pPr>
        <w:pStyle w:val="SingleTxt"/>
        <w:spacing w:after="120"/>
      </w:pPr>
      <w:r>
        <w:rPr>
          <w:rFonts w:hint="eastAsia"/>
        </w:rPr>
        <w:tab/>
        <w:t>(g)</w:t>
      </w:r>
      <w:r>
        <w:tab/>
      </w:r>
      <w:r>
        <w:rPr>
          <w:rFonts w:hint="eastAsia"/>
        </w:rPr>
        <w:t>缺乏按年龄和受害者与肇事者之间的关系分列的有关基于性别的暴力侵害妇女和女孩行为的综合数据，包括关于投诉、起诉和定罪的数目、对肇事者的制裁以及向受害者提供补救措施的数据；</w:t>
      </w:r>
    </w:p>
    <w:p w14:paraId="72575385" w14:textId="77777777" w:rsidR="00FC35CD" w:rsidRDefault="00FC35CD" w:rsidP="00FC35CD">
      <w:pPr>
        <w:pStyle w:val="SingleTxt"/>
        <w:spacing w:after="120"/>
      </w:pPr>
      <w:r>
        <w:rPr>
          <w:rFonts w:hint="eastAsia"/>
        </w:rPr>
        <w:tab/>
        <w:t>(h)</w:t>
      </w:r>
      <w:r>
        <w:tab/>
      </w:r>
      <w:r>
        <w:rPr>
          <w:rFonts w:hint="eastAsia"/>
        </w:rPr>
        <w:t>对向性别暴力行为受害妇女提供专门支助服务的民间社会组织没有给与充分的财政支持。</w:t>
      </w:r>
    </w:p>
    <w:p w14:paraId="1B2C1AC4" w14:textId="77777777" w:rsidR="00FC35CD" w:rsidRPr="00ED2F1E" w:rsidRDefault="00FC35CD" w:rsidP="00FC35CD">
      <w:pPr>
        <w:pStyle w:val="SingleTxt"/>
        <w:spacing w:after="120"/>
        <w:rPr>
          <w:rFonts w:ascii="黑体" w:eastAsia="黑体" w:hAnsi="黑体"/>
        </w:rPr>
      </w:pPr>
      <w:r>
        <w:rPr>
          <w:rFonts w:hint="eastAsia"/>
        </w:rPr>
        <w:t>24.</w:t>
      </w:r>
      <w:r>
        <w:rPr>
          <w:rFonts w:hint="eastAsia"/>
        </w:rPr>
        <w:tab/>
      </w:r>
      <w:r w:rsidRPr="00ED2F1E">
        <w:rPr>
          <w:rFonts w:ascii="黑体" w:eastAsia="黑体" w:hAnsi="黑体" w:hint="eastAsia"/>
        </w:rPr>
        <w:t>委员会回</w:t>
      </w:r>
      <w:r w:rsidRPr="00AB022B">
        <w:rPr>
          <w:rFonts w:eastAsia="黑体"/>
        </w:rPr>
        <w:t>顾其对第</w:t>
      </w:r>
      <w:r w:rsidRPr="00AB022B">
        <w:rPr>
          <w:rFonts w:eastAsia="黑体"/>
        </w:rPr>
        <w:t>19</w:t>
      </w:r>
      <w:r w:rsidRPr="00AB022B">
        <w:rPr>
          <w:rFonts w:eastAsia="黑体"/>
        </w:rPr>
        <w:t>号一般性建议加以更新的关于基于性别的暴力侵害妇女行为的第</w:t>
      </w:r>
      <w:r w:rsidRPr="00AB022B">
        <w:rPr>
          <w:rFonts w:eastAsia="黑体"/>
        </w:rPr>
        <w:t>35(2017)</w:t>
      </w:r>
      <w:r w:rsidRPr="00AB022B">
        <w:rPr>
          <w:rFonts w:eastAsia="黑体"/>
        </w:rPr>
        <w:t>号一</w:t>
      </w:r>
      <w:r w:rsidRPr="00ED2F1E">
        <w:rPr>
          <w:rFonts w:ascii="黑体" w:eastAsia="黑体" w:hAnsi="黑体" w:hint="eastAsia"/>
        </w:rPr>
        <w:t>般性建议，建议缔约国：</w:t>
      </w:r>
    </w:p>
    <w:p w14:paraId="060B9804" w14:textId="77777777" w:rsidR="00FC35CD" w:rsidRPr="00AB022B" w:rsidRDefault="00FC35CD" w:rsidP="00FC35CD">
      <w:pPr>
        <w:pStyle w:val="SingleTxt"/>
        <w:spacing w:after="120"/>
        <w:rPr>
          <w:rFonts w:eastAsia="黑体"/>
        </w:rPr>
      </w:pPr>
      <w:r w:rsidRPr="00AB022B">
        <w:rPr>
          <w:rFonts w:eastAsia="黑体"/>
        </w:rPr>
        <w:tab/>
        <w:t>(a)</w:t>
      </w:r>
      <w:r w:rsidRPr="00AB022B">
        <w:rPr>
          <w:rFonts w:eastAsia="黑体"/>
        </w:rPr>
        <w:tab/>
      </w:r>
      <w:r w:rsidRPr="00AB022B">
        <w:rPr>
          <w:rFonts w:eastAsia="黑体"/>
        </w:rPr>
        <w:t>在依照《公约》打击侵害妇女的基于性别的暴力方面，加快开展持续进行的国家立法协调工作，并批准《伊斯坦布尔公约》</w:t>
      </w:r>
    </w:p>
    <w:p w14:paraId="05D37785" w14:textId="77777777" w:rsidR="00FC35CD" w:rsidRPr="00AB022B" w:rsidRDefault="00FC35CD" w:rsidP="00FC35CD">
      <w:pPr>
        <w:pStyle w:val="SingleTxt"/>
        <w:spacing w:after="120"/>
        <w:rPr>
          <w:rFonts w:eastAsia="黑体"/>
        </w:rPr>
      </w:pPr>
      <w:r w:rsidRPr="00AB022B">
        <w:rPr>
          <w:rFonts w:eastAsia="黑体"/>
        </w:rPr>
        <w:tab/>
        <w:t>(b)</w:t>
      </w:r>
      <w:r w:rsidRPr="00AB022B">
        <w:rPr>
          <w:rFonts w:eastAsia="黑体"/>
        </w:rPr>
        <w:tab/>
      </w:r>
      <w:r w:rsidRPr="00AB022B">
        <w:rPr>
          <w:rFonts w:eastAsia="黑体"/>
        </w:rPr>
        <w:t>修订包括《防止家庭暴力法》等现行法律，承认对包括身体暴力、性暴力、心理暴力和经济暴力等一切形式的基于性别的暴力侵害妇女和女童行为，，确保可以依职权予以起诉，并根据罪行严重程度处以适当惩罚；</w:t>
      </w:r>
    </w:p>
    <w:p w14:paraId="1C9CE749" w14:textId="77777777" w:rsidR="00FC35CD" w:rsidRPr="00AB022B" w:rsidRDefault="00FC35CD" w:rsidP="00FC35CD">
      <w:pPr>
        <w:pStyle w:val="SingleTxt"/>
        <w:spacing w:after="120"/>
        <w:rPr>
          <w:rFonts w:eastAsia="黑体"/>
        </w:rPr>
      </w:pPr>
      <w:r w:rsidRPr="00AB022B">
        <w:rPr>
          <w:rFonts w:eastAsia="黑体"/>
        </w:rPr>
        <w:tab/>
        <w:t>(c)</w:t>
      </w:r>
      <w:r w:rsidRPr="00AB022B">
        <w:rPr>
          <w:rFonts w:eastAsia="黑体"/>
        </w:rPr>
        <w:tab/>
      </w:r>
      <w:r w:rsidRPr="00AB022B">
        <w:rPr>
          <w:rFonts w:eastAsia="黑体"/>
        </w:rPr>
        <w:t>修订《刑法》，以将婚内强奸明确定为加重情节；</w:t>
      </w:r>
    </w:p>
    <w:p w14:paraId="4A619750" w14:textId="77777777" w:rsidR="00FC35CD" w:rsidRPr="00AB022B" w:rsidRDefault="00FC35CD" w:rsidP="00FC35CD">
      <w:pPr>
        <w:pStyle w:val="SingleTxt"/>
        <w:spacing w:after="120"/>
        <w:rPr>
          <w:rFonts w:eastAsia="黑体"/>
        </w:rPr>
      </w:pPr>
      <w:r w:rsidRPr="00AB022B">
        <w:rPr>
          <w:rFonts w:eastAsia="黑体"/>
        </w:rPr>
        <w:tab/>
        <w:t>(d)</w:t>
      </w:r>
      <w:r w:rsidRPr="00AB022B">
        <w:rPr>
          <w:rFonts w:eastAsia="黑体"/>
        </w:rPr>
        <w:tab/>
      </w:r>
      <w:r w:rsidRPr="00AB022B">
        <w:rPr>
          <w:rFonts w:eastAsia="黑体"/>
        </w:rPr>
        <w:t>确保为生活在精神病院和精神卫生机构以及社会保护中心的妇女引入高效独立的投诉机制，并确保所有死亡和虐待案件均得到有效调查和制裁，并视适当情况追究刑事责任；</w:t>
      </w:r>
    </w:p>
    <w:p w14:paraId="1CF6AFF5" w14:textId="77777777" w:rsidR="00FC35CD" w:rsidRPr="00AB022B" w:rsidRDefault="00FC35CD" w:rsidP="00FC35CD">
      <w:pPr>
        <w:pStyle w:val="SingleTxt"/>
        <w:spacing w:after="120"/>
        <w:rPr>
          <w:rFonts w:eastAsia="黑体"/>
        </w:rPr>
      </w:pPr>
      <w:r w:rsidRPr="00AB022B">
        <w:rPr>
          <w:rFonts w:eastAsia="黑体"/>
        </w:rPr>
        <w:tab/>
        <w:t>(e)</w:t>
      </w:r>
      <w:r w:rsidRPr="00AB022B">
        <w:rPr>
          <w:rFonts w:eastAsia="黑体"/>
        </w:rPr>
        <w:tab/>
      </w:r>
      <w:r w:rsidRPr="00AB022B">
        <w:rPr>
          <w:rFonts w:eastAsia="黑体"/>
        </w:rPr>
        <w:t>修订《防止家庭暴力法》第</w:t>
      </w:r>
      <w:r w:rsidRPr="00AB022B">
        <w:rPr>
          <w:rFonts w:eastAsia="黑体"/>
        </w:rPr>
        <w:t>10</w:t>
      </w:r>
      <w:r w:rsidRPr="00AB022B">
        <w:rPr>
          <w:rFonts w:eastAsia="黑体"/>
        </w:rPr>
        <w:t>条第</w:t>
      </w:r>
      <w:r w:rsidRPr="00AB022B">
        <w:rPr>
          <w:rFonts w:eastAsia="黑体"/>
        </w:rPr>
        <w:t>1</w:t>
      </w:r>
      <w:r w:rsidRPr="00AB022B">
        <w:rPr>
          <w:rFonts w:eastAsia="黑体"/>
        </w:rPr>
        <w:t>款，以取消在申请保护令上的一个月时限，确保在与基于性别的暴力侵害妇女行为有关的诉讼中获得免费法律援助，防止对申请保护令的受害者的污名化并减轻其举证责任，并对不遵守保护令的行为实施有效处罚；</w:t>
      </w:r>
    </w:p>
    <w:p w14:paraId="3EC8FFF4" w14:textId="77777777" w:rsidR="00FC35CD" w:rsidRPr="00ED2F1E" w:rsidRDefault="00FC35CD" w:rsidP="00FC35CD">
      <w:pPr>
        <w:pStyle w:val="SingleTxt"/>
        <w:spacing w:after="120"/>
        <w:rPr>
          <w:rFonts w:ascii="黑体" w:eastAsia="黑体" w:hAnsi="黑体"/>
        </w:rPr>
      </w:pPr>
      <w:r w:rsidRPr="00AB022B">
        <w:rPr>
          <w:rFonts w:eastAsia="黑体"/>
        </w:rPr>
        <w:tab/>
        <w:t>(f)</w:t>
      </w:r>
      <w:r w:rsidRPr="00AB022B">
        <w:rPr>
          <w:rFonts w:eastAsia="黑体"/>
        </w:rPr>
        <w:tab/>
      </w:r>
      <w:r w:rsidRPr="00AB022B">
        <w:rPr>
          <w:rFonts w:eastAsia="黑体"/>
        </w:rPr>
        <w:t>在缔约国城市和农村地区增设方便可及的国家庇护所并在全国提供更多咨询和康复服务，并确保包括属于最弱势群体的妇女和女</w:t>
      </w:r>
      <w:r>
        <w:rPr>
          <w:rFonts w:ascii="黑体" w:eastAsia="黑体" w:hAnsi="黑体" w:hint="eastAsia"/>
        </w:rPr>
        <w:t>童</w:t>
      </w:r>
      <w:r w:rsidRPr="00ED2F1E">
        <w:rPr>
          <w:rFonts w:ascii="黑体" w:eastAsia="黑体" w:hAnsi="黑体" w:hint="eastAsia"/>
        </w:rPr>
        <w:t>等遭受基于性别的暴力行为的妇女和女</w:t>
      </w:r>
      <w:r>
        <w:rPr>
          <w:rFonts w:ascii="黑体" w:eastAsia="黑体" w:hAnsi="黑体" w:hint="eastAsia"/>
        </w:rPr>
        <w:t>童</w:t>
      </w:r>
      <w:r w:rsidRPr="00ED2F1E">
        <w:rPr>
          <w:rFonts w:ascii="黑体" w:eastAsia="黑体" w:hAnsi="黑体" w:hint="eastAsia"/>
        </w:rPr>
        <w:t>，能够充分和无障碍地获得医疗和心理支持；</w:t>
      </w:r>
    </w:p>
    <w:p w14:paraId="40100517" w14:textId="77777777" w:rsidR="00FC35CD" w:rsidRPr="00941589" w:rsidRDefault="00FC35CD" w:rsidP="00FC35CD">
      <w:pPr>
        <w:pStyle w:val="SingleTxt"/>
        <w:spacing w:after="120"/>
        <w:rPr>
          <w:rFonts w:eastAsia="黑体"/>
        </w:rPr>
      </w:pPr>
      <w:r w:rsidRPr="00941589">
        <w:rPr>
          <w:rFonts w:eastAsia="黑体"/>
        </w:rPr>
        <w:tab/>
        <w:t>(g)</w:t>
      </w:r>
      <w:r w:rsidRPr="00941589">
        <w:rPr>
          <w:rFonts w:eastAsia="黑体"/>
        </w:rPr>
        <w:tab/>
      </w:r>
      <w:r w:rsidRPr="00941589">
        <w:rPr>
          <w:rFonts w:eastAsia="黑体"/>
        </w:rPr>
        <w:t>对法官、检察官、警察和其他执法人员开展以严格适用关于基于性别的暴力侵害妇女行为刑法规定和对性别敏感调查程序为内容的能力建设，并在给受害者提供性别敏感治疗方面向医务人员开展系统培训；</w:t>
      </w:r>
    </w:p>
    <w:p w14:paraId="41A007D7" w14:textId="77777777" w:rsidR="00FC35CD" w:rsidRPr="00941589" w:rsidRDefault="00FC35CD" w:rsidP="00FC35CD">
      <w:pPr>
        <w:pStyle w:val="SingleTxt"/>
        <w:spacing w:after="120"/>
        <w:rPr>
          <w:rFonts w:eastAsia="黑体"/>
        </w:rPr>
      </w:pPr>
      <w:r w:rsidRPr="00941589">
        <w:rPr>
          <w:rFonts w:eastAsia="黑体"/>
        </w:rPr>
        <w:tab/>
        <w:t>(h)</w:t>
      </w:r>
      <w:r w:rsidRPr="00941589">
        <w:rPr>
          <w:rFonts w:eastAsia="黑体"/>
        </w:rPr>
        <w:tab/>
      </w:r>
      <w:r w:rsidRPr="00941589">
        <w:rPr>
          <w:rFonts w:eastAsia="黑体"/>
        </w:rPr>
        <w:t>给那些向基于性别的暴力侵害妇女行为受害者提供无障碍庇护所和支助服务的民间社会组织划拨充足资金，并加强与此类组织的合作，同时确保缔约国保留监督提供此类服务的首要责任；</w:t>
      </w:r>
    </w:p>
    <w:p w14:paraId="33599DB2" w14:textId="77777777" w:rsidR="00FC35CD" w:rsidRPr="00941589" w:rsidRDefault="00FC35CD" w:rsidP="00FC35CD">
      <w:pPr>
        <w:pStyle w:val="SingleTxt"/>
        <w:spacing w:after="120"/>
        <w:rPr>
          <w:rFonts w:eastAsia="黑体"/>
        </w:rPr>
      </w:pPr>
      <w:r w:rsidRPr="00941589">
        <w:rPr>
          <w:rFonts w:eastAsia="黑体"/>
        </w:rPr>
        <w:tab/>
        <w:t>(i)</w:t>
      </w:r>
      <w:r w:rsidRPr="00941589">
        <w:rPr>
          <w:rFonts w:eastAsia="黑体"/>
        </w:rPr>
        <w:tab/>
      </w:r>
      <w:r w:rsidRPr="00941589">
        <w:rPr>
          <w:rFonts w:eastAsia="黑体"/>
        </w:rPr>
        <w:t>创建一个数据库，并系统收集关于包括家庭暴力和性暴力等所有各种基于性别的暴力行为的统计数据，并按性别、年龄、残疾、国籍和受害者与施害者之间的关系进行分列。</w:t>
      </w:r>
    </w:p>
    <w:p w14:paraId="1003804C" w14:textId="77777777" w:rsidR="00FC35CD" w:rsidRPr="00ED2F1E" w:rsidRDefault="00FC35CD" w:rsidP="00FC35CD">
      <w:pPr>
        <w:pStyle w:val="SingleTxt"/>
        <w:spacing w:after="120"/>
        <w:rPr>
          <w:rFonts w:ascii="黑体" w:eastAsia="黑体" w:hAnsi="黑体"/>
        </w:rPr>
      </w:pPr>
      <w:r w:rsidRPr="00ED2F1E">
        <w:rPr>
          <w:rFonts w:ascii="黑体" w:eastAsia="黑体" w:hAnsi="黑体" w:hint="eastAsia"/>
        </w:rPr>
        <w:t>贩运和</w:t>
      </w:r>
      <w:r>
        <w:rPr>
          <w:rFonts w:ascii="黑体" w:eastAsia="黑体" w:hAnsi="黑体" w:hint="eastAsia"/>
        </w:rPr>
        <w:t>性剥削</w:t>
      </w:r>
    </w:p>
    <w:p w14:paraId="715D93C9" w14:textId="77777777" w:rsidR="00FC35CD" w:rsidRDefault="00FC35CD" w:rsidP="00FC35CD">
      <w:pPr>
        <w:pStyle w:val="SingleTxt"/>
      </w:pPr>
      <w:r>
        <w:rPr>
          <w:rFonts w:hint="eastAsia"/>
        </w:rPr>
        <w:t>25.</w:t>
      </w:r>
      <w:r>
        <w:rPr>
          <w:rFonts w:hint="eastAsia"/>
        </w:rPr>
        <w:tab/>
      </w:r>
      <w:r>
        <w:rPr>
          <w:rFonts w:hint="eastAsia"/>
        </w:rPr>
        <w:t>委员会承认打击人口贩运全国委员会和人口贩运受害者转介和支持全国机制所做工作，但对两机构缺乏协调及该委员会人力、技术和财政资源不足感到关切。它还感到关切的是：</w:t>
      </w:r>
    </w:p>
    <w:p w14:paraId="2DFB7E5B" w14:textId="77777777" w:rsidR="00FC35CD" w:rsidRDefault="00FC35CD" w:rsidP="00FC35CD">
      <w:pPr>
        <w:pStyle w:val="SingleTxt"/>
      </w:pPr>
      <w:r>
        <w:rPr>
          <w:rFonts w:hint="eastAsia"/>
        </w:rPr>
        <w:tab/>
        <w:t>(a)</w:t>
      </w:r>
      <w:r>
        <w:tab/>
      </w:r>
      <w:r>
        <w:rPr>
          <w:rFonts w:hint="eastAsia"/>
        </w:rPr>
        <w:t>缔</w:t>
      </w:r>
      <w:r w:rsidRPr="00420578">
        <w:rPr>
          <w:rFonts w:hint="eastAsia"/>
          <w:spacing w:val="-4"/>
        </w:rPr>
        <w:t>约国</w:t>
      </w:r>
      <w:r>
        <w:rPr>
          <w:rFonts w:hint="eastAsia"/>
          <w:spacing w:val="-4"/>
        </w:rPr>
        <w:t>事实上</w:t>
      </w:r>
      <w:r w:rsidRPr="00420578">
        <w:rPr>
          <w:rFonts w:hint="eastAsia"/>
          <w:spacing w:val="-4"/>
        </w:rPr>
        <w:t>是出于性剥削和强迫劳动目的贩运妇女和女童的目的地和过境国；</w:t>
      </w:r>
    </w:p>
    <w:p w14:paraId="242B381C" w14:textId="77777777" w:rsidR="00FC35CD" w:rsidRDefault="00FC35CD" w:rsidP="00FC35CD">
      <w:pPr>
        <w:pStyle w:val="SingleTxt"/>
      </w:pPr>
      <w:r>
        <w:rPr>
          <w:rFonts w:hint="eastAsia"/>
        </w:rPr>
        <w:tab/>
        <w:t>(b)</w:t>
      </w:r>
      <w:r>
        <w:tab/>
      </w:r>
      <w:r>
        <w:rPr>
          <w:rFonts w:hint="eastAsia"/>
        </w:rPr>
        <w:t>有报告称，</w:t>
      </w:r>
      <w:r>
        <w:rPr>
          <w:rFonts w:hint="eastAsia"/>
        </w:rPr>
        <w:t>2018</w:t>
      </w:r>
      <w:r>
        <w:rPr>
          <w:rFonts w:hint="eastAsia"/>
        </w:rPr>
        <w:t>年，由于贫困和缺乏经济机会，在属于弱势罗姆社区的年轻妇女中发生了</w:t>
      </w:r>
      <w:r>
        <w:rPr>
          <w:rFonts w:hint="eastAsia"/>
        </w:rPr>
        <w:t>64</w:t>
      </w:r>
      <w:r>
        <w:rPr>
          <w:rFonts w:hint="eastAsia"/>
        </w:rPr>
        <w:t>起向国外出售儿童和器官的案件；</w:t>
      </w:r>
    </w:p>
    <w:p w14:paraId="291455DA" w14:textId="77777777" w:rsidR="00FC35CD" w:rsidRDefault="00FC35CD" w:rsidP="00FC35CD">
      <w:pPr>
        <w:pStyle w:val="SingleTxt"/>
      </w:pPr>
      <w:r>
        <w:rPr>
          <w:rFonts w:hint="eastAsia"/>
        </w:rPr>
        <w:tab/>
        <w:t>(c)</w:t>
      </w:r>
      <w:r>
        <w:tab/>
      </w:r>
      <w:r>
        <w:rPr>
          <w:rFonts w:hint="eastAsia"/>
        </w:rPr>
        <w:t>对包括妇女和女童在内的贩运受害者未曾提供保护和资金充足的支助服务，公职人员对这些贩运相关指标缺乏了解和理解；；</w:t>
      </w:r>
    </w:p>
    <w:p w14:paraId="0C2E5135" w14:textId="77777777" w:rsidR="00FC35CD" w:rsidRDefault="00FC35CD" w:rsidP="00FC35CD">
      <w:pPr>
        <w:pStyle w:val="SingleTxt"/>
      </w:pPr>
      <w:r>
        <w:rPr>
          <w:rFonts w:hint="eastAsia"/>
        </w:rPr>
        <w:tab/>
        <w:t>(d)</w:t>
      </w:r>
      <w:r>
        <w:tab/>
      </w:r>
      <w:r>
        <w:rPr>
          <w:rFonts w:hint="eastAsia"/>
        </w:rPr>
        <w:t>缺乏关于贩运受害妇女和女童特别是弱势群体受害妇女康复和重返社会服务的信息，包括缺乏有关庇护所和心理援助的信息，以及缺乏关于卖淫妇女退出方案的信息。</w:t>
      </w:r>
    </w:p>
    <w:p w14:paraId="67EE1CE4" w14:textId="77777777" w:rsidR="00FC35CD" w:rsidRPr="00CC3DCB" w:rsidRDefault="00FC35CD" w:rsidP="00FC35CD">
      <w:pPr>
        <w:pStyle w:val="SingleTxt"/>
        <w:rPr>
          <w:rFonts w:ascii="黑体" w:eastAsia="黑体" w:hAnsi="黑体"/>
        </w:rPr>
      </w:pPr>
      <w:r>
        <w:rPr>
          <w:rFonts w:hint="eastAsia"/>
        </w:rPr>
        <w:t>26.</w:t>
      </w:r>
      <w:r>
        <w:rPr>
          <w:rFonts w:hint="eastAsia"/>
        </w:rPr>
        <w:tab/>
      </w:r>
      <w:r w:rsidRPr="00CC3DCB">
        <w:rPr>
          <w:rFonts w:ascii="黑体" w:eastAsia="黑体" w:hAnsi="黑体" w:hint="eastAsia"/>
        </w:rPr>
        <w:t>委员会建议缔约国：</w:t>
      </w:r>
    </w:p>
    <w:p w14:paraId="34D75156" w14:textId="77777777" w:rsidR="00FC35CD" w:rsidRPr="00941589" w:rsidRDefault="00FC35CD" w:rsidP="00FC35CD">
      <w:pPr>
        <w:pStyle w:val="SingleTxt"/>
        <w:rPr>
          <w:rFonts w:eastAsia="黑体"/>
        </w:rPr>
      </w:pPr>
      <w:r w:rsidRPr="00941589">
        <w:rPr>
          <w:rFonts w:eastAsia="黑体"/>
        </w:rPr>
        <w:tab/>
        <w:t>(a)</w:t>
      </w:r>
      <w:r w:rsidRPr="00941589">
        <w:rPr>
          <w:rFonts w:eastAsia="黑体"/>
        </w:rPr>
        <w:tab/>
      </w:r>
      <w:r w:rsidRPr="00941589">
        <w:rPr>
          <w:rFonts w:eastAsia="黑体"/>
        </w:rPr>
        <w:t>向全国打击贩运人口委员会分配适当的人力、技术和财政资源；</w:t>
      </w:r>
    </w:p>
    <w:p w14:paraId="43582968" w14:textId="77777777" w:rsidR="00FC35CD" w:rsidRPr="00941589" w:rsidRDefault="00FC35CD" w:rsidP="00FC35CD">
      <w:pPr>
        <w:pStyle w:val="SingleTxt"/>
        <w:rPr>
          <w:rFonts w:eastAsia="黑体"/>
        </w:rPr>
      </w:pPr>
      <w:r w:rsidRPr="00941589">
        <w:rPr>
          <w:rFonts w:eastAsia="黑体"/>
        </w:rPr>
        <w:tab/>
        <w:t>(b)</w:t>
      </w:r>
      <w:r w:rsidRPr="00941589">
        <w:rPr>
          <w:rFonts w:eastAsia="黑体"/>
        </w:rPr>
        <w:tab/>
      </w:r>
      <w:r w:rsidRPr="00941589">
        <w:rPr>
          <w:rFonts w:eastAsia="黑体"/>
        </w:rPr>
        <w:t>确保有效执行打击贩运人口的法律，包括为此向法官、检察官、边防警察、移民当局和其他执法官员提供有系统的培训，内容是及早查明贩运受害者并向其介绍相关服务和对性别敏感的审讯方法；</w:t>
      </w:r>
    </w:p>
    <w:p w14:paraId="28395A77" w14:textId="77777777" w:rsidR="00FC35CD" w:rsidRPr="00941589" w:rsidRDefault="00FC35CD" w:rsidP="00FC35CD">
      <w:pPr>
        <w:pStyle w:val="SingleTxt"/>
        <w:rPr>
          <w:rFonts w:eastAsia="黑体"/>
        </w:rPr>
      </w:pPr>
      <w:r w:rsidRPr="00941589">
        <w:rPr>
          <w:rFonts w:eastAsia="黑体"/>
        </w:rPr>
        <w:tab/>
        <w:t>(c)</w:t>
      </w:r>
      <w:r w:rsidRPr="00941589">
        <w:rPr>
          <w:rFonts w:eastAsia="黑体"/>
        </w:rPr>
        <w:tab/>
      </w:r>
      <w:r w:rsidRPr="00941589">
        <w:rPr>
          <w:rFonts w:eastAsia="黑体"/>
        </w:rPr>
        <w:t>调查涉及向国外出售儿童和器官的案件，惩罚肇事者，为受害者提供康复和援助，并给处境不利的罗姆人社区提供保护和经济机会；</w:t>
      </w:r>
    </w:p>
    <w:p w14:paraId="3B505F59" w14:textId="77777777" w:rsidR="00FC35CD" w:rsidRPr="00941589" w:rsidRDefault="00FC35CD" w:rsidP="00FC35CD">
      <w:pPr>
        <w:pStyle w:val="SingleTxt"/>
        <w:rPr>
          <w:rFonts w:eastAsia="黑体"/>
        </w:rPr>
      </w:pPr>
      <w:r w:rsidRPr="00941589">
        <w:rPr>
          <w:rFonts w:eastAsia="黑体"/>
        </w:rPr>
        <w:tab/>
        <w:t>(d)</w:t>
      </w:r>
      <w:r w:rsidRPr="00941589">
        <w:rPr>
          <w:rFonts w:eastAsia="黑体"/>
        </w:rPr>
        <w:tab/>
      </w:r>
      <w:r w:rsidRPr="00941589">
        <w:rPr>
          <w:rFonts w:eastAsia="黑体"/>
        </w:rPr>
        <w:t>确保向贩运受害者提供高效方便的服务和赔偿；</w:t>
      </w:r>
    </w:p>
    <w:p w14:paraId="1566A430" w14:textId="77777777" w:rsidR="00FC35CD" w:rsidRPr="00CC3DCB" w:rsidRDefault="00FC35CD" w:rsidP="00FC35CD">
      <w:pPr>
        <w:pStyle w:val="SingleTxt"/>
        <w:rPr>
          <w:rFonts w:ascii="黑体" w:eastAsia="黑体" w:hAnsi="黑体"/>
        </w:rPr>
      </w:pPr>
      <w:r w:rsidRPr="00941589">
        <w:rPr>
          <w:rFonts w:eastAsia="黑体"/>
        </w:rPr>
        <w:tab/>
        <w:t>(e)</w:t>
      </w:r>
      <w:r w:rsidRPr="00941589">
        <w:rPr>
          <w:rFonts w:eastAsia="黑体"/>
        </w:rPr>
        <w:tab/>
      </w:r>
      <w:r w:rsidRPr="00941589">
        <w:rPr>
          <w:rFonts w:eastAsia="黑体"/>
        </w:rPr>
        <w:t>收集</w:t>
      </w:r>
      <w:r w:rsidRPr="00941589">
        <w:rPr>
          <w:rFonts w:eastAsia="黑体"/>
          <w:spacing w:val="-2"/>
        </w:rPr>
        <w:t>有关被迫卖淫妇</w:t>
      </w:r>
      <w:r w:rsidRPr="00CC3DCB">
        <w:rPr>
          <w:rFonts w:ascii="黑体" w:eastAsia="黑体" w:hAnsi="黑体" w:hint="eastAsia"/>
          <w:spacing w:val="-2"/>
        </w:rPr>
        <w:t>女的信息和数据，解决卖淫中剥削妇女和女童的根本原因，采取措施减少卖淫的需求方，并向卖淫妇女提供退出方案和替代创收机会。</w:t>
      </w:r>
    </w:p>
    <w:p w14:paraId="1DB58A86" w14:textId="77777777" w:rsidR="00FC35CD" w:rsidRPr="00CC3DCB" w:rsidRDefault="00FC35CD" w:rsidP="00FC35CD">
      <w:pPr>
        <w:pStyle w:val="SingleTxt"/>
        <w:rPr>
          <w:rFonts w:ascii="黑体" w:eastAsia="黑体" w:hAnsi="黑体"/>
        </w:rPr>
      </w:pPr>
      <w:r w:rsidRPr="00CC3DCB">
        <w:rPr>
          <w:rFonts w:ascii="黑体" w:eastAsia="黑体" w:hAnsi="黑体" w:hint="eastAsia"/>
        </w:rPr>
        <w:t>妇女平等参与政治和公共生活</w:t>
      </w:r>
    </w:p>
    <w:p w14:paraId="588FFC49" w14:textId="77777777" w:rsidR="00FC35CD" w:rsidRDefault="00FC35CD" w:rsidP="00FC35CD">
      <w:pPr>
        <w:pStyle w:val="SingleTxt"/>
      </w:pPr>
      <w:r>
        <w:rPr>
          <w:rFonts w:hint="eastAsia"/>
        </w:rPr>
        <w:t>27.</w:t>
      </w:r>
      <w:r>
        <w:rPr>
          <w:rFonts w:hint="eastAsia"/>
        </w:rPr>
        <w:tab/>
      </w:r>
      <w:r>
        <w:rPr>
          <w:rFonts w:hint="eastAsia"/>
        </w:rPr>
        <w:t>委员会关切地注意到：</w:t>
      </w:r>
      <w:bookmarkStart w:id="1" w:name="_GoBack"/>
      <w:bookmarkEnd w:id="1"/>
    </w:p>
    <w:p w14:paraId="26CE72E8" w14:textId="77777777" w:rsidR="00FC35CD" w:rsidRDefault="00FC35CD" w:rsidP="00FC35CD">
      <w:pPr>
        <w:pStyle w:val="SingleTxt"/>
      </w:pPr>
      <w:r>
        <w:rPr>
          <w:rFonts w:hint="eastAsia"/>
        </w:rPr>
        <w:tab/>
        <w:t>(a)</w:t>
      </w:r>
      <w:r>
        <w:tab/>
      </w:r>
      <w:r>
        <w:rPr>
          <w:rFonts w:hint="eastAsia"/>
        </w:rPr>
        <w:t>妇女，特别是残疾妇女和罗姆妇女在议会、部长级职位、市级决策职位和外交部门高级职位中的代表性继续不足的事实；</w:t>
      </w:r>
    </w:p>
    <w:p w14:paraId="591B07D2" w14:textId="77777777" w:rsidR="00FC35CD" w:rsidRDefault="00FC35CD" w:rsidP="00FC35CD">
      <w:pPr>
        <w:pStyle w:val="SingleTxt"/>
      </w:pPr>
      <w:r>
        <w:rPr>
          <w:rFonts w:hint="eastAsia"/>
        </w:rPr>
        <w:tab/>
        <w:t>(b)</w:t>
      </w:r>
      <w:r>
        <w:tab/>
      </w:r>
      <w:r>
        <w:rPr>
          <w:rFonts w:hint="eastAsia"/>
        </w:rPr>
        <w:t>缺乏确保罗姆妇女、农村妇女和残疾妇女参与政治和公共生活的方案和战略；</w:t>
      </w:r>
    </w:p>
    <w:p w14:paraId="7D07DF73" w14:textId="77777777" w:rsidR="00FC35CD" w:rsidRDefault="00FC35CD" w:rsidP="00FC35CD">
      <w:pPr>
        <w:pStyle w:val="SingleTxt"/>
      </w:pPr>
      <w:r>
        <w:rPr>
          <w:rFonts w:hint="eastAsia"/>
        </w:rPr>
        <w:tab/>
        <w:t>(c)</w:t>
      </w:r>
      <w:r>
        <w:tab/>
      </w:r>
      <w:r w:rsidRPr="0006294C">
        <w:t>对</w:t>
      </w:r>
      <w:r w:rsidRPr="0006294C">
        <w:rPr>
          <w:rFonts w:hint="eastAsia"/>
        </w:rPr>
        <w:t>竞选公职的</w:t>
      </w:r>
      <w:r w:rsidRPr="0006294C">
        <w:t>女性候选人</w:t>
      </w:r>
      <w:r w:rsidRPr="0006294C">
        <w:rPr>
          <w:rFonts w:hint="eastAsia"/>
        </w:rPr>
        <w:t>未曾开展关于</w:t>
      </w:r>
      <w:r>
        <w:rPr>
          <w:rFonts w:hint="eastAsia"/>
        </w:rPr>
        <w:t>政治领导力、谈判和竞选技能的培训。</w:t>
      </w:r>
    </w:p>
    <w:p w14:paraId="321428A7" w14:textId="77777777" w:rsidR="00FC35CD" w:rsidRPr="00C67223" w:rsidRDefault="00FC35CD" w:rsidP="00FC35CD">
      <w:pPr>
        <w:pStyle w:val="SingleTxt"/>
        <w:rPr>
          <w:rFonts w:ascii="黑体" w:eastAsia="黑体" w:hAnsi="黑体"/>
        </w:rPr>
      </w:pPr>
      <w:r>
        <w:rPr>
          <w:rFonts w:hint="eastAsia"/>
        </w:rPr>
        <w:t>28.</w:t>
      </w:r>
      <w:r>
        <w:rPr>
          <w:rFonts w:hint="eastAsia"/>
        </w:rPr>
        <w:tab/>
      </w:r>
      <w:r w:rsidRPr="00C67223">
        <w:rPr>
          <w:rFonts w:ascii="黑体" w:eastAsia="黑体" w:hAnsi="黑体" w:hint="eastAsia"/>
        </w:rPr>
        <w:t>委员会建议缔约国：</w:t>
      </w:r>
    </w:p>
    <w:p w14:paraId="4A685B78" w14:textId="77777777" w:rsidR="00FC35CD" w:rsidRPr="00941589" w:rsidRDefault="00FC35CD" w:rsidP="00FC35CD">
      <w:pPr>
        <w:pStyle w:val="SingleTxt"/>
        <w:rPr>
          <w:rFonts w:eastAsia="黑体"/>
        </w:rPr>
      </w:pPr>
      <w:r w:rsidRPr="00941589">
        <w:rPr>
          <w:rFonts w:eastAsia="黑体"/>
        </w:rPr>
        <w:tab/>
        <w:t>(a)</w:t>
      </w:r>
      <w:r w:rsidRPr="00941589">
        <w:rPr>
          <w:rFonts w:eastAsia="黑体"/>
        </w:rPr>
        <w:tab/>
      </w:r>
      <w:r w:rsidRPr="00941589">
        <w:rPr>
          <w:rFonts w:eastAsia="黑体"/>
        </w:rPr>
        <w:t>加大让包括罗姆妇女、农村妇女和残疾妇女在内的妇女参与政治和公共生活，特别是决策层面政治和公共生活的力度；</w:t>
      </w:r>
    </w:p>
    <w:p w14:paraId="2089EB67" w14:textId="77777777" w:rsidR="00FC35CD" w:rsidRPr="00C67223" w:rsidRDefault="00FC35CD" w:rsidP="00FC35CD">
      <w:pPr>
        <w:pStyle w:val="SingleTxt"/>
        <w:rPr>
          <w:rFonts w:ascii="黑体" w:eastAsia="黑体" w:hAnsi="黑体"/>
        </w:rPr>
      </w:pPr>
      <w:r w:rsidRPr="00941589">
        <w:rPr>
          <w:rFonts w:eastAsia="黑体"/>
        </w:rPr>
        <w:tab/>
        <w:t>(b)</w:t>
      </w:r>
      <w:r w:rsidRPr="00941589">
        <w:rPr>
          <w:rFonts w:eastAsia="黑体"/>
        </w:rPr>
        <w:tab/>
      </w:r>
      <w:r w:rsidRPr="00941589">
        <w:rPr>
          <w:rFonts w:eastAsia="黑体"/>
        </w:rPr>
        <w:t>根据《公约》第</w:t>
      </w:r>
      <w:r w:rsidRPr="00941589">
        <w:rPr>
          <w:rFonts w:eastAsia="黑体"/>
        </w:rPr>
        <w:t>4(1)</w:t>
      </w:r>
      <w:r w:rsidRPr="00941589">
        <w:rPr>
          <w:rFonts w:eastAsia="黑体"/>
        </w:rPr>
        <w:t>条和委员会第</w:t>
      </w:r>
      <w:r w:rsidRPr="00941589">
        <w:rPr>
          <w:rFonts w:eastAsia="黑体"/>
        </w:rPr>
        <w:t>25(2004)</w:t>
      </w:r>
      <w:r w:rsidRPr="00941589">
        <w:rPr>
          <w:rFonts w:eastAsia="黑体"/>
        </w:rPr>
        <w:t>号一般性建议，采取诸如在公共和外交部门实行法定配额和性别平等制度之类暂定特别措施，</w:t>
      </w:r>
      <w:r w:rsidRPr="00C67223">
        <w:rPr>
          <w:rFonts w:ascii="黑体" w:eastAsia="黑体" w:hAnsi="黑体" w:hint="eastAsia"/>
        </w:rPr>
        <w:t>以增加妇女在议会、部长职位、司法机构以及公共和外交部门的代表性；</w:t>
      </w:r>
    </w:p>
    <w:p w14:paraId="74228BEE" w14:textId="77777777" w:rsidR="00613A7A" w:rsidRDefault="00FC35CD" w:rsidP="00613A7A">
      <w:pPr>
        <w:pStyle w:val="SingleTxt"/>
        <w:spacing w:after="180"/>
        <w:rPr>
          <w:rFonts w:ascii="黑体" w:eastAsia="黑体" w:hAnsi="黑体"/>
        </w:rPr>
      </w:pPr>
      <w:r w:rsidRPr="00C67223">
        <w:rPr>
          <w:rFonts w:ascii="黑体" w:eastAsia="黑体" w:hAnsi="黑体" w:hint="eastAsia"/>
        </w:rPr>
        <w:tab/>
      </w:r>
      <w:r w:rsidRPr="00941589">
        <w:rPr>
          <w:rFonts w:eastAsia="黑体"/>
        </w:rPr>
        <w:t>(c)</w:t>
      </w:r>
      <w:r w:rsidRPr="00941589">
        <w:rPr>
          <w:rFonts w:eastAsia="黑体"/>
        </w:rPr>
        <w:tab/>
      </w:r>
      <w:r w:rsidRPr="00941589">
        <w:rPr>
          <w:rFonts w:eastAsia="黑体"/>
        </w:rPr>
        <w:t>特别是为面临交叉形式歧视的妇女，如罗姆妇女、农村妇女和残疾妇女提供竞选和政治领导技能方面的能力建设，并提高政治领导人和公众对这样一个事实的认识</w:t>
      </w:r>
      <w:r w:rsidR="00613A7A">
        <w:rPr>
          <w:rFonts w:eastAsia="黑体" w:hint="eastAsia"/>
        </w:rPr>
        <w:t>：</w:t>
      </w:r>
      <w:r w:rsidRPr="00941589">
        <w:rPr>
          <w:rFonts w:eastAsia="黑体"/>
        </w:rPr>
        <w:t>妇女</w:t>
      </w:r>
      <w:r w:rsidRPr="00C67223">
        <w:rPr>
          <w:rFonts w:ascii="黑体" w:eastAsia="黑体" w:hAnsi="黑体" w:hint="eastAsia"/>
        </w:rPr>
        <w:t>在与男子平等的基础上充分、平等、自由和民主地参与政治和公共生活是充分落实妇女人权的一项要求。</w:t>
      </w:r>
    </w:p>
    <w:p w14:paraId="592452DB" w14:textId="6A6D09EC" w:rsidR="00FC35CD" w:rsidRPr="00C67223" w:rsidRDefault="00FC35CD" w:rsidP="00613A7A">
      <w:pPr>
        <w:pStyle w:val="SingleTxt"/>
        <w:spacing w:after="180"/>
        <w:rPr>
          <w:rFonts w:ascii="黑体" w:eastAsia="黑体" w:hAnsi="黑体"/>
        </w:rPr>
      </w:pPr>
      <w:r w:rsidRPr="00C67223">
        <w:rPr>
          <w:rFonts w:ascii="黑体" w:eastAsia="黑体" w:hAnsi="黑体" w:hint="eastAsia"/>
        </w:rPr>
        <w:t>教育</w:t>
      </w:r>
    </w:p>
    <w:p w14:paraId="618B8CA0" w14:textId="77777777" w:rsidR="00FC35CD" w:rsidRDefault="00FC35CD" w:rsidP="00FC35CD">
      <w:pPr>
        <w:pStyle w:val="SingleTxt"/>
        <w:spacing w:after="180"/>
      </w:pPr>
      <w:r>
        <w:rPr>
          <w:rFonts w:hint="eastAsia"/>
        </w:rPr>
        <w:t>29.</w:t>
      </w:r>
      <w:r>
        <w:rPr>
          <w:rFonts w:hint="eastAsia"/>
        </w:rPr>
        <w:tab/>
      </w:r>
      <w:r>
        <w:rPr>
          <w:rFonts w:hint="eastAsia"/>
        </w:rPr>
        <w:t>委员会注意到缔约国的教育改革，特别是</w:t>
      </w:r>
      <w:r>
        <w:rPr>
          <w:rFonts w:hint="eastAsia"/>
        </w:rPr>
        <w:t>2015</w:t>
      </w:r>
      <w:r>
        <w:rPr>
          <w:rFonts w:hint="eastAsia"/>
        </w:rPr>
        <w:t>年通过了新的《学前和学校教育法》，在所有幼儿园和学校引入了包容性教育，以及《减少</w:t>
      </w:r>
      <w:r>
        <w:rPr>
          <w:rFonts w:hint="eastAsia"/>
        </w:rPr>
        <w:t>2013-2020</w:t>
      </w:r>
      <w:r>
        <w:rPr>
          <w:rFonts w:hint="eastAsia"/>
        </w:rPr>
        <w:t>年期间提前离校国家战略》、《</w:t>
      </w:r>
      <w:r>
        <w:rPr>
          <w:rFonts w:hint="eastAsia"/>
        </w:rPr>
        <w:t>2015-2020</w:t>
      </w:r>
      <w:r>
        <w:rPr>
          <w:rFonts w:hint="eastAsia"/>
        </w:rPr>
        <w:t>年期间少数族裔儿童和学生教育融合国家战略》、《</w:t>
      </w:r>
      <w:r>
        <w:rPr>
          <w:rFonts w:hint="eastAsia"/>
        </w:rPr>
        <w:t>2014-2020</w:t>
      </w:r>
      <w:r>
        <w:rPr>
          <w:rFonts w:hint="eastAsia"/>
        </w:rPr>
        <w:t>年期间终身学习国家战略》、《</w:t>
      </w:r>
      <w:r>
        <w:rPr>
          <w:rFonts w:hint="eastAsia"/>
        </w:rPr>
        <w:t>2014-2020</w:t>
      </w:r>
      <w:r>
        <w:rPr>
          <w:rFonts w:hint="eastAsia"/>
        </w:rPr>
        <w:t>年期间改善和促进扫盲国家战略》。但委员会感到关切的是：</w:t>
      </w:r>
    </w:p>
    <w:p w14:paraId="419EB3A3" w14:textId="77777777" w:rsidR="00FC35CD" w:rsidRDefault="00FC35CD" w:rsidP="00FC35CD">
      <w:pPr>
        <w:pStyle w:val="SingleTxt"/>
        <w:spacing w:after="180"/>
      </w:pPr>
      <w:r>
        <w:rPr>
          <w:rFonts w:hint="eastAsia"/>
        </w:rPr>
        <w:tab/>
        <w:t>(a)</w:t>
      </w:r>
      <w:r>
        <w:tab/>
      </w:r>
      <w:r>
        <w:rPr>
          <w:rFonts w:hint="eastAsia"/>
        </w:rPr>
        <w:t>没有对各种政策和战略进行中期影响评估；</w:t>
      </w:r>
    </w:p>
    <w:p w14:paraId="005E4212" w14:textId="77777777" w:rsidR="00FC35CD" w:rsidRDefault="00FC35CD" w:rsidP="00FC35CD">
      <w:pPr>
        <w:pStyle w:val="SingleTxt"/>
        <w:spacing w:after="180"/>
      </w:pPr>
      <w:r>
        <w:rPr>
          <w:rFonts w:hint="eastAsia"/>
        </w:rPr>
        <w:tab/>
        <w:t>(b)</w:t>
      </w:r>
      <w:r>
        <w:tab/>
      </w:r>
      <w:r>
        <w:rPr>
          <w:rFonts w:hint="eastAsia"/>
        </w:rPr>
        <w:t>尽管通过了</w:t>
      </w:r>
      <w:r>
        <w:rPr>
          <w:rFonts w:hint="eastAsia"/>
        </w:rPr>
        <w:t>2014-2020</w:t>
      </w:r>
      <w:r>
        <w:rPr>
          <w:rFonts w:hint="eastAsia"/>
        </w:rPr>
        <w:t>年科学和教育促进智能增长方案，但妇女和女童仍然集中在传统上由女性主导的研究领域，并且在科学、技术、工程和数学领域代表性不足，这就降低了她们的就业前景；</w:t>
      </w:r>
    </w:p>
    <w:p w14:paraId="3B195573" w14:textId="77777777" w:rsidR="00FC35CD" w:rsidRDefault="00FC35CD" w:rsidP="00FC35CD">
      <w:pPr>
        <w:pStyle w:val="SingleTxt"/>
        <w:spacing w:after="180"/>
      </w:pPr>
      <w:r>
        <w:rPr>
          <w:rFonts w:hint="eastAsia"/>
        </w:rPr>
        <w:tab/>
        <w:t>(c)</w:t>
      </w:r>
      <w:r>
        <w:tab/>
      </w:r>
      <w:r>
        <w:rPr>
          <w:rFonts w:hint="eastAsia"/>
        </w:rPr>
        <w:t>学校课程因为缺乏性别平等教育，也没有关于性健康和生殖健康和权利的系统教育，因而强化了性别陈规定型观念；</w:t>
      </w:r>
    </w:p>
    <w:p w14:paraId="55EFFD5C" w14:textId="77777777" w:rsidR="00FC35CD" w:rsidRDefault="00FC35CD" w:rsidP="00FC35CD">
      <w:pPr>
        <w:pStyle w:val="SingleTxt"/>
        <w:spacing w:after="180"/>
      </w:pPr>
      <w:r>
        <w:rPr>
          <w:rFonts w:hint="eastAsia"/>
        </w:rPr>
        <w:tab/>
        <w:t>(d)</w:t>
      </w:r>
      <w:r>
        <w:tab/>
      </w:r>
      <w:r>
        <w:rPr>
          <w:rFonts w:hint="eastAsia"/>
        </w:rPr>
        <w:t>城市和农村地区之间存在差距，在各级教育中包括罗姆女童和妇女在内的女童和妇女的留校率相对较低。</w:t>
      </w:r>
    </w:p>
    <w:p w14:paraId="72D79FD0" w14:textId="77777777" w:rsidR="00FC35CD" w:rsidRPr="00DD2C10" w:rsidRDefault="00FC35CD" w:rsidP="00FC35CD">
      <w:pPr>
        <w:pStyle w:val="SingleTxt"/>
        <w:spacing w:after="180"/>
        <w:rPr>
          <w:rFonts w:ascii="黑体" w:eastAsia="黑体" w:hAnsi="黑体"/>
        </w:rPr>
      </w:pPr>
      <w:r>
        <w:rPr>
          <w:rFonts w:hint="eastAsia"/>
        </w:rPr>
        <w:t>30.</w:t>
      </w:r>
      <w:r>
        <w:rPr>
          <w:rFonts w:hint="eastAsia"/>
        </w:rPr>
        <w:tab/>
      </w:r>
      <w:r w:rsidRPr="00DD2C10">
        <w:rPr>
          <w:rFonts w:ascii="黑体" w:eastAsia="黑体" w:hAnsi="黑体" w:hint="eastAsia"/>
        </w:rPr>
        <w:t>回顾其关于女</w:t>
      </w:r>
      <w:r>
        <w:rPr>
          <w:rFonts w:ascii="黑体" w:eastAsia="黑体" w:hAnsi="黑体" w:hint="eastAsia"/>
        </w:rPr>
        <w:t>童</w:t>
      </w:r>
      <w:r w:rsidRPr="00DD2C10">
        <w:rPr>
          <w:rFonts w:ascii="黑体" w:eastAsia="黑体" w:hAnsi="黑体" w:hint="eastAsia"/>
        </w:rPr>
        <w:t>和妇女受教育权</w:t>
      </w:r>
      <w:r w:rsidRPr="00613A7A">
        <w:rPr>
          <w:rFonts w:eastAsia="黑体"/>
        </w:rPr>
        <w:t>利的第</w:t>
      </w:r>
      <w:r w:rsidRPr="00613A7A">
        <w:rPr>
          <w:rFonts w:eastAsia="黑体"/>
        </w:rPr>
        <w:t>36(2017)</w:t>
      </w:r>
      <w:r w:rsidRPr="00613A7A">
        <w:rPr>
          <w:rFonts w:eastAsia="黑体"/>
        </w:rPr>
        <w:t>号一般性建</w:t>
      </w:r>
      <w:r w:rsidRPr="00DD2C10">
        <w:rPr>
          <w:rFonts w:ascii="黑体" w:eastAsia="黑体" w:hAnsi="黑体" w:hint="eastAsia"/>
        </w:rPr>
        <w:t>议，委员会建议缔约国：</w:t>
      </w:r>
    </w:p>
    <w:p w14:paraId="551AF642" w14:textId="77777777" w:rsidR="00FC35CD" w:rsidRPr="00941589" w:rsidRDefault="00FC35CD" w:rsidP="00FC35CD">
      <w:pPr>
        <w:pStyle w:val="SingleTxt"/>
        <w:spacing w:after="180"/>
        <w:rPr>
          <w:rFonts w:eastAsia="黑体"/>
        </w:rPr>
      </w:pPr>
      <w:r w:rsidRPr="00941589">
        <w:rPr>
          <w:rFonts w:eastAsia="黑体"/>
        </w:rPr>
        <w:tab/>
        <w:t>(a)</w:t>
      </w:r>
      <w:r w:rsidRPr="00941589">
        <w:rPr>
          <w:rFonts w:eastAsia="黑体"/>
        </w:rPr>
        <w:tab/>
      </w:r>
      <w:r w:rsidRPr="00941589">
        <w:rPr>
          <w:rFonts w:eastAsia="黑体"/>
        </w:rPr>
        <w:t>对教育领域各类政策和战略进行影响评估，并采取有针对性的措施以降低辍学率，重点是采取措施留住农村地区的在校女童、残疾女童和罗姆女童以及移民和难民女童，并提高她们在各级教育中的入学率；</w:t>
      </w:r>
    </w:p>
    <w:p w14:paraId="06661A05" w14:textId="77777777" w:rsidR="00FC35CD" w:rsidRPr="00941589" w:rsidRDefault="00FC35CD" w:rsidP="00FC35CD">
      <w:pPr>
        <w:pStyle w:val="SingleTxt"/>
        <w:spacing w:after="180"/>
        <w:rPr>
          <w:rFonts w:eastAsia="黑体"/>
        </w:rPr>
      </w:pPr>
      <w:r w:rsidRPr="00941589">
        <w:rPr>
          <w:rFonts w:eastAsia="黑体"/>
        </w:rPr>
        <w:tab/>
        <w:t>(b)</w:t>
      </w:r>
      <w:r w:rsidRPr="00941589">
        <w:rPr>
          <w:rFonts w:eastAsia="黑体"/>
        </w:rPr>
        <w:tab/>
      </w:r>
      <w:r w:rsidRPr="00941589">
        <w:rPr>
          <w:rFonts w:eastAsia="黑体"/>
        </w:rPr>
        <w:t>消除可能阻碍女童在诸如科学、技术、工程、数学和信息技术之类传统上由男性主导的研究领域和职业道路入读的歧视性陈规定型看法和结构性障碍；并评估现有方案对多样化教育选择的影响；</w:t>
      </w:r>
    </w:p>
    <w:p w14:paraId="1600F5B4" w14:textId="77777777" w:rsidR="00FC35CD" w:rsidRPr="00941589" w:rsidRDefault="00FC35CD" w:rsidP="00FC35CD">
      <w:pPr>
        <w:pStyle w:val="SingleTxt"/>
        <w:spacing w:after="180"/>
        <w:rPr>
          <w:rFonts w:eastAsia="黑体"/>
        </w:rPr>
      </w:pPr>
      <w:r w:rsidRPr="00941589">
        <w:rPr>
          <w:rFonts w:eastAsia="黑体"/>
        </w:rPr>
        <w:tab/>
        <w:t>(c)</w:t>
      </w:r>
      <w:r w:rsidRPr="00941589">
        <w:rPr>
          <w:rFonts w:eastAsia="黑体"/>
        </w:rPr>
        <w:tab/>
      </w:r>
      <w:r w:rsidRPr="00941589">
        <w:rPr>
          <w:rFonts w:eastAsia="黑体"/>
        </w:rPr>
        <w:t>采取协调一致的措施，鼓励男孩和女童在学科和职业选择方面更加多样化，提高女童做学徒、学手艺以及从事科学技术工作的比例；</w:t>
      </w:r>
    </w:p>
    <w:p w14:paraId="3DDEC399" w14:textId="77777777" w:rsidR="00FC35CD" w:rsidRPr="00941589" w:rsidRDefault="00FC35CD" w:rsidP="00FC35CD">
      <w:pPr>
        <w:pStyle w:val="SingleTxt"/>
        <w:spacing w:after="180"/>
        <w:rPr>
          <w:rFonts w:eastAsia="黑体"/>
        </w:rPr>
      </w:pPr>
      <w:r w:rsidRPr="00941589">
        <w:rPr>
          <w:rFonts w:eastAsia="黑体"/>
        </w:rPr>
        <w:tab/>
        <w:t>(d)</w:t>
      </w:r>
      <w:r w:rsidRPr="00941589">
        <w:rPr>
          <w:rFonts w:eastAsia="黑体"/>
        </w:rPr>
        <w:tab/>
      </w:r>
      <w:r w:rsidRPr="00941589">
        <w:rPr>
          <w:rFonts w:eastAsia="黑体"/>
        </w:rPr>
        <w:t>确保各级教育均使用对性别敏感的教材；</w:t>
      </w:r>
    </w:p>
    <w:p w14:paraId="260289D1" w14:textId="77777777" w:rsidR="00FC35CD" w:rsidRPr="00DD2C10" w:rsidRDefault="00FC35CD" w:rsidP="00FC35CD">
      <w:pPr>
        <w:pStyle w:val="SingleTxt"/>
        <w:spacing w:after="180"/>
        <w:rPr>
          <w:rFonts w:ascii="黑体" w:eastAsia="黑体" w:hAnsi="黑体"/>
        </w:rPr>
      </w:pPr>
      <w:r w:rsidRPr="00941589">
        <w:rPr>
          <w:rFonts w:eastAsia="黑体"/>
        </w:rPr>
        <w:tab/>
        <w:t>(e)</w:t>
      </w:r>
      <w:r w:rsidRPr="00941589">
        <w:rPr>
          <w:rFonts w:eastAsia="黑体"/>
        </w:rPr>
        <w:tab/>
      </w:r>
      <w:r w:rsidRPr="00941589">
        <w:rPr>
          <w:rFonts w:eastAsia="黑体"/>
        </w:rPr>
        <w:t>制定以下内容并将其纳入学校课程：兼容并包且通俗易懂的性别平等内容，包括妇女权利、介绍公共生活中的</w:t>
      </w:r>
      <w:r w:rsidRPr="00DD2C10">
        <w:rPr>
          <w:rFonts w:ascii="黑体" w:eastAsia="黑体" w:hAnsi="黑体" w:hint="eastAsia"/>
        </w:rPr>
        <w:t>优秀妇女并预防性别陈规定型观念和性别歧视；适合各个年龄阶段的性健康和生殖健康和权利教育，包括针对青春期男童和女童的全面性教育，特别侧重负责任的性行为；</w:t>
      </w:r>
    </w:p>
    <w:p w14:paraId="4A6DEA78" w14:textId="77777777" w:rsidR="00FC35CD" w:rsidRPr="00DD2C10" w:rsidRDefault="00FC35CD" w:rsidP="00FC35CD">
      <w:pPr>
        <w:pStyle w:val="SingleTxt"/>
        <w:rPr>
          <w:rFonts w:ascii="黑体" w:eastAsia="黑体" w:hAnsi="黑体"/>
        </w:rPr>
      </w:pPr>
      <w:r w:rsidRPr="00DD2C10">
        <w:rPr>
          <w:rFonts w:ascii="黑体" w:eastAsia="黑体" w:hAnsi="黑体" w:hint="eastAsia"/>
        </w:rPr>
        <w:tab/>
        <w:t>(f)</w:t>
      </w:r>
      <w:r>
        <w:rPr>
          <w:rFonts w:ascii="黑体" w:eastAsia="黑体" w:hAnsi="黑体"/>
        </w:rPr>
        <w:tab/>
      </w:r>
      <w:r w:rsidRPr="00DD2C10">
        <w:rPr>
          <w:rFonts w:ascii="黑体" w:eastAsia="黑体" w:hAnsi="黑体" w:hint="eastAsia"/>
        </w:rPr>
        <w:t>考虑取消对幼儿园和学前教育的税收和额外支付，以减轻农村、罗姆人和移民家庭的负担。</w:t>
      </w:r>
    </w:p>
    <w:p w14:paraId="75C8EBBC" w14:textId="77777777" w:rsidR="00FC35CD" w:rsidRPr="00DD2C10" w:rsidRDefault="00FC35CD" w:rsidP="00FC35CD">
      <w:pPr>
        <w:pStyle w:val="SingleTxt"/>
        <w:rPr>
          <w:rFonts w:ascii="黑体" w:eastAsia="黑体" w:hAnsi="黑体"/>
        </w:rPr>
      </w:pPr>
      <w:r w:rsidRPr="00DD2C10">
        <w:rPr>
          <w:rFonts w:ascii="黑体" w:eastAsia="黑体" w:hAnsi="黑体" w:hint="eastAsia"/>
        </w:rPr>
        <w:t>就业</w:t>
      </w:r>
    </w:p>
    <w:p w14:paraId="38088BF3" w14:textId="77777777" w:rsidR="00FC35CD" w:rsidRDefault="00FC35CD" w:rsidP="00FC35CD">
      <w:pPr>
        <w:pStyle w:val="SingleTxt"/>
        <w:spacing w:after="120"/>
      </w:pPr>
      <w:r>
        <w:rPr>
          <w:rFonts w:hint="eastAsia"/>
        </w:rPr>
        <w:t>31.</w:t>
      </w:r>
      <w:r>
        <w:rPr>
          <w:rFonts w:hint="eastAsia"/>
        </w:rPr>
        <w:tab/>
      </w:r>
      <w:r>
        <w:rPr>
          <w:rFonts w:hint="eastAsia"/>
        </w:rPr>
        <w:t>委员会仍然感到关切的是，尽管劳工组织《</w:t>
      </w:r>
      <w:r>
        <w:rPr>
          <w:rFonts w:hint="eastAsia"/>
        </w:rPr>
        <w:t>1951</w:t>
      </w:r>
      <w:r>
        <w:rPr>
          <w:rFonts w:hint="eastAsia"/>
        </w:rPr>
        <w:t>年同酬公约》</w:t>
      </w:r>
      <w:r>
        <w:rPr>
          <w:rFonts w:hint="eastAsia"/>
        </w:rPr>
        <w:t>(</w:t>
      </w:r>
      <w:r>
        <w:rPr>
          <w:rFonts w:hint="eastAsia"/>
        </w:rPr>
        <w:t>第</w:t>
      </w:r>
      <w:r>
        <w:rPr>
          <w:rFonts w:hint="eastAsia"/>
        </w:rPr>
        <w:t>100</w:t>
      </w:r>
      <w:r>
        <w:rPr>
          <w:rFonts w:hint="eastAsia"/>
        </w:rPr>
        <w:t>号</w:t>
      </w:r>
      <w:r>
        <w:rPr>
          <w:rFonts w:hint="eastAsia"/>
        </w:rPr>
        <w:t>)</w:t>
      </w:r>
      <w:r>
        <w:rPr>
          <w:rFonts w:hint="eastAsia"/>
        </w:rPr>
        <w:t>已获批准，但缔约国尚未充分适用同值工作同酬原则。委员会还关切地注意到：</w:t>
      </w:r>
    </w:p>
    <w:p w14:paraId="3AEDBE79" w14:textId="77777777" w:rsidR="00FC35CD" w:rsidRDefault="00FC35CD" w:rsidP="00FC35CD">
      <w:pPr>
        <w:pStyle w:val="SingleTxt"/>
        <w:spacing w:after="120"/>
      </w:pPr>
      <w:r>
        <w:rPr>
          <w:rFonts w:hint="eastAsia"/>
        </w:rPr>
        <w:tab/>
        <w:t>(a)</w:t>
      </w:r>
      <w:r>
        <w:tab/>
      </w:r>
      <w:r>
        <w:rPr>
          <w:rFonts w:hint="eastAsia"/>
        </w:rPr>
        <w:t>缔约国的性别薪酬差距近年来虽有所缩小，但仍然存在</w:t>
      </w:r>
      <w:r>
        <w:rPr>
          <w:rFonts w:hint="eastAsia"/>
        </w:rPr>
        <w:t>(13.5%)</w:t>
      </w:r>
      <w:r>
        <w:rPr>
          <w:rFonts w:hint="eastAsia"/>
        </w:rPr>
        <w:t>，这对妇女终其一生的工作均有不利影响；</w:t>
      </w:r>
    </w:p>
    <w:p w14:paraId="4DB0EF97" w14:textId="77777777" w:rsidR="00FC35CD" w:rsidRDefault="00FC35CD" w:rsidP="00FC35CD">
      <w:pPr>
        <w:pStyle w:val="SingleTxt"/>
        <w:spacing w:after="120"/>
      </w:pPr>
      <w:r>
        <w:rPr>
          <w:rFonts w:hint="eastAsia"/>
        </w:rPr>
        <w:tab/>
        <w:t>(b)</w:t>
      </w:r>
      <w:r>
        <w:tab/>
      </w:r>
      <w:r>
        <w:rPr>
          <w:rFonts w:hint="eastAsia"/>
        </w:rPr>
        <w:t>存在纵向和横向职业隔离，难以将移民妇女、罗姆妇女、农村妇女、老年妇女和残疾妇女纳入正规的劳动力市场；</w:t>
      </w:r>
    </w:p>
    <w:p w14:paraId="17E44036" w14:textId="77777777" w:rsidR="00FC35CD" w:rsidRDefault="00FC35CD" w:rsidP="00FC35CD">
      <w:pPr>
        <w:pStyle w:val="SingleTxt"/>
        <w:spacing w:after="120"/>
      </w:pPr>
      <w:r>
        <w:rPr>
          <w:rFonts w:hint="eastAsia"/>
        </w:rPr>
        <w:tab/>
        <w:t>(c)</w:t>
      </w:r>
      <w:r>
        <w:tab/>
      </w:r>
      <w:r>
        <w:rPr>
          <w:rFonts w:hint="eastAsia"/>
        </w:rPr>
        <w:t>2014</w:t>
      </w:r>
      <w:r>
        <w:rPr>
          <w:rFonts w:hint="eastAsia"/>
        </w:rPr>
        <w:t>年至</w:t>
      </w:r>
      <w:r>
        <w:rPr>
          <w:rFonts w:hint="eastAsia"/>
        </w:rPr>
        <w:t>2018</w:t>
      </w:r>
      <w:r>
        <w:rPr>
          <w:rFonts w:hint="eastAsia"/>
        </w:rPr>
        <w:t>年期间，</w:t>
      </w:r>
      <w:r w:rsidRPr="00941589">
        <w:rPr>
          <w:rFonts w:hint="eastAsia"/>
        </w:rPr>
        <w:t>虽</w:t>
      </w:r>
      <w:r w:rsidRPr="00941589">
        <w:t>有</w:t>
      </w:r>
      <w:r w:rsidRPr="00941589">
        <w:rPr>
          <w:rFonts w:hint="eastAsia"/>
        </w:rPr>
        <w:t>有关</w:t>
      </w:r>
      <w:r w:rsidRPr="00941589">
        <w:t>基于性别和性骚扰的工作场所歧视</w:t>
      </w:r>
      <w:r w:rsidRPr="00941589">
        <w:rPr>
          <w:rFonts w:hint="eastAsia"/>
        </w:rPr>
        <w:t>的现行法律</w:t>
      </w:r>
      <w:r w:rsidRPr="00941589">
        <w:t>，但</w:t>
      </w:r>
      <w:r w:rsidRPr="00941589">
        <w:rPr>
          <w:rFonts w:hint="eastAsia"/>
        </w:rPr>
        <w:t>就</w:t>
      </w:r>
      <w:r w:rsidRPr="00941589">
        <w:t>工作场所性骚扰和基于性别的歧视案件</w:t>
      </w:r>
      <w:r w:rsidRPr="00941589">
        <w:rPr>
          <w:rFonts w:hint="eastAsia"/>
        </w:rPr>
        <w:t>展开调查的案件</w:t>
      </w:r>
      <w:r w:rsidRPr="00941589">
        <w:t>数量</w:t>
      </w:r>
      <w:r w:rsidRPr="00941589">
        <w:rPr>
          <w:rFonts w:hint="eastAsia"/>
        </w:rPr>
        <w:t>仍然很</w:t>
      </w:r>
      <w:r w:rsidRPr="00941589">
        <w:t>少</w:t>
      </w:r>
      <w:r>
        <w:rPr>
          <w:rFonts w:hint="eastAsia"/>
        </w:rPr>
        <w:t>；</w:t>
      </w:r>
    </w:p>
    <w:p w14:paraId="2A800E9E" w14:textId="77777777" w:rsidR="00FC35CD" w:rsidRPr="00941589" w:rsidRDefault="00FC35CD" w:rsidP="00643E53">
      <w:pPr>
        <w:pStyle w:val="SingleTxt"/>
        <w:spacing w:after="120"/>
      </w:pPr>
      <w:r w:rsidRPr="00941589">
        <w:rPr>
          <w:rFonts w:hint="eastAsia"/>
        </w:rPr>
        <w:tab/>
        <w:t>(d)</w:t>
      </w:r>
      <w:r w:rsidRPr="00941589">
        <w:tab/>
      </w:r>
      <w:r w:rsidRPr="00941589">
        <w:rPr>
          <w:rFonts w:hint="eastAsia"/>
        </w:rPr>
        <w:t>男子和妇女在最高</w:t>
      </w:r>
      <w:r w:rsidRPr="00941589">
        <w:t>退休年龄上的差异对妇女的养老金福利产生了不利影响，导致养老金性别</w:t>
      </w:r>
      <w:r w:rsidRPr="00941589">
        <w:rPr>
          <w:rFonts w:hint="eastAsia"/>
        </w:rPr>
        <w:t>差异</w:t>
      </w:r>
      <w:r w:rsidRPr="00941589">
        <w:t>为</w:t>
      </w:r>
      <w:r w:rsidRPr="00941589">
        <w:t>28%</w:t>
      </w:r>
      <w:r w:rsidRPr="00941589">
        <w:t>。</w:t>
      </w:r>
    </w:p>
    <w:p w14:paraId="0DBD8351" w14:textId="77777777" w:rsidR="00FC35CD" w:rsidRDefault="00FC35CD" w:rsidP="00FC35CD">
      <w:pPr>
        <w:pStyle w:val="SingleTxt"/>
        <w:spacing w:after="120"/>
      </w:pPr>
      <w:r>
        <w:rPr>
          <w:rFonts w:hint="eastAsia"/>
        </w:rPr>
        <w:tab/>
        <w:t>(e)</w:t>
      </w:r>
      <w:r>
        <w:tab/>
      </w:r>
      <w:r>
        <w:rPr>
          <w:rFonts w:hint="eastAsia"/>
        </w:rPr>
        <w:t>家政工人往往在正式劳工登记程序之外被雇用，因此无法获得医疗保险和养老金等福利。</w:t>
      </w:r>
    </w:p>
    <w:p w14:paraId="3A636B94" w14:textId="3A2FE739" w:rsidR="00FC35CD" w:rsidRDefault="00FC35CD" w:rsidP="00FC35CD">
      <w:pPr>
        <w:pStyle w:val="SingleTxt"/>
        <w:spacing w:after="120"/>
      </w:pPr>
      <w:r>
        <w:rPr>
          <w:rFonts w:hint="eastAsia"/>
        </w:rPr>
        <w:t>32.</w:t>
      </w:r>
      <w:r>
        <w:rPr>
          <w:rFonts w:hint="eastAsia"/>
        </w:rPr>
        <w:tab/>
      </w:r>
      <w:r w:rsidRPr="00C82C65">
        <w:rPr>
          <w:rFonts w:ascii="黑体" w:eastAsia="黑体" w:hAnsi="黑体" w:hint="eastAsia"/>
        </w:rPr>
        <w:t>委员会重申其先前</w:t>
      </w:r>
      <w:r w:rsidRPr="00523C44">
        <w:rPr>
          <w:rFonts w:eastAsia="黑体"/>
        </w:rPr>
        <w:t>的建议</w:t>
      </w:r>
      <w:r w:rsidRPr="00523C44">
        <w:rPr>
          <w:rFonts w:eastAsia="黑体"/>
        </w:rPr>
        <w:t>(</w:t>
      </w:r>
      <w:hyperlink r:id="rId26" w:history="1">
        <w:r w:rsidRPr="00523C44">
          <w:rPr>
            <w:rStyle w:val="af4"/>
            <w:rFonts w:eastAsia="黑体"/>
          </w:rPr>
          <w:t>CEDAW/C/BGR/CO/4-7</w:t>
        </w:r>
      </w:hyperlink>
      <w:r w:rsidRPr="00523C44">
        <w:rPr>
          <w:rFonts w:eastAsia="黑体"/>
        </w:rPr>
        <w:t>，第</w:t>
      </w:r>
      <w:r w:rsidRPr="00523C44">
        <w:rPr>
          <w:rFonts w:eastAsia="黑体"/>
        </w:rPr>
        <w:t>34</w:t>
      </w:r>
      <w:r w:rsidRPr="00523C44">
        <w:rPr>
          <w:rFonts w:eastAsia="黑体"/>
        </w:rPr>
        <w:t>段</w:t>
      </w:r>
      <w:r w:rsidRPr="00523C44">
        <w:rPr>
          <w:rFonts w:eastAsia="黑体"/>
        </w:rPr>
        <w:t>)</w:t>
      </w:r>
      <w:r w:rsidRPr="00523C44">
        <w:rPr>
          <w:rFonts w:eastAsia="黑体"/>
        </w:rPr>
        <w:t>，并促请</w:t>
      </w:r>
      <w:r w:rsidRPr="00C82C65">
        <w:rPr>
          <w:rFonts w:ascii="黑体" w:eastAsia="黑体" w:hAnsi="黑体" w:hint="eastAsia"/>
        </w:rPr>
        <w:t>缔约国</w:t>
      </w:r>
      <w:r>
        <w:rPr>
          <w:rFonts w:hint="eastAsia"/>
        </w:rPr>
        <w:t>：</w:t>
      </w:r>
    </w:p>
    <w:p w14:paraId="1322EC9A" w14:textId="77777777" w:rsidR="00FC35CD" w:rsidRPr="00523C44" w:rsidRDefault="00FC35CD" w:rsidP="00FC35CD">
      <w:pPr>
        <w:pStyle w:val="SingleTxt"/>
        <w:spacing w:after="120"/>
        <w:rPr>
          <w:rFonts w:eastAsia="黑体"/>
        </w:rPr>
      </w:pPr>
      <w:r w:rsidRPr="00523C44">
        <w:rPr>
          <w:rFonts w:eastAsia="黑体"/>
        </w:rPr>
        <w:tab/>
        <w:t>(a)</w:t>
      </w:r>
      <w:r w:rsidRPr="00523C44">
        <w:rPr>
          <w:rFonts w:eastAsia="黑体"/>
        </w:rPr>
        <w:tab/>
      </w:r>
      <w:r w:rsidRPr="00523C44">
        <w:rPr>
          <w:rFonts w:eastAsia="黑体"/>
        </w:rPr>
        <w:t>定期审查所有部门的工资情况，采用对性别敏感的分析性工作分类和评价方法定期开展劳动监察，并定期开展工资调查，从而有效执行同值工作同等报酬原则，进而缩小并最终消除性别工资差异；</w:t>
      </w:r>
    </w:p>
    <w:p w14:paraId="3DDB8FA3" w14:textId="77777777" w:rsidR="00FC35CD" w:rsidRPr="00523C44" w:rsidRDefault="00FC35CD" w:rsidP="00FC35CD">
      <w:pPr>
        <w:pStyle w:val="SingleTxt"/>
        <w:spacing w:after="120"/>
        <w:rPr>
          <w:rFonts w:eastAsia="黑体"/>
        </w:rPr>
      </w:pPr>
      <w:r w:rsidRPr="00523C44">
        <w:rPr>
          <w:rFonts w:eastAsia="黑体"/>
        </w:rPr>
        <w:tab/>
        <w:t>(b)</w:t>
      </w:r>
      <w:r w:rsidRPr="00523C44">
        <w:rPr>
          <w:rFonts w:eastAsia="黑体"/>
        </w:rPr>
        <w:tab/>
      </w:r>
      <w:r w:rsidRPr="00523C44">
        <w:rPr>
          <w:rFonts w:eastAsia="黑体"/>
        </w:rPr>
        <w:t>加强相关措施，消除横向和纵向职业隔离，增加包括移徙妇女、罗姆妇女和残疾妇女等妇女进入正规劳动力市场的机会，鼓励妇女和女童选择非传统职业道路，并优先考虑妇女从兼职工作过渡到全职工作，辅之以适当的优质和无障碍托儿设施；</w:t>
      </w:r>
    </w:p>
    <w:p w14:paraId="2B2222D4" w14:textId="3A0BF93D" w:rsidR="00FC35CD" w:rsidRPr="00523C44" w:rsidRDefault="00FC35CD" w:rsidP="00FC35CD">
      <w:pPr>
        <w:pStyle w:val="SingleTxt"/>
        <w:spacing w:after="120"/>
        <w:rPr>
          <w:rFonts w:eastAsia="黑体"/>
        </w:rPr>
      </w:pPr>
      <w:r w:rsidRPr="00523C44">
        <w:rPr>
          <w:rFonts w:eastAsia="黑体"/>
        </w:rPr>
        <w:tab/>
        <w:t>(c)</w:t>
      </w:r>
      <w:r w:rsidRPr="00523C44">
        <w:rPr>
          <w:rFonts w:eastAsia="黑体"/>
        </w:rPr>
        <w:tab/>
      </w:r>
      <w:r w:rsidRPr="00523C44">
        <w:rPr>
          <w:rFonts w:eastAsia="黑体"/>
        </w:rPr>
        <w:t>批准</w:t>
      </w:r>
      <w:r w:rsidRPr="00523C44">
        <w:rPr>
          <w:rFonts w:eastAsia="黑体"/>
        </w:rPr>
        <w:t>2019</w:t>
      </w:r>
      <w:r w:rsidRPr="00523C44">
        <w:rPr>
          <w:rFonts w:eastAsia="黑体"/>
        </w:rPr>
        <w:t>劳工组织《暴力和骚扰公约》</w:t>
      </w:r>
      <w:r w:rsidR="001852EA" w:rsidRPr="00523C44">
        <w:rPr>
          <w:rFonts w:eastAsia="黑体"/>
        </w:rPr>
        <w:t>(</w:t>
      </w:r>
      <w:r w:rsidRPr="00523C44">
        <w:rPr>
          <w:rFonts w:eastAsia="黑体"/>
        </w:rPr>
        <w:t>第</w:t>
      </w:r>
      <w:r w:rsidRPr="00523C44">
        <w:rPr>
          <w:rFonts w:eastAsia="黑体"/>
        </w:rPr>
        <w:t>190</w:t>
      </w:r>
      <w:r w:rsidRPr="00523C44">
        <w:rPr>
          <w:rFonts w:eastAsia="黑体"/>
        </w:rPr>
        <w:t>号</w:t>
      </w:r>
      <w:r w:rsidR="001852EA" w:rsidRPr="00523C44">
        <w:rPr>
          <w:rFonts w:eastAsia="黑体"/>
        </w:rPr>
        <w:t>)</w:t>
      </w:r>
      <w:r w:rsidRPr="00523C44">
        <w:rPr>
          <w:rFonts w:eastAsia="黑体"/>
        </w:rPr>
        <w:t>，并安排对所有关于性骚扰的投诉办理集中登记；</w:t>
      </w:r>
    </w:p>
    <w:p w14:paraId="579EE4D9" w14:textId="77777777" w:rsidR="00FC35CD" w:rsidRPr="00523C44" w:rsidRDefault="00FC35CD" w:rsidP="00FC35CD">
      <w:pPr>
        <w:pStyle w:val="SingleTxt"/>
        <w:spacing w:after="120"/>
        <w:rPr>
          <w:rFonts w:eastAsia="黑体"/>
        </w:rPr>
      </w:pPr>
      <w:r w:rsidRPr="00523C44">
        <w:rPr>
          <w:rFonts w:eastAsia="黑体"/>
        </w:rPr>
        <w:tab/>
        <w:t>(d)</w:t>
      </w:r>
      <w:r w:rsidRPr="00523C44">
        <w:rPr>
          <w:rFonts w:eastAsia="黑体"/>
        </w:rPr>
        <w:tab/>
      </w:r>
      <w:r w:rsidRPr="00523C44">
        <w:rPr>
          <w:rFonts w:eastAsia="黑体"/>
        </w:rPr>
        <w:t>修订《劳动法》以协调统一退休年龄，目的是缩小和消除养老金性别差距；</w:t>
      </w:r>
    </w:p>
    <w:p w14:paraId="05BE3DC4" w14:textId="77777777" w:rsidR="00FC35CD" w:rsidRPr="00C82C65" w:rsidRDefault="00FC35CD" w:rsidP="00FC35CD">
      <w:pPr>
        <w:pStyle w:val="SingleTxt"/>
        <w:spacing w:after="120"/>
        <w:rPr>
          <w:rFonts w:ascii="黑体" w:eastAsia="黑体" w:hAnsi="黑体"/>
        </w:rPr>
      </w:pPr>
      <w:r w:rsidRPr="00523C44">
        <w:rPr>
          <w:rFonts w:eastAsia="黑体"/>
        </w:rPr>
        <w:tab/>
        <w:t>(e)</w:t>
      </w:r>
      <w:r w:rsidRPr="00523C44">
        <w:rPr>
          <w:rFonts w:eastAsia="黑体"/>
        </w:rPr>
        <w:tab/>
      </w:r>
      <w:r w:rsidRPr="00523C44">
        <w:rPr>
          <w:rFonts w:eastAsia="黑体"/>
        </w:rPr>
        <w:t>批准劳工组织</w:t>
      </w:r>
      <w:r w:rsidRPr="00523C44">
        <w:rPr>
          <w:rFonts w:eastAsia="黑体"/>
        </w:rPr>
        <w:t>2011</w:t>
      </w:r>
      <w:r w:rsidRPr="00523C44">
        <w:rPr>
          <w:rFonts w:eastAsia="黑体"/>
        </w:rPr>
        <w:t>年《家庭工人公约》</w:t>
      </w:r>
      <w:r w:rsidRPr="00523C44">
        <w:rPr>
          <w:rFonts w:eastAsia="黑体"/>
        </w:rPr>
        <w:t>(</w:t>
      </w:r>
      <w:r w:rsidRPr="00523C44">
        <w:rPr>
          <w:rFonts w:eastAsia="黑体"/>
        </w:rPr>
        <w:t>第</w:t>
      </w:r>
      <w:r w:rsidRPr="00523C44">
        <w:rPr>
          <w:rFonts w:eastAsia="黑体"/>
        </w:rPr>
        <w:t>189</w:t>
      </w:r>
      <w:r w:rsidRPr="00523C44">
        <w:rPr>
          <w:rFonts w:eastAsia="黑体"/>
        </w:rPr>
        <w:t>号</w:t>
      </w:r>
      <w:r w:rsidRPr="00523C44">
        <w:rPr>
          <w:rFonts w:eastAsia="黑体"/>
        </w:rPr>
        <w:t>)</w:t>
      </w:r>
      <w:r w:rsidRPr="00523C44">
        <w:rPr>
          <w:rFonts w:eastAsia="黑体"/>
        </w:rPr>
        <w:t>并保障</w:t>
      </w:r>
      <w:r w:rsidRPr="00C82C65">
        <w:rPr>
          <w:rFonts w:ascii="黑体" w:eastAsia="黑体" w:hAnsi="黑体" w:hint="eastAsia"/>
        </w:rPr>
        <w:t>家庭工人的权利。</w:t>
      </w:r>
    </w:p>
    <w:p w14:paraId="6E542F03" w14:textId="77777777" w:rsidR="00FC35CD" w:rsidRPr="00C82C65" w:rsidRDefault="00FC35CD" w:rsidP="00FC35CD">
      <w:pPr>
        <w:pStyle w:val="SingleTxt"/>
        <w:spacing w:after="120"/>
        <w:rPr>
          <w:rFonts w:ascii="黑体" w:eastAsia="黑体" w:hAnsi="黑体"/>
        </w:rPr>
      </w:pPr>
      <w:r w:rsidRPr="00C82C65">
        <w:rPr>
          <w:rFonts w:ascii="黑体" w:eastAsia="黑体" w:hAnsi="黑体" w:hint="eastAsia"/>
        </w:rPr>
        <w:t>健康</w:t>
      </w:r>
    </w:p>
    <w:p w14:paraId="2E9C89BE" w14:textId="77777777" w:rsidR="00FC35CD" w:rsidRDefault="00FC35CD" w:rsidP="00FC35CD">
      <w:pPr>
        <w:pStyle w:val="SingleTxt"/>
        <w:spacing w:after="120"/>
      </w:pPr>
      <w:r>
        <w:rPr>
          <w:rFonts w:hint="eastAsia"/>
        </w:rPr>
        <w:t>33.</w:t>
      </w:r>
      <w:r>
        <w:rPr>
          <w:rFonts w:hint="eastAsia"/>
        </w:rPr>
        <w:tab/>
      </w:r>
      <w:r>
        <w:rPr>
          <w:rFonts w:hint="eastAsia"/>
        </w:rPr>
        <w:t>委员会关切地注意到：</w:t>
      </w:r>
    </w:p>
    <w:p w14:paraId="465CF70B" w14:textId="77777777" w:rsidR="00FC35CD" w:rsidRDefault="00FC35CD" w:rsidP="00FC35CD">
      <w:pPr>
        <w:pStyle w:val="SingleTxt"/>
        <w:spacing w:after="120"/>
      </w:pPr>
      <w:r>
        <w:rPr>
          <w:rFonts w:hint="eastAsia"/>
        </w:rPr>
        <w:tab/>
        <w:t>(a)</w:t>
      </w:r>
      <w:r>
        <w:tab/>
      </w:r>
      <w:r>
        <w:rPr>
          <w:rFonts w:hint="eastAsia"/>
        </w:rPr>
        <w:t>关于在妇女分娩期间对妇女的基于性别的暴力行为的报告，以及缺乏监督程序和机制来确保医院产科的适当护理标准；</w:t>
      </w:r>
    </w:p>
    <w:p w14:paraId="777E4399" w14:textId="77777777" w:rsidR="00FC35CD" w:rsidRDefault="00FC35CD" w:rsidP="00FC35CD">
      <w:pPr>
        <w:pStyle w:val="SingleTxt"/>
        <w:spacing w:after="120"/>
      </w:pPr>
      <w:r>
        <w:rPr>
          <w:rFonts w:hint="eastAsia"/>
        </w:rPr>
        <w:tab/>
        <w:t>(b)</w:t>
      </w:r>
      <w:r>
        <w:tab/>
      </w:r>
      <w:r>
        <w:rPr>
          <w:rFonts w:hint="eastAsia"/>
        </w:rPr>
        <w:t>早孕人数众多，学校课程中缺乏与年龄相适应的强制性性健康和生殖健康及权利的教育，以及缺乏对该领域教师的培训；</w:t>
      </w:r>
    </w:p>
    <w:p w14:paraId="41F44648" w14:textId="77777777" w:rsidR="00FC35CD" w:rsidRDefault="00FC35CD" w:rsidP="00FC35CD">
      <w:pPr>
        <w:pStyle w:val="SingleTxt"/>
      </w:pPr>
      <w:r>
        <w:rPr>
          <w:rFonts w:hint="eastAsia"/>
        </w:rPr>
        <w:tab/>
        <w:t>(c)</w:t>
      </w:r>
      <w:r>
        <w:tab/>
      </w:r>
      <w:r>
        <w:rPr>
          <w:rFonts w:hint="eastAsia"/>
        </w:rPr>
        <w:t>特别是在农村地区，妇女和女童获得负担得起的现代避孕药具的机会有限，以及少女在获得性健康和生殖健康服务信息方面面临各种障碍；</w:t>
      </w:r>
    </w:p>
    <w:p w14:paraId="5339222E" w14:textId="77777777" w:rsidR="00FC35CD" w:rsidRDefault="00FC35CD" w:rsidP="00FC35CD">
      <w:pPr>
        <w:pStyle w:val="SingleTxt"/>
      </w:pPr>
      <w:r>
        <w:rPr>
          <w:rFonts w:hint="eastAsia"/>
        </w:rPr>
        <w:tab/>
        <w:t>(d)</w:t>
      </w:r>
      <w:r>
        <w:tab/>
      </w:r>
      <w:r>
        <w:rPr>
          <w:rFonts w:hint="eastAsia"/>
        </w:rPr>
        <w:t>有关对双性女性进行的医疗手术大多是不可逆手术的报告。</w:t>
      </w:r>
    </w:p>
    <w:p w14:paraId="51E11960" w14:textId="5AC65131" w:rsidR="00FC35CD" w:rsidRPr="00523C44" w:rsidRDefault="00FC35CD" w:rsidP="00FC35CD">
      <w:pPr>
        <w:pStyle w:val="SingleTxt"/>
        <w:spacing w:after="100"/>
        <w:rPr>
          <w:rFonts w:eastAsia="黑体"/>
        </w:rPr>
      </w:pPr>
      <w:r>
        <w:rPr>
          <w:rFonts w:hint="eastAsia"/>
        </w:rPr>
        <w:t>34.</w:t>
      </w:r>
      <w:r>
        <w:rPr>
          <w:rFonts w:hint="eastAsia"/>
        </w:rPr>
        <w:tab/>
      </w:r>
      <w:r w:rsidRPr="00523C44">
        <w:rPr>
          <w:rFonts w:eastAsia="黑体"/>
        </w:rPr>
        <w:t>委员会回顾其目的是确保普及性保健和生殖保健服务的关于妇女与健康的第</w:t>
      </w:r>
      <w:r w:rsidRPr="00523C44">
        <w:rPr>
          <w:rFonts w:eastAsia="黑体"/>
        </w:rPr>
        <w:t>24(1999)</w:t>
      </w:r>
      <w:r w:rsidRPr="00523C44">
        <w:rPr>
          <w:rFonts w:eastAsia="黑体"/>
        </w:rPr>
        <w:t>号一般性建议和可持续发展目标具体目标</w:t>
      </w:r>
      <w:r w:rsidRPr="00523C44">
        <w:rPr>
          <w:rFonts w:eastAsia="黑体"/>
        </w:rPr>
        <w:t>3.7</w:t>
      </w:r>
      <w:r w:rsidRPr="00523C44">
        <w:rPr>
          <w:rFonts w:eastAsia="黑体"/>
        </w:rPr>
        <w:t>，以及先前的建议</w:t>
      </w:r>
      <w:r w:rsidRPr="00523C44">
        <w:rPr>
          <w:rFonts w:eastAsia="黑体"/>
        </w:rPr>
        <w:t>(</w:t>
      </w:r>
      <w:hyperlink r:id="rId27" w:history="1">
        <w:r w:rsidRPr="00523C44">
          <w:rPr>
            <w:rStyle w:val="af4"/>
            <w:rFonts w:eastAsia="黑体"/>
          </w:rPr>
          <w:t>CEDAW/C/BGR/CO/4-7</w:t>
        </w:r>
      </w:hyperlink>
      <w:r w:rsidRPr="00523C44">
        <w:rPr>
          <w:rFonts w:eastAsia="黑体"/>
        </w:rPr>
        <w:t>，第</w:t>
      </w:r>
      <w:r w:rsidRPr="00523C44">
        <w:rPr>
          <w:rFonts w:eastAsia="黑体"/>
        </w:rPr>
        <w:t>36</w:t>
      </w:r>
      <w:r w:rsidRPr="00523C44">
        <w:rPr>
          <w:rFonts w:eastAsia="黑体"/>
        </w:rPr>
        <w:t>段</w:t>
      </w:r>
      <w:r w:rsidRPr="00523C44">
        <w:rPr>
          <w:rFonts w:eastAsia="黑体"/>
        </w:rPr>
        <w:t>)</w:t>
      </w:r>
      <w:r w:rsidRPr="00523C44">
        <w:rPr>
          <w:rFonts w:eastAsia="黑体"/>
        </w:rPr>
        <w:t>，并建议缔约国：</w:t>
      </w:r>
    </w:p>
    <w:p w14:paraId="43974979" w14:textId="77777777" w:rsidR="00FC35CD" w:rsidRPr="00523C44" w:rsidRDefault="00FC35CD" w:rsidP="00FC35CD">
      <w:pPr>
        <w:pStyle w:val="SingleTxt"/>
        <w:spacing w:after="100"/>
        <w:rPr>
          <w:rFonts w:eastAsia="黑体"/>
        </w:rPr>
      </w:pPr>
      <w:r w:rsidRPr="00523C44">
        <w:rPr>
          <w:rFonts w:eastAsia="黑体"/>
        </w:rPr>
        <w:tab/>
        <w:t>(a)</w:t>
      </w:r>
      <w:r w:rsidRPr="00523C44">
        <w:rPr>
          <w:rFonts w:eastAsia="黑体"/>
        </w:rPr>
        <w:tab/>
      </w:r>
      <w:r w:rsidRPr="00523C44">
        <w:rPr>
          <w:rFonts w:eastAsia="黑体"/>
        </w:rPr>
        <w:t>将分娩期间的产科暴力和其他形式的暴力定为刑事犯罪，并确保医院所有产房提供适当和可获得的护理标准；</w:t>
      </w:r>
    </w:p>
    <w:p w14:paraId="1DEA7961" w14:textId="77777777" w:rsidR="00FC35CD" w:rsidRPr="00523C44" w:rsidRDefault="00FC35CD" w:rsidP="00FC35CD">
      <w:pPr>
        <w:pStyle w:val="SingleTxt"/>
        <w:spacing w:after="100"/>
        <w:rPr>
          <w:rFonts w:eastAsia="黑体"/>
        </w:rPr>
      </w:pPr>
      <w:r w:rsidRPr="00523C44">
        <w:rPr>
          <w:rFonts w:eastAsia="黑体"/>
        </w:rPr>
        <w:tab/>
        <w:t>(b)</w:t>
      </w:r>
      <w:r w:rsidRPr="00523C44">
        <w:rPr>
          <w:rFonts w:eastAsia="黑体"/>
        </w:rPr>
        <w:tab/>
      </w:r>
      <w:r w:rsidRPr="00523C44">
        <w:rPr>
          <w:rFonts w:eastAsia="黑体"/>
        </w:rPr>
        <w:t>采取适当措施，开展全国生殖健康调查，实施《</w:t>
      </w:r>
      <w:r w:rsidRPr="00523C44">
        <w:rPr>
          <w:rFonts w:eastAsia="黑体"/>
        </w:rPr>
        <w:t>2020</w:t>
      </w:r>
      <w:r w:rsidRPr="00523C44">
        <w:rPr>
          <w:rFonts w:eastAsia="黑体"/>
        </w:rPr>
        <w:t>年国家卫生战略》和《</w:t>
      </w:r>
      <w:r w:rsidRPr="00523C44">
        <w:rPr>
          <w:rFonts w:eastAsia="黑体"/>
        </w:rPr>
        <w:t>2015-2020</w:t>
      </w:r>
      <w:r w:rsidRPr="00523C44">
        <w:rPr>
          <w:rFonts w:eastAsia="黑体"/>
        </w:rPr>
        <w:t>年国家行动计划》，并在学校课程中引入关于性健康和生殖健康及权利的强制性适龄和包容性教育，包括关于现代避孕形式和预防性传播感染以及不安全堕胎风险的教育；</w:t>
      </w:r>
    </w:p>
    <w:p w14:paraId="473F5096" w14:textId="77777777" w:rsidR="00FC35CD" w:rsidRPr="00523C44" w:rsidRDefault="00FC35CD" w:rsidP="00FC35CD">
      <w:pPr>
        <w:pStyle w:val="SingleTxt"/>
        <w:spacing w:after="100"/>
        <w:rPr>
          <w:rFonts w:eastAsia="黑体"/>
        </w:rPr>
      </w:pPr>
      <w:r w:rsidRPr="00523C44">
        <w:rPr>
          <w:rFonts w:eastAsia="黑体"/>
        </w:rPr>
        <w:tab/>
        <w:t>(c)</w:t>
      </w:r>
      <w:r w:rsidRPr="00523C44">
        <w:rPr>
          <w:rFonts w:eastAsia="黑体"/>
        </w:rPr>
        <w:tab/>
      </w:r>
      <w:r w:rsidRPr="00523C44">
        <w:rPr>
          <w:rFonts w:eastAsia="黑体"/>
        </w:rPr>
        <w:t>加强实施保健方案，包括包容性提高认识方案，以确保向包括弱势群体和农村地区的妇女和女孩等所有妇女和女孩提供负担得起的现代避孕药具；</w:t>
      </w:r>
    </w:p>
    <w:p w14:paraId="630355DE" w14:textId="77777777" w:rsidR="00FC35CD" w:rsidRPr="006B03A4" w:rsidRDefault="00FC35CD" w:rsidP="00FC35CD">
      <w:pPr>
        <w:pStyle w:val="SingleTxt"/>
        <w:spacing w:after="100"/>
        <w:rPr>
          <w:rFonts w:ascii="黑体" w:eastAsia="黑体" w:hAnsi="黑体"/>
        </w:rPr>
      </w:pPr>
      <w:r w:rsidRPr="00523C44">
        <w:rPr>
          <w:rFonts w:eastAsia="黑体"/>
        </w:rPr>
        <w:tab/>
        <w:t>(d)</w:t>
      </w:r>
      <w:r w:rsidRPr="00523C44">
        <w:rPr>
          <w:rFonts w:eastAsia="黑体"/>
        </w:rPr>
        <w:tab/>
      </w:r>
      <w:r w:rsidRPr="00523C44">
        <w:rPr>
          <w:rFonts w:eastAsia="黑体"/>
        </w:rPr>
        <w:t>确立适当的保障措施，确保包括无障碍护理等适当的护理标准，并尊重妇女自主权，要求所有妇女自由、事先和知情同意，为分娩期间遭受</w:t>
      </w:r>
      <w:r w:rsidRPr="006B03A4">
        <w:rPr>
          <w:rFonts w:ascii="黑体" w:eastAsia="黑体" w:hAnsi="黑体" w:hint="eastAsia"/>
        </w:rPr>
        <w:t>虐待的妇女引入投诉机制；</w:t>
      </w:r>
    </w:p>
    <w:p w14:paraId="12021B84" w14:textId="77777777" w:rsidR="00FC35CD" w:rsidRPr="006B03A4" w:rsidRDefault="00FC35CD" w:rsidP="00FC35CD">
      <w:pPr>
        <w:pStyle w:val="SingleTxt"/>
        <w:spacing w:after="100"/>
        <w:rPr>
          <w:rFonts w:ascii="黑体" w:eastAsia="黑体" w:hAnsi="黑体"/>
        </w:rPr>
      </w:pPr>
      <w:r w:rsidRPr="00523C44">
        <w:rPr>
          <w:rFonts w:eastAsia="黑体"/>
        </w:rPr>
        <w:tab/>
        <w:t>(e)</w:t>
      </w:r>
      <w:r w:rsidRPr="00523C44">
        <w:rPr>
          <w:rFonts w:eastAsia="黑体"/>
        </w:rPr>
        <w:tab/>
      </w:r>
      <w:r w:rsidRPr="00523C44">
        <w:rPr>
          <w:rFonts w:eastAsia="黑体"/>
        </w:rPr>
        <w:t>为双性</w:t>
      </w:r>
      <w:r w:rsidRPr="006B03A4">
        <w:rPr>
          <w:rFonts w:ascii="黑体" w:eastAsia="黑体" w:hAnsi="黑体" w:hint="eastAsia"/>
        </w:rPr>
        <w:t>妇女制定和实施一项以权利为基础的保健</w:t>
      </w:r>
      <w:r>
        <w:rPr>
          <w:rFonts w:ascii="黑体" w:eastAsia="黑体" w:hAnsi="黑体" w:hint="eastAsia"/>
        </w:rPr>
        <w:t>协议</w:t>
      </w:r>
      <w:r w:rsidRPr="006B03A4">
        <w:rPr>
          <w:rFonts w:ascii="黑体" w:eastAsia="黑体" w:hAnsi="黑体" w:hint="eastAsia"/>
        </w:rPr>
        <w:t>，</w:t>
      </w:r>
      <w:r>
        <w:rPr>
          <w:rFonts w:ascii="黑体" w:eastAsia="黑体" w:hAnsi="黑体" w:hint="eastAsia"/>
        </w:rPr>
        <w:t>并确保</w:t>
      </w:r>
      <w:r w:rsidRPr="006B03A4">
        <w:rPr>
          <w:rFonts w:ascii="黑体" w:eastAsia="黑体" w:hAnsi="黑体" w:hint="eastAsia"/>
        </w:rPr>
        <w:t>在没有她们自由、知情和事先同意的情况下，双性妇女不得接受手术或治疗。</w:t>
      </w:r>
    </w:p>
    <w:p w14:paraId="75E63FB6" w14:textId="77777777" w:rsidR="00FC35CD" w:rsidRPr="006B03A4" w:rsidRDefault="00FC35CD" w:rsidP="00FC35CD">
      <w:pPr>
        <w:pStyle w:val="SingleTxt"/>
        <w:spacing w:after="100"/>
        <w:rPr>
          <w:rFonts w:ascii="黑体" w:eastAsia="黑体" w:hAnsi="黑体"/>
        </w:rPr>
      </w:pPr>
      <w:r w:rsidRPr="006B03A4">
        <w:rPr>
          <w:rFonts w:ascii="黑体" w:eastAsia="黑体" w:hAnsi="黑体" w:hint="eastAsia"/>
        </w:rPr>
        <w:t>经济和社会惠益与增强妇女经济权能</w:t>
      </w:r>
    </w:p>
    <w:p w14:paraId="1D272221" w14:textId="77777777" w:rsidR="00FC35CD" w:rsidRDefault="00FC35CD" w:rsidP="00FC35CD">
      <w:pPr>
        <w:pStyle w:val="SingleTxt"/>
        <w:spacing w:after="100"/>
      </w:pPr>
      <w:r>
        <w:rPr>
          <w:rFonts w:hint="eastAsia"/>
        </w:rPr>
        <w:t>35.</w:t>
      </w:r>
      <w:r>
        <w:rPr>
          <w:rFonts w:hint="eastAsia"/>
        </w:rPr>
        <w:tab/>
      </w:r>
      <w:r>
        <w:rPr>
          <w:rFonts w:hint="eastAsia"/>
        </w:rPr>
        <w:t>委员会感到关切的是，根据欧洲性别平等研究所的性别平等指数，缔约国</w:t>
      </w:r>
      <w:r>
        <w:rPr>
          <w:rFonts w:hint="eastAsia"/>
        </w:rPr>
        <w:t>24%</w:t>
      </w:r>
      <w:r>
        <w:rPr>
          <w:rFonts w:hint="eastAsia"/>
        </w:rPr>
        <w:t>的妇女特别是罗姆妇女、单身妇女和残疾妇女面临贫困风险。它还关切地注意到：</w:t>
      </w:r>
    </w:p>
    <w:p w14:paraId="01550CF5" w14:textId="77777777" w:rsidR="00FC35CD" w:rsidRDefault="00FC35CD" w:rsidP="00FC35CD">
      <w:pPr>
        <w:pStyle w:val="SingleTxt"/>
        <w:spacing w:after="100"/>
      </w:pPr>
      <w:r>
        <w:rPr>
          <w:rFonts w:hint="eastAsia"/>
        </w:rPr>
        <w:tab/>
        <w:t>(a)</w:t>
      </w:r>
      <w:r>
        <w:tab/>
      </w:r>
      <w:r>
        <w:rPr>
          <w:rFonts w:hint="eastAsia"/>
        </w:rPr>
        <w:t>缺乏支持妇女创业和促进赋予妇女经济权力的措施，包括暂行特别措施和有针对性的方案；</w:t>
      </w:r>
    </w:p>
    <w:p w14:paraId="36DEB2A0" w14:textId="77777777" w:rsidR="00FC35CD" w:rsidRDefault="00FC35CD" w:rsidP="00FC35CD">
      <w:pPr>
        <w:pStyle w:val="SingleTxt"/>
        <w:spacing w:after="100"/>
      </w:pPr>
      <w:r>
        <w:rPr>
          <w:rFonts w:hint="eastAsia"/>
        </w:rPr>
        <w:tab/>
        <w:t>(b)</w:t>
      </w:r>
      <w:r>
        <w:tab/>
      </w:r>
      <w:r>
        <w:rPr>
          <w:rFonts w:hint="eastAsia"/>
        </w:rPr>
        <w:t>缺乏关于向妇女提供贷款的计划及其他形式的金融信贷和关于创业技能具体培训的信息；</w:t>
      </w:r>
    </w:p>
    <w:p w14:paraId="187770A1" w14:textId="77777777" w:rsidR="00FC35CD" w:rsidRDefault="00FC35CD" w:rsidP="00FC35CD">
      <w:pPr>
        <w:pStyle w:val="SingleTxt"/>
        <w:spacing w:after="100"/>
      </w:pPr>
      <w:r>
        <w:rPr>
          <w:rFonts w:hint="eastAsia"/>
        </w:rPr>
        <w:tab/>
        <w:t>(c)</w:t>
      </w:r>
      <w:r>
        <w:tab/>
      </w:r>
      <w:r>
        <w:rPr>
          <w:rFonts w:hint="eastAsia"/>
        </w:rPr>
        <w:t>缺乏有关以妇女为户主的低收入家庭的信息并且缺乏关于社会方案对改善低收入妇女经济情况所做具体贡献的信息；</w:t>
      </w:r>
    </w:p>
    <w:p w14:paraId="3928A0E3" w14:textId="0525BCB1" w:rsidR="00FC35CD" w:rsidRPr="00523C44" w:rsidRDefault="00FC35CD" w:rsidP="00FC35CD">
      <w:pPr>
        <w:pStyle w:val="SingleTxt"/>
        <w:spacing w:after="100"/>
        <w:rPr>
          <w:rFonts w:eastAsia="黑体"/>
        </w:rPr>
      </w:pPr>
      <w:r>
        <w:rPr>
          <w:rFonts w:hint="eastAsia"/>
        </w:rPr>
        <w:t>36.</w:t>
      </w:r>
      <w:r>
        <w:rPr>
          <w:rFonts w:hint="eastAsia"/>
        </w:rPr>
        <w:tab/>
      </w:r>
      <w:r w:rsidRPr="00553644">
        <w:rPr>
          <w:rFonts w:ascii="黑体" w:eastAsia="黑体" w:hAnsi="黑体" w:hint="eastAsia"/>
        </w:rPr>
        <w:t>委</w:t>
      </w:r>
      <w:r w:rsidRPr="00523C44">
        <w:rPr>
          <w:rFonts w:eastAsia="黑体"/>
        </w:rPr>
        <w:t>员会提请注意关于可持续发展目标的具体目标</w:t>
      </w:r>
      <w:r w:rsidRPr="00523C44">
        <w:rPr>
          <w:rFonts w:eastAsia="黑体"/>
        </w:rPr>
        <w:t>5.A</w:t>
      </w:r>
      <w:r w:rsidRPr="00523C44">
        <w:rPr>
          <w:rFonts w:eastAsia="黑体"/>
        </w:rPr>
        <w:t>，重申其先前的建议</w:t>
      </w:r>
      <w:r w:rsidRPr="00523C44">
        <w:rPr>
          <w:rFonts w:eastAsia="黑体"/>
        </w:rPr>
        <w:t>(</w:t>
      </w:r>
      <w:hyperlink r:id="rId28" w:history="1">
        <w:r w:rsidRPr="00523C44">
          <w:rPr>
            <w:rStyle w:val="af4"/>
            <w:rFonts w:eastAsia="黑体"/>
          </w:rPr>
          <w:t>CEDAW/C/BGR/CO/4-7</w:t>
        </w:r>
      </w:hyperlink>
      <w:r w:rsidRPr="00523C44">
        <w:rPr>
          <w:rFonts w:eastAsia="黑体"/>
        </w:rPr>
        <w:t>，第</w:t>
      </w:r>
      <w:r w:rsidRPr="00523C44">
        <w:rPr>
          <w:rFonts w:eastAsia="黑体"/>
        </w:rPr>
        <w:t>40</w:t>
      </w:r>
      <w:r w:rsidRPr="00523C44">
        <w:rPr>
          <w:rFonts w:eastAsia="黑体"/>
        </w:rPr>
        <w:t>段</w:t>
      </w:r>
      <w:r w:rsidRPr="00523C44">
        <w:rPr>
          <w:rFonts w:eastAsia="黑体"/>
        </w:rPr>
        <w:t>)</w:t>
      </w:r>
      <w:r w:rsidRPr="00523C44">
        <w:rPr>
          <w:rFonts w:eastAsia="黑体"/>
        </w:rPr>
        <w:t>，并建议缔约国：</w:t>
      </w:r>
    </w:p>
    <w:p w14:paraId="66B0FA7B" w14:textId="77777777" w:rsidR="00FC35CD" w:rsidRPr="00523C44" w:rsidRDefault="00FC35CD" w:rsidP="00FC35CD">
      <w:pPr>
        <w:pStyle w:val="SingleTxt"/>
        <w:spacing w:after="100"/>
        <w:rPr>
          <w:rFonts w:eastAsia="黑体"/>
        </w:rPr>
      </w:pPr>
      <w:r w:rsidRPr="00523C44">
        <w:rPr>
          <w:rFonts w:eastAsia="黑体"/>
        </w:rPr>
        <w:tab/>
        <w:t>(a)</w:t>
      </w:r>
      <w:r w:rsidRPr="00523C44">
        <w:rPr>
          <w:rFonts w:eastAsia="黑体"/>
        </w:rPr>
        <w:tab/>
      </w:r>
      <w:r w:rsidRPr="00523C44">
        <w:rPr>
          <w:rFonts w:eastAsia="黑体"/>
        </w:rPr>
        <w:t>采取包括技能培训和技术教育等有针对性的措施，并便利妇女获得贷款和其他形式的金融信贷，以特别是在各区域支持和鼓励妇女创业，促进增强妇女经济权能；</w:t>
      </w:r>
    </w:p>
    <w:p w14:paraId="2E862E9B" w14:textId="77777777" w:rsidR="00FC35CD" w:rsidRPr="00523C44" w:rsidRDefault="00FC35CD" w:rsidP="00FC35CD">
      <w:pPr>
        <w:pStyle w:val="SingleTxt"/>
        <w:spacing w:after="100"/>
        <w:rPr>
          <w:rFonts w:eastAsia="黑体"/>
        </w:rPr>
      </w:pPr>
      <w:r w:rsidRPr="00523C44">
        <w:rPr>
          <w:rFonts w:eastAsia="黑体"/>
        </w:rPr>
        <w:tab/>
        <w:t>(b)</w:t>
      </w:r>
      <w:r w:rsidRPr="00523C44">
        <w:rPr>
          <w:rFonts w:eastAsia="黑体"/>
        </w:rPr>
        <w:tab/>
      </w:r>
      <w:r w:rsidRPr="00523C44">
        <w:rPr>
          <w:rFonts w:eastAsia="黑体"/>
        </w:rPr>
        <w:t>收集关于低收入妇女户主家庭的统计数据，并加强其消除贫穷女性化的方案；</w:t>
      </w:r>
    </w:p>
    <w:p w14:paraId="6CB6B5B1" w14:textId="77777777" w:rsidR="00FC35CD" w:rsidRPr="00553644" w:rsidRDefault="00FC35CD" w:rsidP="00FC35CD">
      <w:pPr>
        <w:pStyle w:val="SingleTxt"/>
        <w:rPr>
          <w:rFonts w:ascii="黑体" w:eastAsia="黑体" w:hAnsi="黑体"/>
        </w:rPr>
      </w:pPr>
      <w:r w:rsidRPr="00523C44">
        <w:rPr>
          <w:rFonts w:eastAsia="黑体"/>
        </w:rPr>
        <w:tab/>
        <w:t>(c)</w:t>
      </w:r>
      <w:r w:rsidRPr="00523C44">
        <w:rPr>
          <w:rFonts w:eastAsia="黑体"/>
        </w:rPr>
        <w:tab/>
      </w:r>
      <w:r w:rsidRPr="00523C44">
        <w:rPr>
          <w:rFonts w:eastAsia="黑体"/>
        </w:rPr>
        <w:t>制定具体干预措施，利用机会增强妇女的经济权能，确保妇女参与制定这些战略和方案，重点关注不仅作为受害者或</w:t>
      </w:r>
      <w:r w:rsidRPr="00553644">
        <w:rPr>
          <w:rFonts w:ascii="黑体" w:eastAsia="黑体" w:hAnsi="黑体" w:hint="eastAsia"/>
        </w:rPr>
        <w:t>受益人而且还作为这些政策制定和执行积极参与方的妇女。</w:t>
      </w:r>
    </w:p>
    <w:p w14:paraId="386528C9" w14:textId="77777777" w:rsidR="00FC35CD" w:rsidRPr="00553644" w:rsidRDefault="00FC35CD" w:rsidP="00FC35CD">
      <w:pPr>
        <w:pStyle w:val="SingleTxt"/>
        <w:rPr>
          <w:rFonts w:ascii="黑体" w:eastAsia="黑体" w:hAnsi="黑体"/>
        </w:rPr>
      </w:pPr>
      <w:r w:rsidRPr="00553644">
        <w:rPr>
          <w:rFonts w:ascii="黑体" w:eastAsia="黑体" w:hAnsi="黑体" w:hint="eastAsia"/>
        </w:rPr>
        <w:t>农村妇女、移徙妇女和寻求庇护妇女</w:t>
      </w:r>
    </w:p>
    <w:p w14:paraId="1BDA66A3" w14:textId="77777777" w:rsidR="00FC35CD" w:rsidRDefault="00FC35CD" w:rsidP="00FC35CD">
      <w:pPr>
        <w:pStyle w:val="SingleTxt"/>
      </w:pPr>
      <w:r>
        <w:rPr>
          <w:rFonts w:hint="eastAsia"/>
        </w:rPr>
        <w:t>37.</w:t>
      </w:r>
      <w:r>
        <w:rPr>
          <w:rFonts w:hint="eastAsia"/>
        </w:rPr>
        <w:tab/>
      </w:r>
      <w:r>
        <w:rPr>
          <w:rFonts w:hint="eastAsia"/>
        </w:rPr>
        <w:t>委员会注意到缔约国制定了《国家农村发展战略》，但它感到关切的是，该战略没有把妇女或性别平等列入其重点。委员会感到关切的是，农村妇女、移徙妇女和寻求庇护的妇女继续面临各种交叉形式的歧视，尤其是：</w:t>
      </w:r>
    </w:p>
    <w:p w14:paraId="24A036DC" w14:textId="77777777" w:rsidR="00FC35CD" w:rsidRDefault="00FC35CD" w:rsidP="00FC35CD">
      <w:pPr>
        <w:pStyle w:val="SingleTxt"/>
      </w:pPr>
      <w:r>
        <w:rPr>
          <w:rFonts w:hint="eastAsia"/>
        </w:rPr>
        <w:tab/>
        <w:t>(a)</w:t>
      </w:r>
      <w:r>
        <w:tab/>
      </w:r>
      <w:r>
        <w:rPr>
          <w:rFonts w:hint="eastAsia"/>
        </w:rPr>
        <w:t>农村妇女无法获得基础设施、交通、金融和其他对农业和经济活动的支持，这导致年轻妇女大规模移徙到城市地区和国外；</w:t>
      </w:r>
    </w:p>
    <w:p w14:paraId="31655FE1" w14:textId="77777777" w:rsidR="00FC35CD" w:rsidRDefault="00FC35CD" w:rsidP="00FC35CD">
      <w:pPr>
        <w:pStyle w:val="SingleTxt"/>
      </w:pPr>
      <w:r>
        <w:rPr>
          <w:rFonts w:hint="eastAsia"/>
        </w:rPr>
        <w:tab/>
        <w:t>(b)</w:t>
      </w:r>
      <w:r>
        <w:tab/>
      </w:r>
      <w:r>
        <w:rPr>
          <w:rFonts w:hint="eastAsia"/>
        </w:rPr>
        <w:t>移民和寻求庇护的妇女可能在该国居住多年，但获得保加利亚公民所可获得的服务特别是教育、保健和社会服务的机会有限；</w:t>
      </w:r>
    </w:p>
    <w:p w14:paraId="191BF8EE" w14:textId="77777777" w:rsidR="00FC35CD" w:rsidRDefault="00FC35CD" w:rsidP="00FC35CD">
      <w:pPr>
        <w:pStyle w:val="SingleTxt"/>
      </w:pPr>
      <w:r>
        <w:rPr>
          <w:rFonts w:hint="eastAsia"/>
        </w:rPr>
        <w:tab/>
        <w:t>(c)</w:t>
      </w:r>
      <w:r>
        <w:tab/>
      </w:r>
      <w:r>
        <w:rPr>
          <w:rFonts w:hint="eastAsia"/>
        </w:rPr>
        <w:t>移民和寻求庇护妇女进入政府开办的接待中心的机会有限，其原因是，在确定是否符合资格上要求严苛并缺乏有效的协调，并且这些中心缺乏符合联合国要求并且对性别敏感的接待条件。</w:t>
      </w:r>
    </w:p>
    <w:p w14:paraId="61299328" w14:textId="77777777" w:rsidR="00FC35CD" w:rsidRPr="00671916" w:rsidRDefault="00FC35CD" w:rsidP="00FC35CD">
      <w:pPr>
        <w:pStyle w:val="SingleTxt"/>
        <w:rPr>
          <w:rFonts w:ascii="黑体" w:eastAsia="黑体" w:hAnsi="黑体"/>
        </w:rPr>
      </w:pPr>
      <w:r>
        <w:rPr>
          <w:rFonts w:hint="eastAsia"/>
        </w:rPr>
        <w:t>38.</w:t>
      </w:r>
      <w:r>
        <w:rPr>
          <w:rFonts w:hint="eastAsia"/>
        </w:rPr>
        <w:tab/>
      </w:r>
      <w:r w:rsidRPr="00671916">
        <w:rPr>
          <w:rFonts w:ascii="黑体" w:eastAsia="黑体" w:hAnsi="黑体" w:hint="eastAsia"/>
        </w:rPr>
        <w:t>委员会建议缔约国：</w:t>
      </w:r>
    </w:p>
    <w:p w14:paraId="12FF576D" w14:textId="77777777" w:rsidR="00FC35CD" w:rsidRPr="00523C44" w:rsidRDefault="00FC35CD" w:rsidP="00FC35CD">
      <w:pPr>
        <w:pStyle w:val="SingleTxt"/>
        <w:rPr>
          <w:rFonts w:eastAsia="黑体"/>
        </w:rPr>
      </w:pPr>
      <w:r w:rsidRPr="00523C44">
        <w:rPr>
          <w:rFonts w:eastAsia="黑体"/>
        </w:rPr>
        <w:tab/>
        <w:t>(a)</w:t>
      </w:r>
      <w:r w:rsidRPr="00523C44">
        <w:rPr>
          <w:rFonts w:eastAsia="黑体"/>
        </w:rPr>
        <w:tab/>
      </w:r>
      <w:r w:rsidRPr="00523C44">
        <w:rPr>
          <w:rFonts w:eastAsia="黑体"/>
        </w:rPr>
        <w:t>根据委员会关于农村妇女权利的第</w:t>
      </w:r>
      <w:r w:rsidRPr="00523C44">
        <w:rPr>
          <w:rFonts w:eastAsia="黑体"/>
        </w:rPr>
        <w:t>34(2016)</w:t>
      </w:r>
      <w:r w:rsidRPr="00523C44">
        <w:rPr>
          <w:rFonts w:eastAsia="黑体"/>
        </w:rPr>
        <w:t>号一般性建议，加强努力以确保农村妇女充分获得社会、卫生、交通、基础设施和其他基本服务，并开展专门针对农村地区妇女的创收活动；</w:t>
      </w:r>
    </w:p>
    <w:p w14:paraId="68C9A7AB" w14:textId="77777777" w:rsidR="00FC35CD" w:rsidRPr="00523C44" w:rsidRDefault="00FC35CD" w:rsidP="00FC35CD">
      <w:pPr>
        <w:pStyle w:val="SingleTxt"/>
        <w:rPr>
          <w:rFonts w:eastAsia="黑体"/>
        </w:rPr>
      </w:pPr>
      <w:r w:rsidRPr="00523C44">
        <w:rPr>
          <w:rFonts w:eastAsia="黑体"/>
        </w:rPr>
        <w:tab/>
        <w:t>(b)</w:t>
      </w:r>
      <w:r w:rsidRPr="00523C44">
        <w:rPr>
          <w:rFonts w:eastAsia="黑体"/>
        </w:rPr>
        <w:tab/>
      </w:r>
      <w:r w:rsidRPr="00523C44">
        <w:rPr>
          <w:rFonts w:eastAsia="黑体"/>
        </w:rPr>
        <w:t>让</w:t>
      </w:r>
      <w:r w:rsidRPr="00613A7A">
        <w:rPr>
          <w:rFonts w:eastAsia="黑体"/>
        </w:rPr>
        <w:t>移徙妇女</w:t>
      </w:r>
      <w:r w:rsidRPr="00523C44">
        <w:rPr>
          <w:rFonts w:eastAsia="黑体"/>
        </w:rPr>
        <w:t>和寻求庇护的妇女有更多机会利用社会、卫生、交通、基础设施和其他基本服务；</w:t>
      </w:r>
    </w:p>
    <w:p w14:paraId="1B32385E" w14:textId="77777777" w:rsidR="00FC35CD" w:rsidRPr="00CE1D1D" w:rsidRDefault="00FC35CD" w:rsidP="00FC35CD">
      <w:pPr>
        <w:pStyle w:val="SingleTxt"/>
        <w:rPr>
          <w:rFonts w:eastAsia="黑体"/>
        </w:rPr>
      </w:pPr>
      <w:r w:rsidRPr="00523C44">
        <w:rPr>
          <w:rFonts w:eastAsia="黑体"/>
        </w:rPr>
        <w:tab/>
        <w:t>(c)</w:t>
      </w:r>
      <w:r w:rsidRPr="00523C44">
        <w:rPr>
          <w:rFonts w:eastAsia="黑体"/>
        </w:rPr>
        <w:tab/>
      </w:r>
      <w:r w:rsidRPr="00523C44">
        <w:rPr>
          <w:rFonts w:eastAsia="黑体"/>
        </w:rPr>
        <w:t>在国营接待中</w:t>
      </w:r>
      <w:r w:rsidRPr="00671916">
        <w:rPr>
          <w:rFonts w:ascii="黑体" w:eastAsia="黑体" w:hAnsi="黑体" w:hint="eastAsia"/>
        </w:rPr>
        <w:t>心实施对性别敏感做</w:t>
      </w:r>
      <w:r w:rsidRPr="00CE1D1D">
        <w:rPr>
          <w:rFonts w:eastAsia="黑体" w:hint="eastAsia"/>
        </w:rPr>
        <w:t>法，承认</w:t>
      </w:r>
      <w:r w:rsidRPr="00CE1D1D">
        <w:rPr>
          <w:rFonts w:eastAsia="黑体"/>
        </w:rPr>
        <w:t>移徙妇女</w:t>
      </w:r>
      <w:r w:rsidRPr="00CE1D1D">
        <w:rPr>
          <w:rFonts w:eastAsia="黑体" w:hint="eastAsia"/>
        </w:rPr>
        <w:t>和寻求庇护妇女特别是孕妇、残疾妇女、单身妇和老年妇女的具体需要。</w:t>
      </w:r>
    </w:p>
    <w:p w14:paraId="70A9418A" w14:textId="77777777" w:rsidR="00FC35CD" w:rsidRPr="00671916" w:rsidRDefault="00FC35CD" w:rsidP="00FC35CD">
      <w:pPr>
        <w:pStyle w:val="SingleTxt"/>
        <w:rPr>
          <w:rFonts w:ascii="黑体" w:eastAsia="黑体" w:hAnsi="黑体"/>
        </w:rPr>
      </w:pPr>
      <w:r w:rsidRPr="00671916">
        <w:rPr>
          <w:rFonts w:ascii="黑体" w:eastAsia="黑体" w:hAnsi="黑体" w:hint="eastAsia"/>
        </w:rPr>
        <w:t>面临多样和交叉形式歧视的妇女和女童</w:t>
      </w:r>
    </w:p>
    <w:p w14:paraId="284451B5" w14:textId="77777777" w:rsidR="00FC35CD" w:rsidRDefault="00FC35CD" w:rsidP="00FC35CD">
      <w:pPr>
        <w:pStyle w:val="SingleTxt"/>
      </w:pPr>
      <w:r>
        <w:rPr>
          <w:rFonts w:hint="eastAsia"/>
        </w:rPr>
        <w:t>39.</w:t>
      </w:r>
      <w:r>
        <w:rPr>
          <w:rFonts w:hint="eastAsia"/>
        </w:rPr>
        <w:tab/>
      </w:r>
      <w:r>
        <w:rPr>
          <w:rFonts w:hint="eastAsia"/>
        </w:rPr>
        <w:t>委员会感到关切的是，残疾妇女和女童以及女同性恋者、</w:t>
      </w:r>
      <w:r>
        <w:rPr>
          <w:rFonts w:hint="eastAsia"/>
        </w:rPr>
        <w:t xml:space="preserve"> </w:t>
      </w:r>
      <w:r>
        <w:rPr>
          <w:rFonts w:hint="eastAsia"/>
        </w:rPr>
        <w:t>双性恋、跨性别者与双性人继续面临各种交叉形式的歧视和基于性别的暴力行为。</w:t>
      </w:r>
    </w:p>
    <w:p w14:paraId="5FFF48EB" w14:textId="77777777" w:rsidR="00FC35CD" w:rsidRPr="0003265D" w:rsidRDefault="00FC35CD" w:rsidP="00FC35CD">
      <w:pPr>
        <w:pStyle w:val="SingleTxt"/>
        <w:rPr>
          <w:rFonts w:ascii="黑体" w:eastAsia="黑体" w:hAnsi="黑体"/>
        </w:rPr>
      </w:pPr>
      <w:r>
        <w:rPr>
          <w:rFonts w:hint="eastAsia"/>
        </w:rPr>
        <w:t>40.</w:t>
      </w:r>
      <w:r>
        <w:rPr>
          <w:rFonts w:hint="eastAsia"/>
        </w:rPr>
        <w:tab/>
      </w:r>
      <w:r w:rsidRPr="0003265D">
        <w:rPr>
          <w:rFonts w:ascii="黑体" w:eastAsia="黑体" w:hAnsi="黑体" w:hint="eastAsia"/>
        </w:rPr>
        <w:t>委员会建议缔约国紧急执行</w:t>
      </w:r>
      <w:r>
        <w:rPr>
          <w:rFonts w:ascii="黑体" w:eastAsia="黑体" w:hAnsi="黑体" w:hint="eastAsia"/>
        </w:rPr>
        <w:t>有针对性的</w:t>
      </w:r>
      <w:r w:rsidRPr="0003265D">
        <w:rPr>
          <w:rFonts w:ascii="黑体" w:eastAsia="黑体" w:hAnsi="黑体" w:hint="eastAsia"/>
        </w:rPr>
        <w:t>措施，以实现诸如残疾妇女和女</w:t>
      </w:r>
      <w:r>
        <w:rPr>
          <w:rFonts w:ascii="黑体" w:eastAsia="黑体" w:hAnsi="黑体" w:hint="eastAsia"/>
        </w:rPr>
        <w:t>童</w:t>
      </w:r>
      <w:r w:rsidRPr="0003265D">
        <w:rPr>
          <w:rFonts w:ascii="黑体" w:eastAsia="黑体" w:hAnsi="黑体" w:hint="eastAsia"/>
        </w:rPr>
        <w:t>、女同性恋者、双性恋、跨性别</w:t>
      </w:r>
      <w:r>
        <w:rPr>
          <w:rFonts w:ascii="黑体" w:eastAsia="黑体" w:hAnsi="黑体" w:hint="eastAsia"/>
        </w:rPr>
        <w:t>的妇女</w:t>
      </w:r>
      <w:r w:rsidRPr="0003265D">
        <w:rPr>
          <w:rFonts w:ascii="黑体" w:eastAsia="黑体" w:hAnsi="黑体" w:hint="eastAsia"/>
        </w:rPr>
        <w:t>与双性人之类面临交叉形式歧视的妇女和女</w:t>
      </w:r>
      <w:r>
        <w:rPr>
          <w:rFonts w:ascii="黑体" w:eastAsia="黑体" w:hAnsi="黑体" w:hint="eastAsia"/>
        </w:rPr>
        <w:t>童</w:t>
      </w:r>
      <w:r w:rsidRPr="0003265D">
        <w:rPr>
          <w:rFonts w:ascii="黑体" w:eastAsia="黑体" w:hAnsi="黑体" w:hint="eastAsia"/>
        </w:rPr>
        <w:t>在社会所有各</w:t>
      </w:r>
      <w:r>
        <w:rPr>
          <w:rFonts w:ascii="黑体" w:eastAsia="黑体" w:hAnsi="黑体" w:hint="eastAsia"/>
        </w:rPr>
        <w:t>阶段</w:t>
      </w:r>
      <w:r w:rsidRPr="0003265D">
        <w:rPr>
          <w:rFonts w:ascii="黑体" w:eastAsia="黑体" w:hAnsi="黑体" w:hint="eastAsia"/>
        </w:rPr>
        <w:t>的实质性平等。</w:t>
      </w:r>
    </w:p>
    <w:p w14:paraId="5F9D5A1A" w14:textId="77777777" w:rsidR="00FC35CD" w:rsidRDefault="00FC35CD" w:rsidP="00FC35CD">
      <w:pPr>
        <w:pStyle w:val="SingleTxt"/>
      </w:pPr>
      <w:r w:rsidRPr="0003265D">
        <w:rPr>
          <w:rFonts w:ascii="黑体" w:eastAsia="黑体" w:hAnsi="黑体" w:hint="eastAsia"/>
        </w:rPr>
        <w:t>罗姆妇女</w:t>
      </w:r>
    </w:p>
    <w:p w14:paraId="32968584" w14:textId="77777777" w:rsidR="00FC35CD" w:rsidRDefault="00FC35CD" w:rsidP="00FC35CD">
      <w:pPr>
        <w:pStyle w:val="SingleTxt"/>
      </w:pPr>
      <w:r>
        <w:rPr>
          <w:rFonts w:hint="eastAsia"/>
        </w:rPr>
        <w:t>41.</w:t>
      </w:r>
      <w:r>
        <w:rPr>
          <w:rFonts w:hint="eastAsia"/>
        </w:rPr>
        <w:tab/>
      </w:r>
      <w:r>
        <w:rPr>
          <w:rFonts w:hint="eastAsia"/>
        </w:rPr>
        <w:t>委员会注意到缔约国根据</w:t>
      </w:r>
      <w:r>
        <w:rPr>
          <w:rFonts w:hint="eastAsia"/>
        </w:rPr>
        <w:t>2012-2020</w:t>
      </w:r>
      <w:r>
        <w:rPr>
          <w:rFonts w:hint="eastAsia"/>
        </w:rPr>
        <w:t>年期间《罗姆人融入国家战略》采取的措施。然而，委员会感到关切的是，这些措施并没有改变罗姆妇女和女童的看法或处境，她们经常遭受各种形式的歧视和边缘化，并继续面临污名和有害做法。</w:t>
      </w:r>
    </w:p>
    <w:p w14:paraId="538CEC46" w14:textId="77777777" w:rsidR="00FC35CD" w:rsidRPr="00935E90" w:rsidRDefault="00FC35CD" w:rsidP="00FC35CD">
      <w:pPr>
        <w:pStyle w:val="SingleTxt"/>
        <w:rPr>
          <w:rFonts w:ascii="黑体" w:eastAsia="黑体" w:hAnsi="黑体"/>
        </w:rPr>
      </w:pPr>
      <w:r>
        <w:rPr>
          <w:rFonts w:hint="eastAsia"/>
        </w:rPr>
        <w:t>42.</w:t>
      </w:r>
      <w:r>
        <w:rPr>
          <w:rFonts w:hint="eastAsia"/>
        </w:rPr>
        <w:tab/>
      </w:r>
      <w:r w:rsidRPr="00935E90">
        <w:rPr>
          <w:rFonts w:ascii="黑体" w:eastAsia="黑体" w:hAnsi="黑体" w:hint="eastAsia"/>
        </w:rPr>
        <w:t>委员会建议缔约国：</w:t>
      </w:r>
    </w:p>
    <w:p w14:paraId="605112AB" w14:textId="77777777" w:rsidR="00FC35CD" w:rsidRPr="00523C44" w:rsidRDefault="00FC35CD" w:rsidP="00FC35CD">
      <w:pPr>
        <w:pStyle w:val="SingleTxt"/>
        <w:rPr>
          <w:rFonts w:eastAsia="黑体"/>
        </w:rPr>
      </w:pPr>
      <w:r w:rsidRPr="00523C44">
        <w:rPr>
          <w:rFonts w:eastAsia="黑体"/>
        </w:rPr>
        <w:tab/>
        <w:t>(a)</w:t>
      </w:r>
      <w:r w:rsidRPr="00523C44">
        <w:rPr>
          <w:rFonts w:eastAsia="黑体"/>
        </w:rPr>
        <w:tab/>
      </w:r>
      <w:r w:rsidRPr="00523C44">
        <w:rPr>
          <w:rFonts w:eastAsia="黑体"/>
          <w:spacing w:val="2"/>
        </w:rPr>
        <w:t>采取有针对性的措施，打击针对罗姆妇女和女童的相互交织的各种歧视</w:t>
      </w:r>
      <w:r w:rsidRPr="00523C44">
        <w:rPr>
          <w:rFonts w:eastAsia="黑体"/>
        </w:rPr>
        <w:t>，包括她们在获得教育、就业、保健、住房及其他社会服务方面受到的歧视；</w:t>
      </w:r>
    </w:p>
    <w:p w14:paraId="214610C6" w14:textId="77777777" w:rsidR="00FC35CD" w:rsidRPr="00523C44" w:rsidRDefault="00FC35CD" w:rsidP="00FC35CD">
      <w:pPr>
        <w:pStyle w:val="SingleTxt"/>
        <w:rPr>
          <w:rFonts w:eastAsia="黑体"/>
        </w:rPr>
      </w:pPr>
      <w:r w:rsidRPr="00523C44">
        <w:rPr>
          <w:rFonts w:eastAsia="黑体"/>
        </w:rPr>
        <w:tab/>
        <w:t>(b)</w:t>
      </w:r>
      <w:r w:rsidRPr="00523C44">
        <w:rPr>
          <w:rFonts w:eastAsia="黑体"/>
        </w:rPr>
        <w:tab/>
      </w:r>
      <w:r w:rsidRPr="00523C44">
        <w:rPr>
          <w:rFonts w:eastAsia="黑体"/>
        </w:rPr>
        <w:t>加强和实施针对罗姆妇女和女童的性别平等、减贫和社会包容方案；</w:t>
      </w:r>
    </w:p>
    <w:p w14:paraId="17FE4FED" w14:textId="77777777" w:rsidR="00FC35CD" w:rsidRPr="00523C44" w:rsidRDefault="00FC35CD" w:rsidP="00FC35CD">
      <w:pPr>
        <w:pStyle w:val="SingleTxt"/>
        <w:rPr>
          <w:rFonts w:eastAsia="黑体"/>
        </w:rPr>
      </w:pPr>
      <w:r w:rsidRPr="00523C44">
        <w:rPr>
          <w:rFonts w:eastAsia="黑体"/>
        </w:rPr>
        <w:tab/>
        <w:t>(c)</w:t>
      </w:r>
      <w:r w:rsidRPr="00523C44">
        <w:rPr>
          <w:rFonts w:eastAsia="黑体"/>
        </w:rPr>
        <w:tab/>
      </w:r>
      <w:r w:rsidRPr="00523C44">
        <w:rPr>
          <w:rFonts w:eastAsia="黑体"/>
        </w:rPr>
        <w:t>与代表罗姆妇女的国家教育机构和民间社会组织接触，以协调行动，减少偏见，打击族裔陈规定型观念和歧视，促进罗姆妇女平等参与生活的所有领域；</w:t>
      </w:r>
    </w:p>
    <w:p w14:paraId="124D0254" w14:textId="77777777" w:rsidR="00FC35CD" w:rsidRPr="00935E90" w:rsidRDefault="00FC35CD" w:rsidP="00FC35CD">
      <w:pPr>
        <w:pStyle w:val="SingleTxt"/>
        <w:rPr>
          <w:rFonts w:ascii="黑体" w:eastAsia="黑体" w:hAnsi="黑体"/>
        </w:rPr>
      </w:pPr>
      <w:r w:rsidRPr="00523C44">
        <w:rPr>
          <w:rFonts w:eastAsia="黑体"/>
        </w:rPr>
        <w:tab/>
        <w:t>(d)</w:t>
      </w:r>
      <w:r w:rsidRPr="00523C44">
        <w:rPr>
          <w:rFonts w:eastAsia="黑体"/>
        </w:rPr>
        <w:tab/>
      </w:r>
      <w:r w:rsidRPr="00523C44">
        <w:rPr>
          <w:rFonts w:eastAsia="黑体"/>
        </w:rPr>
        <w:t>对</w:t>
      </w:r>
      <w:r w:rsidRPr="00523C44">
        <w:rPr>
          <w:rFonts w:eastAsia="黑体"/>
        </w:rPr>
        <w:t>2012-2020</w:t>
      </w:r>
      <w:r w:rsidRPr="00523C44">
        <w:rPr>
          <w:rFonts w:eastAsia="黑体"/>
        </w:rPr>
        <w:t>年期间《罗姆人</w:t>
      </w:r>
      <w:r w:rsidRPr="00935E90">
        <w:rPr>
          <w:rFonts w:ascii="黑体" w:eastAsia="黑体" w:hAnsi="黑体" w:hint="eastAsia"/>
        </w:rPr>
        <w:t>融入国家战略》进行多部门</w:t>
      </w:r>
      <w:r>
        <w:rPr>
          <w:rFonts w:ascii="黑体" w:eastAsia="黑体" w:hAnsi="黑体" w:hint="eastAsia"/>
        </w:rPr>
        <w:t>的</w:t>
      </w:r>
      <w:r w:rsidRPr="00935E90">
        <w:rPr>
          <w:rFonts w:ascii="黑体" w:eastAsia="黑体" w:hAnsi="黑体" w:hint="eastAsia"/>
        </w:rPr>
        <w:t>性别评估，重点是该战略对罗姆妇女和女</w:t>
      </w:r>
      <w:r>
        <w:rPr>
          <w:rFonts w:ascii="黑体" w:eastAsia="黑体" w:hAnsi="黑体" w:hint="eastAsia"/>
        </w:rPr>
        <w:t>童</w:t>
      </w:r>
      <w:r w:rsidRPr="00935E90">
        <w:rPr>
          <w:rFonts w:ascii="黑体" w:eastAsia="黑体" w:hAnsi="黑体" w:hint="eastAsia"/>
        </w:rPr>
        <w:t>的影响。</w:t>
      </w:r>
    </w:p>
    <w:p w14:paraId="2F5F1214" w14:textId="77777777" w:rsidR="00FC35CD" w:rsidRPr="00935E90" w:rsidRDefault="00FC35CD" w:rsidP="00FC35CD">
      <w:pPr>
        <w:pStyle w:val="SingleTxt"/>
        <w:rPr>
          <w:rFonts w:ascii="黑体" w:eastAsia="黑体" w:hAnsi="黑体"/>
        </w:rPr>
      </w:pPr>
      <w:r w:rsidRPr="00935E90">
        <w:rPr>
          <w:rFonts w:ascii="黑体" w:eastAsia="黑体" w:hAnsi="黑体" w:hint="eastAsia"/>
        </w:rPr>
        <w:t>婚姻和家庭关系</w:t>
      </w:r>
    </w:p>
    <w:p w14:paraId="6D4560A1" w14:textId="77777777" w:rsidR="00FC35CD" w:rsidRDefault="00FC35CD" w:rsidP="00FC35CD">
      <w:pPr>
        <w:pStyle w:val="SingleTxt"/>
      </w:pPr>
      <w:r>
        <w:rPr>
          <w:rFonts w:hint="eastAsia"/>
        </w:rPr>
        <w:t>43.</w:t>
      </w:r>
      <w:r>
        <w:rPr>
          <w:rFonts w:hint="eastAsia"/>
        </w:rPr>
        <w:tab/>
      </w:r>
      <w:r>
        <w:rPr>
          <w:rFonts w:hint="eastAsia"/>
        </w:rPr>
        <w:t>委员会关切地注意到：</w:t>
      </w:r>
    </w:p>
    <w:p w14:paraId="1998F8C0" w14:textId="77777777" w:rsidR="00FC35CD" w:rsidRDefault="00FC35CD" w:rsidP="00FC35CD">
      <w:pPr>
        <w:pStyle w:val="SingleTxt"/>
      </w:pPr>
      <w:r>
        <w:rPr>
          <w:rFonts w:hint="eastAsia"/>
        </w:rPr>
        <w:tab/>
        <w:t>(a)</w:t>
      </w:r>
      <w:r>
        <w:tab/>
      </w:r>
      <w:r>
        <w:rPr>
          <w:rFonts w:hint="eastAsia"/>
        </w:rPr>
        <w:t>尽管《家庭法》规定女童和男孩的最低结婚年龄均为</w:t>
      </w:r>
      <w:r>
        <w:rPr>
          <w:rFonts w:hint="eastAsia"/>
        </w:rPr>
        <w:t>18</w:t>
      </w:r>
      <w:r>
        <w:rPr>
          <w:rFonts w:hint="eastAsia"/>
        </w:rPr>
        <w:t>岁，并且禁止与</w:t>
      </w:r>
      <w:r>
        <w:rPr>
          <w:rFonts w:hint="eastAsia"/>
        </w:rPr>
        <w:t>16</w:t>
      </w:r>
      <w:r>
        <w:rPr>
          <w:rFonts w:hint="eastAsia"/>
        </w:rPr>
        <w:t>岁以下的人同居，但童婚和与儿童同居在罗姆人口中仍然普遍存在；</w:t>
      </w:r>
    </w:p>
    <w:p w14:paraId="1C8BA5C2" w14:textId="77777777" w:rsidR="00FC35CD" w:rsidRDefault="00FC35CD" w:rsidP="00FC35CD">
      <w:pPr>
        <w:pStyle w:val="SingleTxt"/>
      </w:pPr>
      <w:r>
        <w:rPr>
          <w:rFonts w:hint="eastAsia"/>
        </w:rPr>
        <w:tab/>
        <w:t>(b)</w:t>
      </w:r>
      <w:r>
        <w:tab/>
      </w:r>
      <w:r>
        <w:rPr>
          <w:rFonts w:hint="eastAsia"/>
        </w:rPr>
        <w:t>缺乏对赡养费支付的强制执行；</w:t>
      </w:r>
    </w:p>
    <w:p w14:paraId="3462CC4F" w14:textId="77777777" w:rsidR="00FC35CD" w:rsidRDefault="00FC35CD" w:rsidP="00FC35CD">
      <w:pPr>
        <w:pStyle w:val="SingleTxt"/>
      </w:pPr>
      <w:r>
        <w:rPr>
          <w:rFonts w:hint="eastAsia"/>
        </w:rPr>
        <w:tab/>
        <w:t>(c)</w:t>
      </w:r>
      <w:r>
        <w:tab/>
      </w:r>
      <w:r>
        <w:rPr>
          <w:rFonts w:hint="eastAsia"/>
        </w:rPr>
        <w:t>在家庭暴力案件的离婚诉讼中使用调解；</w:t>
      </w:r>
    </w:p>
    <w:p w14:paraId="4D44BB74" w14:textId="77777777" w:rsidR="00FC35CD" w:rsidRDefault="00FC35CD" w:rsidP="00FC35CD">
      <w:pPr>
        <w:pStyle w:val="SingleTxt"/>
      </w:pPr>
      <w:r>
        <w:rPr>
          <w:rFonts w:hint="eastAsia"/>
        </w:rPr>
        <w:tab/>
        <w:t>(d)</w:t>
      </w:r>
      <w:r>
        <w:tab/>
      </w:r>
      <w:r>
        <w:rPr>
          <w:rFonts w:hint="eastAsia"/>
        </w:rPr>
        <w:t>未向儿童特别是向其父母在国外工作的女童提供保护以免其受到虐待。</w:t>
      </w:r>
    </w:p>
    <w:p w14:paraId="60D8394A" w14:textId="77777777" w:rsidR="00FC35CD" w:rsidRPr="004C2CEC" w:rsidRDefault="00FC35CD" w:rsidP="00FC35CD">
      <w:pPr>
        <w:pStyle w:val="SingleTxt"/>
        <w:rPr>
          <w:rFonts w:ascii="黑体" w:eastAsia="黑体" w:hAnsi="黑体"/>
        </w:rPr>
      </w:pPr>
      <w:r>
        <w:rPr>
          <w:rFonts w:hint="eastAsia"/>
        </w:rPr>
        <w:t>44.</w:t>
      </w:r>
      <w:r>
        <w:rPr>
          <w:rFonts w:hint="eastAsia"/>
        </w:rPr>
        <w:tab/>
      </w:r>
      <w:r w:rsidRPr="004C2CEC">
        <w:rPr>
          <w:rFonts w:ascii="黑体" w:eastAsia="黑体" w:hAnsi="黑体" w:hint="eastAsia"/>
        </w:rPr>
        <w:t>委员会建议缔约国：</w:t>
      </w:r>
    </w:p>
    <w:p w14:paraId="621AB827" w14:textId="77777777" w:rsidR="00FC35CD" w:rsidRPr="00523C44" w:rsidRDefault="00FC35CD" w:rsidP="00FC35CD">
      <w:pPr>
        <w:pStyle w:val="SingleTxt"/>
        <w:rPr>
          <w:rFonts w:eastAsia="黑体"/>
        </w:rPr>
      </w:pPr>
      <w:r w:rsidRPr="004C2CEC">
        <w:rPr>
          <w:rFonts w:ascii="黑体" w:eastAsia="黑体" w:hAnsi="黑体" w:hint="eastAsia"/>
        </w:rPr>
        <w:tab/>
      </w:r>
      <w:r w:rsidRPr="00523C44">
        <w:rPr>
          <w:rFonts w:eastAsia="黑体"/>
        </w:rPr>
        <w:t>(a)</w:t>
      </w:r>
      <w:r w:rsidRPr="00523C44">
        <w:rPr>
          <w:rFonts w:eastAsia="黑体"/>
        </w:rPr>
        <w:tab/>
      </w:r>
      <w:r w:rsidRPr="00523C44">
        <w:rPr>
          <w:rFonts w:eastAsia="黑体"/>
        </w:rPr>
        <w:t>通过主管当局、非政府组织和罗姆人社区领导人的协调行动，特别是通过以下方式防止和消除童婚和</w:t>
      </w:r>
      <w:r w:rsidRPr="00523C44">
        <w:rPr>
          <w:rFonts w:eastAsia="黑体"/>
        </w:rPr>
        <w:t>/</w:t>
      </w:r>
      <w:r w:rsidRPr="00523C44">
        <w:rPr>
          <w:rFonts w:eastAsia="黑体"/>
        </w:rPr>
        <w:t>或强迫婚姻：</w:t>
      </w:r>
    </w:p>
    <w:p w14:paraId="36179C11" w14:textId="77777777" w:rsidR="00FC35CD" w:rsidRPr="00523C44" w:rsidRDefault="00FC35CD" w:rsidP="00FC35CD">
      <w:pPr>
        <w:pStyle w:val="SingleTxt"/>
        <w:ind w:left="2126"/>
        <w:rPr>
          <w:rFonts w:eastAsia="黑体"/>
        </w:rPr>
      </w:pPr>
      <w:r w:rsidRPr="00523C44">
        <w:rPr>
          <w:rFonts w:eastAsia="黑体"/>
        </w:rPr>
        <w:t>㈠</w:t>
      </w:r>
      <w:r w:rsidRPr="00523C44">
        <w:rPr>
          <w:rFonts w:eastAsia="黑体"/>
        </w:rPr>
        <w:tab/>
      </w:r>
      <w:r w:rsidRPr="00523C44">
        <w:rPr>
          <w:rFonts w:eastAsia="黑体"/>
        </w:rPr>
        <w:t>加强提高认识运动，宣传这种婚姻对妇女和女童的康和福祉的负面影响；</w:t>
      </w:r>
    </w:p>
    <w:p w14:paraId="42CB013B" w14:textId="77777777" w:rsidR="00FC35CD" w:rsidRPr="00523C44" w:rsidRDefault="00FC35CD" w:rsidP="00FC35CD">
      <w:pPr>
        <w:pStyle w:val="SingleTxt"/>
        <w:ind w:left="2126"/>
        <w:rPr>
          <w:rFonts w:eastAsia="黑体"/>
        </w:rPr>
      </w:pPr>
      <w:r w:rsidRPr="00523C44">
        <w:rPr>
          <w:rFonts w:eastAsia="黑体"/>
        </w:rPr>
        <w:t>㈡</w:t>
      </w:r>
      <w:r w:rsidRPr="00523C44">
        <w:rPr>
          <w:rFonts w:eastAsia="黑体"/>
        </w:rPr>
        <w:tab/>
      </w:r>
      <w:r w:rsidRPr="00523C44">
        <w:rPr>
          <w:rFonts w:eastAsia="黑体"/>
        </w:rPr>
        <w:t>建立这类婚姻案件的侦查机制；</w:t>
      </w:r>
    </w:p>
    <w:p w14:paraId="00FB1219" w14:textId="77777777" w:rsidR="00FC35CD" w:rsidRPr="00523C44" w:rsidRDefault="00FC35CD" w:rsidP="00FC35CD">
      <w:pPr>
        <w:pStyle w:val="SingleTxt"/>
        <w:ind w:left="2126"/>
        <w:rPr>
          <w:rFonts w:eastAsia="黑体"/>
        </w:rPr>
      </w:pPr>
      <w:r w:rsidRPr="00523C44">
        <w:rPr>
          <w:rFonts w:eastAsia="黑体"/>
        </w:rPr>
        <w:t>㈢</w:t>
      </w:r>
      <w:r w:rsidRPr="00523C44">
        <w:rPr>
          <w:rFonts w:eastAsia="黑体"/>
        </w:rPr>
        <w:tab/>
      </w:r>
      <w:r w:rsidRPr="00523C44">
        <w:rPr>
          <w:rFonts w:eastAsia="黑体"/>
        </w:rPr>
        <w:t>确保对所有这类案件展开调查，并对责任人予以起诉并给予适当惩罚；</w:t>
      </w:r>
    </w:p>
    <w:p w14:paraId="3AF1FE82" w14:textId="77777777" w:rsidR="00FC35CD" w:rsidRPr="00523C44" w:rsidRDefault="00FC35CD" w:rsidP="00FC35CD">
      <w:pPr>
        <w:pStyle w:val="SingleTxt"/>
        <w:ind w:left="2126"/>
        <w:rPr>
          <w:rFonts w:eastAsia="黑体"/>
        </w:rPr>
      </w:pPr>
      <w:r w:rsidRPr="00523C44">
        <w:rPr>
          <w:rFonts w:eastAsia="黑体"/>
        </w:rPr>
        <w:t>㈣</w:t>
      </w:r>
      <w:r w:rsidRPr="00523C44">
        <w:rPr>
          <w:rFonts w:eastAsia="黑体"/>
        </w:rPr>
        <w:tab/>
      </w:r>
      <w:r w:rsidRPr="00523C44">
        <w:rPr>
          <w:rFonts w:eastAsia="黑体"/>
        </w:rPr>
        <w:t>有系统地收集关于强迫婚姻和与未成年人同居案件的报告案件数目、对这类案件展开调查、起诉、定罪和予以处罚的数据。</w:t>
      </w:r>
    </w:p>
    <w:p w14:paraId="70BD8842" w14:textId="77777777" w:rsidR="00FC35CD" w:rsidRPr="00523C44" w:rsidRDefault="00FC35CD" w:rsidP="00FC35CD">
      <w:pPr>
        <w:pStyle w:val="SingleTxt"/>
        <w:rPr>
          <w:rFonts w:eastAsia="黑体"/>
        </w:rPr>
      </w:pPr>
      <w:r w:rsidRPr="00523C44">
        <w:rPr>
          <w:rFonts w:eastAsia="黑体"/>
        </w:rPr>
        <w:tab/>
        <w:t>(b)</w:t>
      </w:r>
      <w:r w:rsidRPr="00523C44">
        <w:rPr>
          <w:rFonts w:eastAsia="黑体"/>
        </w:rPr>
        <w:tab/>
      </w:r>
      <w:r w:rsidRPr="00523C44">
        <w:rPr>
          <w:rFonts w:eastAsia="黑体"/>
        </w:rPr>
        <w:t>确保严格执行赡养费义务，包括为此加大对不遵守赡养费义务的处罚，并确保在父母未遵守赡养费义务时由国家提供赡养费；</w:t>
      </w:r>
    </w:p>
    <w:p w14:paraId="322138C6" w14:textId="77777777" w:rsidR="00FC35CD" w:rsidRPr="00523C44" w:rsidRDefault="00FC35CD" w:rsidP="00FC35CD">
      <w:pPr>
        <w:pStyle w:val="SingleTxt"/>
        <w:rPr>
          <w:rFonts w:eastAsia="黑体"/>
        </w:rPr>
      </w:pPr>
      <w:r w:rsidRPr="00523C44">
        <w:rPr>
          <w:rFonts w:eastAsia="黑体"/>
        </w:rPr>
        <w:tab/>
        <w:t>(c)</w:t>
      </w:r>
      <w:r w:rsidRPr="00523C44">
        <w:rPr>
          <w:rFonts w:eastAsia="黑体"/>
        </w:rPr>
        <w:tab/>
      </w:r>
      <w:r w:rsidRPr="00523C44">
        <w:rPr>
          <w:rFonts w:eastAsia="黑体"/>
        </w:rPr>
        <w:t>废除根据《家庭法》在离婚诉讼中进行调解的任何要求；</w:t>
      </w:r>
    </w:p>
    <w:p w14:paraId="3F8BD3E1" w14:textId="77777777" w:rsidR="00FC35CD" w:rsidRPr="004C2CEC" w:rsidRDefault="00FC35CD" w:rsidP="00FC35CD">
      <w:pPr>
        <w:pStyle w:val="SingleTxt"/>
        <w:rPr>
          <w:rFonts w:ascii="黑体" w:eastAsia="黑体" w:hAnsi="黑体"/>
        </w:rPr>
      </w:pPr>
      <w:r w:rsidRPr="00523C44">
        <w:rPr>
          <w:rFonts w:eastAsia="黑体"/>
        </w:rPr>
        <w:tab/>
        <w:t>(d)</w:t>
      </w:r>
      <w:r w:rsidRPr="00523C44">
        <w:rPr>
          <w:rFonts w:eastAsia="黑体"/>
        </w:rPr>
        <w:tab/>
      </w:r>
      <w:r w:rsidRPr="00523C44">
        <w:rPr>
          <w:rFonts w:eastAsia="黑体"/>
        </w:rPr>
        <w:t>确保保护父母在国外工作</w:t>
      </w:r>
      <w:r w:rsidRPr="004C2CEC">
        <w:rPr>
          <w:rFonts w:ascii="黑体" w:eastAsia="黑体" w:hAnsi="黑体" w:hint="eastAsia"/>
        </w:rPr>
        <w:t>的女</w:t>
      </w:r>
      <w:r>
        <w:rPr>
          <w:rFonts w:ascii="黑体" w:eastAsia="黑体" w:hAnsi="黑体" w:hint="eastAsia"/>
        </w:rPr>
        <w:t>童</w:t>
      </w:r>
      <w:r w:rsidRPr="004C2CEC">
        <w:rPr>
          <w:rFonts w:ascii="黑体" w:eastAsia="黑体" w:hAnsi="黑体" w:hint="eastAsia"/>
        </w:rPr>
        <w:t>和男孩免受性虐待和性剥削。</w:t>
      </w:r>
    </w:p>
    <w:p w14:paraId="724C314E" w14:textId="77777777" w:rsidR="00FC35CD" w:rsidRPr="004C2CEC" w:rsidRDefault="00FC35CD" w:rsidP="00FC35CD">
      <w:pPr>
        <w:pStyle w:val="SingleTxt"/>
        <w:rPr>
          <w:rFonts w:ascii="黑体" w:eastAsia="黑体" w:hAnsi="黑体"/>
        </w:rPr>
      </w:pPr>
      <w:r w:rsidRPr="004C2CEC">
        <w:rPr>
          <w:rFonts w:ascii="黑体" w:eastAsia="黑体" w:hAnsi="黑体" w:hint="eastAsia"/>
        </w:rPr>
        <w:t>数据收集和分析</w:t>
      </w:r>
    </w:p>
    <w:p w14:paraId="700C83FB" w14:textId="77777777" w:rsidR="00FC35CD" w:rsidRDefault="00FC35CD" w:rsidP="00FC35CD">
      <w:pPr>
        <w:pStyle w:val="SingleTxt"/>
      </w:pPr>
      <w:r>
        <w:rPr>
          <w:rFonts w:hint="eastAsia"/>
        </w:rPr>
        <w:t>45.</w:t>
      </w:r>
      <w:r>
        <w:rPr>
          <w:rFonts w:hint="eastAsia"/>
        </w:rPr>
        <w:tab/>
      </w:r>
      <w:r>
        <w:rPr>
          <w:rFonts w:hint="eastAsia"/>
        </w:rPr>
        <w:t>令委</w:t>
      </w:r>
      <w:r w:rsidRPr="0023575E">
        <w:rPr>
          <w:rFonts w:hint="eastAsia"/>
          <w:spacing w:val="-2"/>
        </w:rPr>
        <w:t>员会感到遗憾的是，按性别、年龄、族裔、移民状况、残疾和其他相关因素分列的统计数据有限，而这些数据将使缔约国能够确定对妇女和女童歧视的程度和性质，制定知情和有针对性的政策，并系统监测和评估在《公约》所涉所有领域实现男女实质性平等以及可持续发展目标中与性别相关的目标方面取得的进展。</w:t>
      </w:r>
    </w:p>
    <w:p w14:paraId="2B301DC2" w14:textId="77777777" w:rsidR="00FC35CD" w:rsidRPr="00D53CD3" w:rsidRDefault="00FC35CD" w:rsidP="00FC35CD">
      <w:pPr>
        <w:pStyle w:val="SingleTxt"/>
        <w:rPr>
          <w:rFonts w:ascii="黑体" w:eastAsia="黑体" w:hAnsi="黑体"/>
        </w:rPr>
      </w:pPr>
      <w:r>
        <w:rPr>
          <w:rFonts w:hint="eastAsia"/>
        </w:rPr>
        <w:t>46.</w:t>
      </w:r>
      <w:r>
        <w:rPr>
          <w:rFonts w:hint="eastAsia"/>
        </w:rPr>
        <w:tab/>
      </w:r>
      <w:r w:rsidRPr="00D53CD3">
        <w:rPr>
          <w:rFonts w:ascii="黑体" w:eastAsia="黑体" w:hAnsi="黑体" w:hint="eastAsia"/>
        </w:rPr>
        <w:t>委员会建议缔约国加强收集、分析和传播按性别、年龄、族裔、移民状况、残疾和其他相关因素分列的综合数据的工作，并利用可衡量指标评估妇女处境方面的趋势以及妇女在《公约》涵盖的所有各领域实现实质性平等和可持续发展目标性别相关具体目标方面的进展。</w:t>
      </w:r>
    </w:p>
    <w:p w14:paraId="6FF272C4" w14:textId="77777777" w:rsidR="00FC35CD" w:rsidRPr="00D53CD3" w:rsidRDefault="00FC35CD" w:rsidP="00FC35CD">
      <w:pPr>
        <w:pStyle w:val="SingleTxt"/>
        <w:rPr>
          <w:rFonts w:ascii="黑体" w:eastAsia="黑体" w:hAnsi="黑体"/>
        </w:rPr>
      </w:pPr>
      <w:r w:rsidRPr="00D53CD3">
        <w:rPr>
          <w:rFonts w:ascii="黑体" w:eastAsia="黑体" w:hAnsi="黑体" w:hint="eastAsia"/>
        </w:rPr>
        <w:t>《北京宣言》和《行动纲要》</w:t>
      </w:r>
    </w:p>
    <w:p w14:paraId="4329BA7F" w14:textId="77777777" w:rsidR="00FC35CD" w:rsidRPr="00D53CD3" w:rsidRDefault="00FC35CD" w:rsidP="00FC35CD">
      <w:pPr>
        <w:pStyle w:val="SingleTxt"/>
        <w:rPr>
          <w:rFonts w:ascii="黑体" w:eastAsia="黑体" w:hAnsi="黑体"/>
        </w:rPr>
      </w:pPr>
      <w:r>
        <w:rPr>
          <w:rFonts w:hint="eastAsia"/>
        </w:rPr>
        <w:t>47.</w:t>
      </w:r>
      <w:r>
        <w:rPr>
          <w:rFonts w:hint="eastAsia"/>
        </w:rPr>
        <w:tab/>
      </w:r>
      <w:r w:rsidRPr="00D53CD3">
        <w:rPr>
          <w:rFonts w:ascii="黑体" w:eastAsia="黑体" w:hAnsi="黑体" w:hint="eastAsia"/>
        </w:rPr>
        <w:t>委员会吁请缔约国利用《北京宣言》和《行动纲要》，并根据对《宣言》和《纲要》实施情况的25年审查，进一步评价《公约》所载各项权利的实现情况，以实现男女实质性平等。</w:t>
      </w:r>
    </w:p>
    <w:p w14:paraId="32E46631" w14:textId="77777777" w:rsidR="00FC35CD" w:rsidRPr="00D53CD3" w:rsidRDefault="00FC35CD" w:rsidP="00FC35CD">
      <w:pPr>
        <w:pStyle w:val="SingleTxt"/>
        <w:rPr>
          <w:rFonts w:ascii="黑体" w:eastAsia="黑体" w:hAnsi="黑体"/>
        </w:rPr>
      </w:pPr>
      <w:r w:rsidRPr="00D53CD3">
        <w:rPr>
          <w:rFonts w:ascii="黑体" w:eastAsia="黑体" w:hAnsi="黑体" w:hint="eastAsia"/>
        </w:rPr>
        <w:t>传播</w:t>
      </w:r>
    </w:p>
    <w:p w14:paraId="7F312749" w14:textId="77777777" w:rsidR="00FC35CD" w:rsidRPr="00BF6353" w:rsidRDefault="00FC35CD" w:rsidP="00FC35CD">
      <w:pPr>
        <w:pStyle w:val="SingleTxt"/>
        <w:rPr>
          <w:rFonts w:ascii="黑体" w:eastAsia="黑体" w:hAnsi="黑体"/>
        </w:rPr>
      </w:pPr>
      <w:r>
        <w:rPr>
          <w:rFonts w:hint="eastAsia"/>
        </w:rPr>
        <w:t>48.</w:t>
      </w:r>
      <w:r>
        <w:rPr>
          <w:rFonts w:hint="eastAsia"/>
        </w:rPr>
        <w:tab/>
      </w:r>
      <w:r w:rsidRPr="00BF6353">
        <w:rPr>
          <w:rFonts w:ascii="黑体" w:eastAsia="黑体" w:hAnsi="黑体" w:hint="eastAsia"/>
        </w:rPr>
        <w:t>委员会请缔约国确保以其官方语文向相关所有各级(国家、区域和地方)国家机构尤其是向政府、各部委、议会和司法部门及时传播本结论性意见，，以使其得到充分落实。</w:t>
      </w:r>
    </w:p>
    <w:p w14:paraId="1BBD1249" w14:textId="77777777" w:rsidR="00FC35CD" w:rsidRPr="00BF6353" w:rsidRDefault="00FC35CD" w:rsidP="00FC35CD">
      <w:pPr>
        <w:pStyle w:val="SingleTxt"/>
        <w:rPr>
          <w:rFonts w:ascii="黑体" w:eastAsia="黑体" w:hAnsi="黑体"/>
        </w:rPr>
      </w:pPr>
      <w:r w:rsidRPr="00BF6353">
        <w:rPr>
          <w:rFonts w:ascii="黑体" w:eastAsia="黑体" w:hAnsi="黑体" w:hint="eastAsia"/>
        </w:rPr>
        <w:t>批准其他条约</w:t>
      </w:r>
    </w:p>
    <w:p w14:paraId="3F732A40" w14:textId="5C23F420" w:rsidR="00FC35CD" w:rsidRPr="00BF6353" w:rsidRDefault="00FC35CD" w:rsidP="00FC35CD">
      <w:pPr>
        <w:pStyle w:val="SingleTxt"/>
        <w:rPr>
          <w:rFonts w:ascii="黑体" w:eastAsia="黑体" w:hAnsi="黑体"/>
        </w:rPr>
      </w:pPr>
      <w:r>
        <w:rPr>
          <w:rFonts w:hint="eastAsia"/>
        </w:rPr>
        <w:t>49.</w:t>
      </w:r>
      <w:r>
        <w:rPr>
          <w:rFonts w:hint="eastAsia"/>
        </w:rPr>
        <w:tab/>
      </w:r>
      <w:r w:rsidRPr="00BF6353">
        <w:rPr>
          <w:rFonts w:ascii="黑体" w:eastAsia="黑体" w:hAnsi="黑体" w:hint="eastAsia"/>
        </w:rPr>
        <w:t>委员会指出，缔约国如能加入九大国际人权文书，便可以促进妇女在生活各方面享有人权和基本自由。</w:t>
      </w:r>
      <w:r w:rsidR="00F13178">
        <w:rPr>
          <w:rStyle w:val="a3"/>
          <w:rFonts w:ascii="黑体" w:eastAsia="黑体" w:hAnsi="黑体"/>
        </w:rPr>
        <w:footnoteReference w:id="1"/>
      </w:r>
      <w:r w:rsidRPr="00BF6353">
        <w:rPr>
          <w:rFonts w:ascii="黑体" w:eastAsia="黑体" w:hAnsi="黑体" w:hint="eastAsia"/>
        </w:rPr>
        <w:t>因此，委员会鼓励缔约国批准其尚未加入的《保护所有移徙工人及其家庭成员权利公约》和《保护所有人免遭强迫失踪问题国际公约》</w:t>
      </w:r>
      <w:r>
        <w:rPr>
          <w:rFonts w:ascii="黑体" w:eastAsia="黑体" w:hAnsi="黑体" w:hint="eastAsia"/>
        </w:rPr>
        <w:t>。</w:t>
      </w:r>
    </w:p>
    <w:p w14:paraId="4028A7C6" w14:textId="77777777" w:rsidR="00FC35CD" w:rsidRPr="00BF6353" w:rsidRDefault="00FC35CD" w:rsidP="00FC35CD">
      <w:pPr>
        <w:pStyle w:val="SingleTxt"/>
        <w:rPr>
          <w:rFonts w:ascii="黑体" w:eastAsia="黑体" w:hAnsi="黑体"/>
        </w:rPr>
      </w:pPr>
      <w:r w:rsidRPr="00BF6353">
        <w:rPr>
          <w:rFonts w:ascii="黑体" w:eastAsia="黑体" w:hAnsi="黑体" w:hint="eastAsia"/>
        </w:rPr>
        <w:t>结论性意见的后续行动</w:t>
      </w:r>
    </w:p>
    <w:p w14:paraId="72B93E8E" w14:textId="63C37DA8" w:rsidR="00FC35CD" w:rsidRPr="00523C44" w:rsidRDefault="00FC35CD" w:rsidP="00FC35CD">
      <w:pPr>
        <w:pStyle w:val="SingleTxt"/>
        <w:rPr>
          <w:rFonts w:eastAsia="黑体"/>
        </w:rPr>
      </w:pPr>
      <w:r>
        <w:rPr>
          <w:rFonts w:hint="eastAsia"/>
        </w:rPr>
        <w:t>50.</w:t>
      </w:r>
      <w:r>
        <w:rPr>
          <w:rFonts w:hint="eastAsia"/>
        </w:rPr>
        <w:tab/>
      </w:r>
      <w:r w:rsidRPr="00523C44">
        <w:rPr>
          <w:rFonts w:eastAsia="黑体"/>
        </w:rPr>
        <w:t>委员会请缔约国在两年内提供书面资料，说明为落实上文第</w:t>
      </w:r>
      <w:r w:rsidRPr="00523C44">
        <w:rPr>
          <w:rFonts w:eastAsia="黑体"/>
        </w:rPr>
        <w:t>16(a)</w:t>
      </w:r>
      <w:r w:rsidRPr="00523C44">
        <w:rPr>
          <w:rFonts w:eastAsia="黑体"/>
        </w:rPr>
        <w:t>和</w:t>
      </w:r>
      <w:r w:rsidR="001852EA" w:rsidRPr="00523C44">
        <w:rPr>
          <w:rFonts w:eastAsia="黑体"/>
        </w:rPr>
        <w:t>(</w:t>
      </w:r>
      <w:r w:rsidRPr="00523C44">
        <w:rPr>
          <w:rFonts w:eastAsia="黑体"/>
        </w:rPr>
        <w:t>b</w:t>
      </w:r>
      <w:r w:rsidR="001852EA" w:rsidRPr="00523C44">
        <w:rPr>
          <w:rFonts w:eastAsia="黑体"/>
        </w:rPr>
        <w:t>)</w:t>
      </w:r>
      <w:r w:rsidRPr="00523C44">
        <w:rPr>
          <w:rFonts w:eastAsia="黑体"/>
        </w:rPr>
        <w:t>段、第</w:t>
      </w:r>
      <w:r w:rsidRPr="00523C44">
        <w:rPr>
          <w:rFonts w:eastAsia="黑体"/>
        </w:rPr>
        <w:t>24(c)</w:t>
      </w:r>
      <w:r w:rsidRPr="00523C44">
        <w:rPr>
          <w:rFonts w:eastAsia="黑体"/>
        </w:rPr>
        <w:t>段和第</w:t>
      </w:r>
      <w:r w:rsidRPr="00523C44">
        <w:rPr>
          <w:rFonts w:eastAsia="黑体"/>
        </w:rPr>
        <w:t>34(c)</w:t>
      </w:r>
      <w:r w:rsidRPr="00523C44">
        <w:rPr>
          <w:rFonts w:eastAsia="黑体"/>
        </w:rPr>
        <w:t>段所载建议而采取的措施。</w:t>
      </w:r>
    </w:p>
    <w:p w14:paraId="47A1AF71" w14:textId="77777777" w:rsidR="00FC35CD" w:rsidRPr="00523C44" w:rsidRDefault="00FC35CD" w:rsidP="00FC35CD">
      <w:pPr>
        <w:pStyle w:val="SingleTxt"/>
        <w:rPr>
          <w:rFonts w:eastAsia="黑体"/>
        </w:rPr>
      </w:pPr>
      <w:r w:rsidRPr="00523C44">
        <w:rPr>
          <w:rFonts w:eastAsia="黑体"/>
        </w:rPr>
        <w:t>编写下次报告</w:t>
      </w:r>
      <w:bookmarkStart w:id="2" w:name="TmpSave"/>
      <w:bookmarkEnd w:id="2"/>
    </w:p>
    <w:p w14:paraId="20D46495" w14:textId="77777777" w:rsidR="00FC35CD" w:rsidRPr="00523C44" w:rsidRDefault="00FC35CD" w:rsidP="00FC35CD">
      <w:pPr>
        <w:pStyle w:val="SingleTxt"/>
      </w:pPr>
      <w:r w:rsidRPr="00523C44">
        <w:t>51.</w:t>
      </w:r>
      <w:r w:rsidRPr="00523C44">
        <w:tab/>
      </w:r>
      <w:r w:rsidRPr="00523C44">
        <w:rPr>
          <w:rFonts w:eastAsia="黑体"/>
        </w:rPr>
        <w:t>委员会请缔约国于</w:t>
      </w:r>
      <w:r w:rsidRPr="00523C44">
        <w:rPr>
          <w:rFonts w:eastAsia="黑体"/>
        </w:rPr>
        <w:t>2024</w:t>
      </w:r>
      <w:r w:rsidRPr="00523C44">
        <w:rPr>
          <w:rFonts w:eastAsia="黑体"/>
        </w:rPr>
        <w:t>年</w:t>
      </w:r>
      <w:r w:rsidRPr="00523C44">
        <w:rPr>
          <w:rFonts w:eastAsia="黑体"/>
        </w:rPr>
        <w:t>2</w:t>
      </w:r>
      <w:r w:rsidRPr="00523C44">
        <w:rPr>
          <w:rFonts w:eastAsia="黑体"/>
        </w:rPr>
        <w:t>月提交其第九次定期报告。报告应按时提交并涵盖截至提交之时的整个时期</w:t>
      </w:r>
      <w:r w:rsidRPr="00523C44">
        <w:t>。</w:t>
      </w:r>
    </w:p>
    <w:p w14:paraId="466DC94A" w14:textId="13C47765" w:rsidR="0089177B" w:rsidRPr="00523C44" w:rsidRDefault="00FC35CD" w:rsidP="00FC35CD">
      <w:pPr>
        <w:pStyle w:val="SingleTxt"/>
      </w:pPr>
      <w:r w:rsidRPr="00523C44">
        <w:t>52.</w:t>
      </w:r>
      <w:r w:rsidRPr="00523C44">
        <w:tab/>
      </w:r>
      <w:r w:rsidRPr="00523C44">
        <w:rPr>
          <w:rFonts w:eastAsia="黑体"/>
        </w:rPr>
        <w:t>委员会请缔约国遵守《包括共同核心文件和条约专要文件准则在内的根据国际人权条约提交报告的协调准则》</w:t>
      </w:r>
      <w:r w:rsidRPr="00523C44">
        <w:rPr>
          <w:rFonts w:eastAsia="黑体"/>
        </w:rPr>
        <w:t>(</w:t>
      </w:r>
      <w:hyperlink r:id="rId29" w:history="1">
        <w:r w:rsidRPr="00523C44">
          <w:rPr>
            <w:rStyle w:val="af4"/>
            <w:rFonts w:eastAsia="黑体"/>
          </w:rPr>
          <w:t>HRI/GEN/2/Rev.6</w:t>
        </w:r>
      </w:hyperlink>
      <w:r w:rsidRPr="00523C44">
        <w:rPr>
          <w:rFonts w:eastAsia="黑体"/>
        </w:rPr>
        <w:t>，第一章</w:t>
      </w:r>
      <w:r w:rsidRPr="00523C44">
        <w:rPr>
          <w:rFonts w:eastAsia="黑体"/>
        </w:rPr>
        <w:t>)</w:t>
      </w:r>
      <w:r w:rsidRPr="00523C44">
        <w:t>。</w:t>
      </w:r>
    </w:p>
    <w:p w14:paraId="7CCFFE09" w14:textId="77777777" w:rsidR="0089177B" w:rsidRPr="009307B1" w:rsidRDefault="0089177B" w:rsidP="0089177B">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14:anchorId="5FCA3697" wp14:editId="6B9D2594">
                <wp:simplePos x="0" y="0"/>
                <wp:positionH relativeFrom="margin">
                  <wp:align>center</wp:align>
                </wp:positionH>
                <wp:positionV relativeFrom="paragraph">
                  <wp:posOffset>189931</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79B8533F" id="直接连接符 4" o:spid="_x0000_s1026" style="position:absolute;left:0;text-align:left;z-index:251660288;visibility:visible;mso-wrap-style:square;mso-wrap-distance-left:9pt;mso-wrap-distance-top:0;mso-wrap-distance-right:9pt;mso-wrap-distance-bottom:0;mso-position-horizontal:center;mso-position-horizontal-relative:margin;mso-position-vertical:absolute;mso-position-vertical-relative:text" from="0,14.95pt" to="1in,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" strokecolor="#010000" strokeweight=".25pt">
                <w10:wrap anchorx="margin"/>
              </v:line>
            </w:pict>
          </mc:Fallback>
        </mc:AlternateContent>
      </w:r>
    </w:p>
    <w:p w14:paraId="1E2BD778" w14:textId="77777777" w:rsidR="00B31E9D" w:rsidRPr="0089177B" w:rsidRDefault="00B31E9D" w:rsidP="00C50EF3">
      <w:pPr>
        <w:pStyle w:val="SingleTxt"/>
      </w:pPr>
    </w:p>
    <w:sectPr w:rsidR="00B31E9D" w:rsidRPr="0089177B" w:rsidSect="007D326F">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5T12:08:00Z" w:initials="Start">
    <w:p w14:paraId="2CF5070B" w14:textId="77777777" w:rsidR="007D326F" w:rsidRDefault="007D326F">
      <w:pPr>
        <w:pStyle w:val="a9"/>
      </w:pPr>
      <w:r>
        <w:rPr>
          <w:rStyle w:val="ad"/>
        </w:rPr>
        <w:annotationRef/>
      </w:r>
      <w:r>
        <w:t>&lt;&lt;ODS JOB NO&gt;&gt;N2006218C&lt;&lt;ODS JOB NO&gt;&gt;</w:t>
      </w:r>
    </w:p>
    <w:p w14:paraId="4F1BFC73" w14:textId="77777777" w:rsidR="007D326F" w:rsidRDefault="007D326F">
      <w:pPr>
        <w:pStyle w:val="a9"/>
      </w:pPr>
      <w:r>
        <w:t>&lt;&lt;ODS DOC SYMBOL1&gt;&gt;CEDAW/C/BGR/CO/8&lt;&lt;ODS DOC SYMBOL1&gt;&gt;</w:t>
      </w:r>
    </w:p>
    <w:p w14:paraId="7FB09E3E" w14:textId="77777777" w:rsidR="007D326F" w:rsidRDefault="007D326F">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B09E3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FB09E3E" w16cid:durableId="221899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E494EA" w14:textId="77777777" w:rsidR="0051081A" w:rsidRDefault="0051081A">
      <w:r>
        <w:separator/>
      </w:r>
    </w:p>
  </w:endnote>
  <w:endnote w:type="continuationSeparator" w:id="0">
    <w:p w14:paraId="701040DD" w14:textId="77777777" w:rsidR="0051081A" w:rsidRDefault="00510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w:panose1 w:val="020F0502020204030204"/>
    <w:charset w:val="00"/>
    <w:family w:val="swiss"/>
    <w:pitch w:val="variable"/>
    <w:sig w:usb0="E00002FF" w:usb1="4000ACFF" w:usb2="00000001" w:usb3="00000000" w:csb0="0000019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D326F" w14:paraId="754D9743" w14:textId="77777777" w:rsidTr="00C50EF3">
      <w:tc>
        <w:tcPr>
          <w:tcW w:w="4920" w:type="dxa"/>
          <w:shd w:val="clear" w:color="auto" w:fill="auto"/>
        </w:tcPr>
        <w:p w14:paraId="51C799F0" w14:textId="002C74C2" w:rsidR="007D326F" w:rsidRPr="00C50EF3" w:rsidRDefault="007D326F" w:rsidP="00C50EF3">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4798">
            <w:rPr>
              <w:b w:val="0"/>
              <w:w w:val="103"/>
              <w:sz w:val="14"/>
            </w:rPr>
            <w:t>20-03729</w:t>
          </w:r>
          <w:r>
            <w:rPr>
              <w:b w:val="0"/>
              <w:w w:val="103"/>
              <w:sz w:val="14"/>
            </w:rPr>
            <w:fldChar w:fldCharType="end"/>
          </w:r>
        </w:p>
      </w:tc>
      <w:tc>
        <w:tcPr>
          <w:tcW w:w="4920" w:type="dxa"/>
          <w:shd w:val="clear" w:color="auto" w:fill="auto"/>
        </w:tcPr>
        <w:p w14:paraId="7169722A" w14:textId="77777777" w:rsidR="007D326F" w:rsidRPr="00C50EF3" w:rsidRDefault="007D326F" w:rsidP="00C50EF3">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CB0D5A8" w14:textId="77777777" w:rsidR="007D326F" w:rsidRPr="00C50EF3" w:rsidRDefault="007D326F" w:rsidP="00C50EF3">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D326F" w14:paraId="5E149827" w14:textId="77777777" w:rsidTr="00C50EF3">
      <w:tc>
        <w:tcPr>
          <w:tcW w:w="4920" w:type="dxa"/>
          <w:shd w:val="clear" w:color="auto" w:fill="auto"/>
        </w:tcPr>
        <w:p w14:paraId="3D989510" w14:textId="77777777" w:rsidR="007D326F" w:rsidRPr="00C50EF3" w:rsidRDefault="007D326F" w:rsidP="00C50EF3">
          <w:pPr>
            <w:pStyle w:val="af2"/>
            <w:jc w:val="right"/>
          </w:pPr>
          <w:r>
            <w:fldChar w:fldCharType="begin"/>
          </w:r>
          <w:r>
            <w:instrText xml:space="preserve"> PAGE  \* Arabic  \* MERGEFORMAT </w:instrText>
          </w:r>
          <w:r>
            <w:fldChar w:fldCharType="separate"/>
          </w:r>
          <w:r>
            <w:t>2</w:t>
          </w:r>
          <w:r>
            <w:fldChar w:fldCharType="end"/>
          </w:r>
          <w:r>
            <w:t>/</w:t>
          </w:r>
          <w:r w:rsidR="00904798">
            <w:fldChar w:fldCharType="begin"/>
          </w:r>
          <w:r w:rsidR="00904798">
            <w:instrText xml:space="preserve"> NUMPAGES  \* Arabic  \* MERGEFORMAT </w:instrText>
          </w:r>
          <w:r w:rsidR="00904798">
            <w:fldChar w:fldCharType="separate"/>
          </w:r>
          <w:r>
            <w:t>3</w:t>
          </w:r>
          <w:r w:rsidR="00904798">
            <w:fldChar w:fldCharType="end"/>
          </w:r>
        </w:p>
      </w:tc>
      <w:tc>
        <w:tcPr>
          <w:tcW w:w="4920" w:type="dxa"/>
          <w:shd w:val="clear" w:color="auto" w:fill="auto"/>
        </w:tcPr>
        <w:p w14:paraId="219B4E39" w14:textId="2B6F3B1A" w:rsidR="007D326F" w:rsidRPr="00C50EF3" w:rsidRDefault="007D326F" w:rsidP="00C50EF3">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4798">
            <w:rPr>
              <w:b w:val="0"/>
              <w:w w:val="103"/>
              <w:sz w:val="14"/>
            </w:rPr>
            <w:t>20-03729</w:t>
          </w:r>
          <w:r>
            <w:rPr>
              <w:b w:val="0"/>
              <w:w w:val="103"/>
              <w:sz w:val="14"/>
            </w:rPr>
            <w:fldChar w:fldCharType="end"/>
          </w:r>
        </w:p>
      </w:tc>
    </w:tr>
  </w:tbl>
  <w:p w14:paraId="571DF9E4" w14:textId="77777777" w:rsidR="007D326F" w:rsidRPr="00C50EF3" w:rsidRDefault="007D326F" w:rsidP="00C50EF3">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7D326F" w14:paraId="365F855B" w14:textId="77777777" w:rsidTr="00C50EF3">
      <w:tc>
        <w:tcPr>
          <w:tcW w:w="3744" w:type="dxa"/>
          <w:shd w:val="clear" w:color="auto" w:fill="auto"/>
        </w:tcPr>
        <w:p w14:paraId="7E9BFD34" w14:textId="29436583" w:rsidR="007D326F" w:rsidRDefault="007D326F" w:rsidP="00C50EF3">
          <w:pPr>
            <w:pStyle w:val="Release"/>
          </w:pPr>
          <w:r>
            <w:rPr>
              <w:noProof/>
            </w:rPr>
            <w:drawing>
              <wp:anchor distT="0" distB="0" distL="114300" distR="114300" simplePos="0" relativeHeight="251658240" behindDoc="0" locked="0" layoutInCell="1" allowOverlap="1" wp14:anchorId="5977B5E5" wp14:editId="608A0282">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904798">
            <w:fldChar w:fldCharType="begin"/>
          </w:r>
          <w:r w:rsidR="00904798">
            <w:instrText xml:space="preserve"> DOCVARIABLE "jobn" \* MERGEFORMAT </w:instrText>
          </w:r>
          <w:r w:rsidR="00904798">
            <w:fldChar w:fldCharType="separate"/>
          </w:r>
          <w:r w:rsidR="00904798">
            <w:t>20-03729 (C)</w:t>
          </w:r>
          <w:r w:rsidR="00904798">
            <w:fldChar w:fldCharType="end"/>
          </w:r>
          <w:r>
            <w:t xml:space="preserve">    130320    060420</w:t>
          </w:r>
        </w:p>
        <w:p w14:paraId="414DA961" w14:textId="77777777" w:rsidR="007D326F" w:rsidRPr="00C50EF3" w:rsidRDefault="007D326F" w:rsidP="00C50EF3">
          <w:pPr>
            <w:spacing w:before="80" w:line="210" w:lineRule="exact"/>
            <w:rPr>
              <w:rFonts w:ascii="Barcode 3 of 9 by request" w:hAnsi="Barcode 3 of 9 by request"/>
              <w:sz w:val="24"/>
            </w:rPr>
          </w:pPr>
          <w:r>
            <w:rPr>
              <w:rFonts w:ascii="Barcode 3 of 9 by request" w:hAnsi="Barcode 3 of 9 by request"/>
              <w:b/>
              <w:sz w:val="24"/>
            </w:rPr>
            <w:t>*2003729*</w:t>
          </w:r>
        </w:p>
      </w:tc>
      <w:tc>
        <w:tcPr>
          <w:tcW w:w="4920" w:type="dxa"/>
          <w:shd w:val="clear" w:color="auto" w:fill="auto"/>
        </w:tcPr>
        <w:p w14:paraId="5B67C0E2" w14:textId="77777777" w:rsidR="007D326F" w:rsidRDefault="007D326F" w:rsidP="00C50EF3">
          <w:pPr>
            <w:pStyle w:val="af2"/>
            <w:jc w:val="right"/>
            <w:rPr>
              <w:b w:val="0"/>
              <w:sz w:val="21"/>
            </w:rPr>
          </w:pPr>
          <w:r>
            <w:rPr>
              <w:b w:val="0"/>
              <w:sz w:val="21"/>
            </w:rPr>
            <w:drawing>
              <wp:inline distT="0" distB="0" distL="0" distR="0" wp14:anchorId="298F19C8" wp14:editId="71DCDE5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098BB314" w14:textId="77777777" w:rsidR="007D326F" w:rsidRPr="00C50EF3" w:rsidRDefault="007D326F" w:rsidP="00C50EF3">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0BC1B" w14:textId="515CB098" w:rsidR="0051081A" w:rsidRPr="00F13178" w:rsidRDefault="00F13178" w:rsidP="00F13178">
      <w:pPr>
        <w:pStyle w:val="af2"/>
        <w:spacing w:after="80"/>
        <w:ind w:left="792"/>
        <w:rPr>
          <w:sz w:val="16"/>
        </w:rPr>
      </w:pPr>
      <w:r w:rsidRPr="00F13178">
        <w:rPr>
          <w:sz w:val="16"/>
        </w:rPr>
        <w:t>__________________</w:t>
      </w:r>
    </w:p>
  </w:footnote>
  <w:footnote w:type="continuationSeparator" w:id="0">
    <w:p w14:paraId="0DE3D96C" w14:textId="638AFC5D" w:rsidR="0051081A" w:rsidRPr="00F13178" w:rsidRDefault="00F13178" w:rsidP="00F13178">
      <w:pPr>
        <w:pStyle w:val="af2"/>
        <w:spacing w:after="80"/>
        <w:ind w:left="792"/>
        <w:rPr>
          <w:sz w:val="16"/>
        </w:rPr>
      </w:pPr>
      <w:r w:rsidRPr="00F13178">
        <w:rPr>
          <w:sz w:val="16"/>
        </w:rPr>
        <w:t>__________________</w:t>
      </w:r>
    </w:p>
  </w:footnote>
  <w:footnote w:id="1">
    <w:p w14:paraId="6A5961BD" w14:textId="642ACE69" w:rsidR="00F13178" w:rsidRPr="00F13178" w:rsidRDefault="00F13178" w:rsidP="00F13178">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w w:val="150"/>
        </w:rPr>
      </w:pPr>
      <w:r>
        <w:tab/>
      </w:r>
      <w:r>
        <w:rPr>
          <w:rStyle w:val="a3"/>
        </w:rPr>
        <w:footnoteRef/>
      </w:r>
      <w:r>
        <w:tab/>
      </w:r>
      <w:r w:rsidRPr="00F13178">
        <w:rPr>
          <w:rFonts w:hint="eastAsia"/>
        </w:rPr>
        <w:t>《经济、社会及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D326F" w14:paraId="2EAE806C" w14:textId="77777777" w:rsidTr="00C50EF3">
      <w:trPr>
        <w:trHeight w:hRule="exact" w:val="864"/>
      </w:trPr>
      <w:tc>
        <w:tcPr>
          <w:tcW w:w="4925" w:type="dxa"/>
          <w:shd w:val="clear" w:color="auto" w:fill="auto"/>
          <w:vAlign w:val="bottom"/>
        </w:tcPr>
        <w:p w14:paraId="01A4CF2B" w14:textId="4CA3EBC1" w:rsidR="007D326F" w:rsidRPr="00C50EF3" w:rsidRDefault="007D326F" w:rsidP="00C50EF3">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04798">
            <w:rPr>
              <w:b/>
              <w:sz w:val="17"/>
            </w:rPr>
            <w:t>CEDAW/C/BGR/CO/8</w:t>
          </w:r>
          <w:r>
            <w:rPr>
              <w:b/>
              <w:sz w:val="17"/>
            </w:rPr>
            <w:fldChar w:fldCharType="end"/>
          </w:r>
        </w:p>
      </w:tc>
      <w:tc>
        <w:tcPr>
          <w:tcW w:w="4920" w:type="dxa"/>
          <w:shd w:val="clear" w:color="auto" w:fill="auto"/>
          <w:vAlign w:val="bottom"/>
        </w:tcPr>
        <w:p w14:paraId="2AAC4A63" w14:textId="77777777" w:rsidR="007D326F" w:rsidRDefault="007D326F" w:rsidP="00C50EF3">
          <w:pPr>
            <w:pStyle w:val="af0"/>
          </w:pPr>
        </w:p>
      </w:tc>
    </w:tr>
  </w:tbl>
  <w:p w14:paraId="77818703" w14:textId="77777777" w:rsidR="007D326F" w:rsidRPr="00C50EF3" w:rsidRDefault="007D326F" w:rsidP="00C50EF3">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D326F" w14:paraId="323E5866" w14:textId="77777777" w:rsidTr="00C50EF3">
      <w:trPr>
        <w:trHeight w:hRule="exact" w:val="864"/>
      </w:trPr>
      <w:tc>
        <w:tcPr>
          <w:tcW w:w="4925" w:type="dxa"/>
          <w:shd w:val="clear" w:color="auto" w:fill="auto"/>
          <w:vAlign w:val="bottom"/>
        </w:tcPr>
        <w:p w14:paraId="1858D3EA" w14:textId="77777777" w:rsidR="007D326F" w:rsidRDefault="007D326F" w:rsidP="00C50EF3">
          <w:pPr>
            <w:pStyle w:val="af0"/>
          </w:pPr>
        </w:p>
      </w:tc>
      <w:tc>
        <w:tcPr>
          <w:tcW w:w="4920" w:type="dxa"/>
          <w:shd w:val="clear" w:color="auto" w:fill="auto"/>
          <w:vAlign w:val="bottom"/>
        </w:tcPr>
        <w:p w14:paraId="22C67334" w14:textId="31F12046" w:rsidR="007D326F" w:rsidRPr="00C50EF3" w:rsidRDefault="007D326F" w:rsidP="00C50EF3">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04798">
            <w:rPr>
              <w:b/>
              <w:sz w:val="17"/>
            </w:rPr>
            <w:t>CEDAW/C/BGR/CO/8</w:t>
          </w:r>
          <w:r>
            <w:rPr>
              <w:b/>
              <w:sz w:val="17"/>
            </w:rPr>
            <w:fldChar w:fldCharType="end"/>
          </w:r>
        </w:p>
      </w:tc>
    </w:tr>
  </w:tbl>
  <w:p w14:paraId="1CD217F9" w14:textId="77777777" w:rsidR="007D326F" w:rsidRPr="00C50EF3" w:rsidRDefault="007D326F" w:rsidP="00C50EF3">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D326F" w14:paraId="1419A330" w14:textId="77777777" w:rsidTr="00C50EF3">
      <w:trPr>
        <w:trHeight w:hRule="exact" w:val="864"/>
      </w:trPr>
      <w:tc>
        <w:tcPr>
          <w:tcW w:w="1267" w:type="dxa"/>
          <w:tcBorders>
            <w:bottom w:val="single" w:sz="4" w:space="0" w:color="auto"/>
          </w:tcBorders>
          <w:shd w:val="clear" w:color="auto" w:fill="auto"/>
          <w:vAlign w:val="bottom"/>
        </w:tcPr>
        <w:p w14:paraId="45E27344" w14:textId="77777777" w:rsidR="007D326F" w:rsidRDefault="007D326F" w:rsidP="00C50EF3">
          <w:pPr>
            <w:pStyle w:val="af0"/>
            <w:spacing w:after="120"/>
          </w:pPr>
        </w:p>
      </w:tc>
      <w:tc>
        <w:tcPr>
          <w:tcW w:w="1872" w:type="dxa"/>
          <w:tcBorders>
            <w:bottom w:val="single" w:sz="4" w:space="0" w:color="auto"/>
          </w:tcBorders>
          <w:shd w:val="clear" w:color="auto" w:fill="auto"/>
          <w:vAlign w:val="bottom"/>
        </w:tcPr>
        <w:p w14:paraId="1B6CC8A1" w14:textId="77777777" w:rsidR="007D326F" w:rsidRPr="00C50EF3" w:rsidRDefault="007D326F" w:rsidP="00C50EF3">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759828F" w14:textId="77777777" w:rsidR="007D326F" w:rsidRDefault="007D326F" w:rsidP="00C50EF3">
          <w:pPr>
            <w:pStyle w:val="af0"/>
            <w:spacing w:after="120"/>
          </w:pPr>
        </w:p>
      </w:tc>
      <w:tc>
        <w:tcPr>
          <w:tcW w:w="6437" w:type="dxa"/>
          <w:gridSpan w:val="3"/>
          <w:tcBorders>
            <w:bottom w:val="single" w:sz="4" w:space="0" w:color="auto"/>
          </w:tcBorders>
          <w:shd w:val="clear" w:color="auto" w:fill="auto"/>
          <w:vAlign w:val="bottom"/>
        </w:tcPr>
        <w:p w14:paraId="7FF27905" w14:textId="77777777" w:rsidR="007D326F" w:rsidRPr="00C50EF3" w:rsidRDefault="007D326F" w:rsidP="00C50EF3">
          <w:pPr>
            <w:spacing w:after="80" w:line="240" w:lineRule="auto"/>
            <w:jc w:val="right"/>
            <w:rPr>
              <w:position w:val="-4"/>
            </w:rPr>
          </w:pPr>
          <w:r>
            <w:rPr>
              <w:position w:val="-4"/>
              <w:sz w:val="40"/>
            </w:rPr>
            <w:t>CEDAW</w:t>
          </w:r>
          <w:r>
            <w:rPr>
              <w:position w:val="-4"/>
            </w:rPr>
            <w:t>/C/BGR/CO/8</w:t>
          </w:r>
        </w:p>
      </w:tc>
    </w:tr>
    <w:tr w:rsidR="007D326F" w:rsidRPr="00C50EF3" w14:paraId="2C227CEB" w14:textId="77777777" w:rsidTr="00C50EF3">
      <w:trPr>
        <w:trHeight w:hRule="exact" w:val="2880"/>
      </w:trPr>
      <w:tc>
        <w:tcPr>
          <w:tcW w:w="1267" w:type="dxa"/>
          <w:tcBorders>
            <w:top w:val="single" w:sz="4" w:space="0" w:color="auto"/>
            <w:bottom w:val="single" w:sz="12" w:space="0" w:color="auto"/>
          </w:tcBorders>
          <w:shd w:val="clear" w:color="auto" w:fill="auto"/>
        </w:tcPr>
        <w:p w14:paraId="36963158" w14:textId="77777777" w:rsidR="007D326F" w:rsidRPr="00C50EF3" w:rsidRDefault="007D326F" w:rsidP="00C50EF3">
          <w:pPr>
            <w:pStyle w:val="af0"/>
            <w:spacing w:before="109"/>
            <w:ind w:left="-72"/>
          </w:pPr>
          <w:r>
            <w:t xml:space="preserve"> </w:t>
          </w:r>
          <w:r>
            <w:drawing>
              <wp:inline distT="0" distB="0" distL="0" distR="0" wp14:anchorId="08616C83" wp14:editId="1C8C9D35">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EFCCB1" w14:textId="77777777" w:rsidR="007D326F" w:rsidRPr="00C50EF3" w:rsidRDefault="007D326F" w:rsidP="00C50EF3">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C8C8655" w14:textId="77777777" w:rsidR="007D326F" w:rsidRPr="00C50EF3" w:rsidRDefault="007D326F" w:rsidP="00C50EF3">
          <w:pPr>
            <w:pStyle w:val="af0"/>
            <w:spacing w:before="109"/>
          </w:pPr>
        </w:p>
      </w:tc>
      <w:tc>
        <w:tcPr>
          <w:tcW w:w="3080" w:type="dxa"/>
          <w:tcBorders>
            <w:top w:val="single" w:sz="4" w:space="0" w:color="auto"/>
            <w:bottom w:val="single" w:sz="12" w:space="0" w:color="auto"/>
          </w:tcBorders>
          <w:shd w:val="clear" w:color="auto" w:fill="auto"/>
        </w:tcPr>
        <w:p w14:paraId="560A3129" w14:textId="77777777" w:rsidR="007D326F" w:rsidRDefault="007D326F" w:rsidP="00C50EF3">
          <w:pPr>
            <w:pStyle w:val="Distr"/>
          </w:pPr>
          <w:r>
            <w:t>Distr.: General</w:t>
          </w:r>
        </w:p>
        <w:p w14:paraId="600CDA45" w14:textId="77777777" w:rsidR="007D326F" w:rsidRDefault="007D326F" w:rsidP="00C50EF3">
          <w:pPr>
            <w:pStyle w:val="Publication"/>
          </w:pPr>
          <w:r>
            <w:t>10 March 2020</w:t>
          </w:r>
        </w:p>
        <w:p w14:paraId="681E63E1" w14:textId="77777777" w:rsidR="007D326F" w:rsidRDefault="007D326F" w:rsidP="00C50EF3">
          <w:pPr>
            <w:spacing w:line="240" w:lineRule="exact"/>
          </w:pPr>
          <w:r>
            <w:t>Chinese</w:t>
          </w:r>
        </w:p>
        <w:p w14:paraId="70EA8E45" w14:textId="77777777" w:rsidR="007D326F" w:rsidRDefault="007D326F" w:rsidP="00C50EF3">
          <w:pPr>
            <w:pStyle w:val="Original"/>
          </w:pPr>
          <w:r>
            <w:t>Original: English</w:t>
          </w:r>
        </w:p>
        <w:p w14:paraId="7160DD9B" w14:textId="77777777" w:rsidR="007D326F" w:rsidRPr="00C50EF3" w:rsidRDefault="007D326F" w:rsidP="00C50EF3"/>
      </w:tc>
    </w:tr>
  </w:tbl>
  <w:p w14:paraId="421F15B8" w14:textId="77777777" w:rsidR="007D326F" w:rsidRPr="00C50EF3" w:rsidRDefault="007D326F" w:rsidP="00C50EF3">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9*"/>
    <w:docVar w:name="CreationDt" w:val="15/03/2020 12:08:56"/>
    <w:docVar w:name="DocCategory" w:val="Doc"/>
    <w:docVar w:name="DocType" w:val="Final"/>
    <w:docVar w:name="DutyStation" w:val="New York"/>
    <w:docVar w:name="FooterJN" w:val="20-03729"/>
    <w:docVar w:name="jobn" w:val="20-03729 (C)"/>
    <w:docVar w:name="jobnDT" w:val="20-03729 (C)   150320"/>
    <w:docVar w:name="jobnDTDT" w:val="20-03729 (C)   150320   150320"/>
    <w:docVar w:name="JobNo" w:val="2003729C"/>
    <w:docVar w:name="LocalDrive" w:val="-1"/>
    <w:docVar w:name="OandT" w:val="jia"/>
    <w:docVar w:name="sss1" w:val="CEDAW/C/BGR/CO/8"/>
    <w:docVar w:name="sss2" w:val="-"/>
    <w:docVar w:name="Symbol1" w:val="CEDAW/C/BGR/CO/8"/>
    <w:docVar w:name="Symbol2" w:val="-"/>
  </w:docVars>
  <w:rsids>
    <w:rsidRoot w:val="006A21E3"/>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274A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294C"/>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B7E92"/>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22F6"/>
    <w:rsid w:val="001845DB"/>
    <w:rsid w:val="001852EA"/>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2A6"/>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513F"/>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0475"/>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1012"/>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158"/>
    <w:rsid w:val="00420761"/>
    <w:rsid w:val="0042524C"/>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081A"/>
    <w:rsid w:val="00512841"/>
    <w:rsid w:val="005143A1"/>
    <w:rsid w:val="00515657"/>
    <w:rsid w:val="00515859"/>
    <w:rsid w:val="0051592B"/>
    <w:rsid w:val="005162C0"/>
    <w:rsid w:val="00521144"/>
    <w:rsid w:val="00521275"/>
    <w:rsid w:val="0052216F"/>
    <w:rsid w:val="00523247"/>
    <w:rsid w:val="005232CA"/>
    <w:rsid w:val="00523636"/>
    <w:rsid w:val="00523C44"/>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3F5"/>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3A7A"/>
    <w:rsid w:val="00615A9C"/>
    <w:rsid w:val="00617802"/>
    <w:rsid w:val="006201CE"/>
    <w:rsid w:val="00632644"/>
    <w:rsid w:val="006328DE"/>
    <w:rsid w:val="006353DE"/>
    <w:rsid w:val="00640671"/>
    <w:rsid w:val="006432CB"/>
    <w:rsid w:val="00643E53"/>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1E3"/>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326F"/>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177B"/>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4798"/>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589"/>
    <w:rsid w:val="00941874"/>
    <w:rsid w:val="0094294B"/>
    <w:rsid w:val="00945CD6"/>
    <w:rsid w:val="00946C87"/>
    <w:rsid w:val="0095023C"/>
    <w:rsid w:val="0095295A"/>
    <w:rsid w:val="00953DFC"/>
    <w:rsid w:val="00957134"/>
    <w:rsid w:val="0096193C"/>
    <w:rsid w:val="00972849"/>
    <w:rsid w:val="009749D3"/>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4D5E"/>
    <w:rsid w:val="009D5C21"/>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168"/>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022B"/>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025C"/>
    <w:rsid w:val="00AF114B"/>
    <w:rsid w:val="00AF2A33"/>
    <w:rsid w:val="00AF4C2D"/>
    <w:rsid w:val="00AF4FD7"/>
    <w:rsid w:val="00AF51A0"/>
    <w:rsid w:val="00B014C7"/>
    <w:rsid w:val="00B01FB8"/>
    <w:rsid w:val="00B0250B"/>
    <w:rsid w:val="00B02C51"/>
    <w:rsid w:val="00B03EFA"/>
    <w:rsid w:val="00B05D4F"/>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0EF3"/>
    <w:rsid w:val="00C519F4"/>
    <w:rsid w:val="00C52423"/>
    <w:rsid w:val="00C52DB6"/>
    <w:rsid w:val="00C53A40"/>
    <w:rsid w:val="00C53B91"/>
    <w:rsid w:val="00C60D8E"/>
    <w:rsid w:val="00C61B40"/>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D1D"/>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86900"/>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178"/>
    <w:rsid w:val="00F13305"/>
    <w:rsid w:val="00F1516C"/>
    <w:rsid w:val="00F170F1"/>
    <w:rsid w:val="00F26864"/>
    <w:rsid w:val="00F26F00"/>
    <w:rsid w:val="00F27454"/>
    <w:rsid w:val="00F32339"/>
    <w:rsid w:val="00F3596A"/>
    <w:rsid w:val="00F36446"/>
    <w:rsid w:val="00F40463"/>
    <w:rsid w:val="00F43562"/>
    <w:rsid w:val="00F44A01"/>
    <w:rsid w:val="00F50336"/>
    <w:rsid w:val="00F50D76"/>
    <w:rsid w:val="00F55E5B"/>
    <w:rsid w:val="00F569BC"/>
    <w:rsid w:val="00F6174D"/>
    <w:rsid w:val="00F62E3F"/>
    <w:rsid w:val="00F66D76"/>
    <w:rsid w:val="00F66E5C"/>
    <w:rsid w:val="00F67F90"/>
    <w:rsid w:val="00F708D7"/>
    <w:rsid w:val="00F7756E"/>
    <w:rsid w:val="00F77B3E"/>
    <w:rsid w:val="00F8240A"/>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35CD"/>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14B1496"/>
  <w15:chartTrackingRefBased/>
  <w15:docId w15:val="{F0CED3E1-3A35-4F39-B9F5-44DF610EA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420158"/>
    <w:rPr>
      <w:color w:val="605E5C"/>
      <w:shd w:val="clear" w:color="auto" w:fill="E1DFDD"/>
    </w:rPr>
  </w:style>
  <w:style w:type="paragraph" w:customStyle="1" w:styleId="SingleTxtG">
    <w:name w:val="_ Single Txt_G"/>
    <w:basedOn w:val="a"/>
    <w:link w:val="SingleTxtGChar"/>
    <w:qFormat/>
    <w:rsid w:val="00FC35CD"/>
    <w:pPr>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character" w:customStyle="1" w:styleId="SingleTxtGChar">
    <w:name w:val="_ Single Txt_G Char"/>
    <w:link w:val="SingleTxtG"/>
    <w:locked/>
    <w:rsid w:val="00FC35CD"/>
    <w:rPr>
      <w:rFonts w:eastAsiaTheme="minorHAnsi"/>
      <w:sz w:val="21"/>
      <w:szCs w:val="10"/>
      <w:lang w:val="en-US"/>
    </w:rPr>
  </w:style>
  <w:style w:type="paragraph" w:styleId="af8">
    <w:name w:val="Revision"/>
    <w:hidden/>
    <w:uiPriority w:val="99"/>
    <w:semiHidden/>
    <w:rsid w:val="00E86900"/>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762" TargetMode="External"/><Relationship Id="rId26" Type="http://schemas.openxmlformats.org/officeDocument/2006/relationships/hyperlink" Target="https://undocs.org/ch/CEDAW/C/BGR/CO/4" TargetMode="External"/><Relationship Id="rId3" Type="http://schemas.openxmlformats.org/officeDocument/2006/relationships/styles" Target="styles.xml"/><Relationship Id="rId21" Type="http://schemas.openxmlformats.org/officeDocument/2006/relationships/hyperlink" Target="https://undocs.org/ch/CEDAW/C/BGR/CO/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61" TargetMode="External"/><Relationship Id="rId25" Type="http://schemas.openxmlformats.org/officeDocument/2006/relationships/hyperlink" Target="https://undocs.org/ch/13/201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BGR/QPR/8" TargetMode="External"/><Relationship Id="rId29"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BGR/CO/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BGR/CO/4" TargetMode="External"/><Relationship Id="rId28" Type="http://schemas.openxmlformats.org/officeDocument/2006/relationships/hyperlink" Target="https://undocs.org/ch/CEDAW/C/BGR/CO/4" TargetMode="External"/><Relationship Id="rId10" Type="http://schemas.openxmlformats.org/officeDocument/2006/relationships/footer" Target="footer1.xml"/><Relationship Id="rId19" Type="http://schemas.openxmlformats.org/officeDocument/2006/relationships/hyperlink" Target="https://undocs.org/ch/CEDAW/C/BGR/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 Id="rId27" Type="http://schemas.openxmlformats.org/officeDocument/2006/relationships/hyperlink" Target="https://undocs.org/ch/CEDAW/C/BGR/CO/4"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A2212-5D5B-44A0-99F3-0EBE6B117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1871</Words>
  <Characters>10671</Characters>
  <Application>Microsoft Office Word</Application>
  <DocSecurity>0</DocSecurity>
  <Lines>88</Lines>
  <Paragraphs>25</Paragraphs>
  <ScaleCrop>false</ScaleCrop>
  <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Qiping Jia</dc:creator>
  <cp:keywords/>
  <dc:description/>
  <cp:lastModifiedBy>Chinese Text Processing</cp:lastModifiedBy>
  <cp:revision>3</cp:revision>
  <cp:lastPrinted>2020-04-06T22:18:00Z</cp:lastPrinted>
  <dcterms:created xsi:type="dcterms:W3CDTF">2020-04-06T22:18:00Z</dcterms:created>
  <dcterms:modified xsi:type="dcterms:W3CDTF">2020-04-06T22:18:00Z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2003729</vt:lpwstr>
  </property>
  <property fmtid="{D5CDD505-2E9C-101B-9397-08002B2CF9AE}" pid="3" name="ODSRefJobNo">
    <vt:lpwstr>2006218C</vt:lpwstr>
  </property>
  <property fmtid="{D5CDD505-2E9C-101B-9397-08002B2CF9AE}" pid="4" name="Symbol1">
    <vt:lpwstr>CEDAW/C/BGR/CO/8</vt:lpwstr>
  </property>
  <property fmtid="{D5CDD505-2E9C-101B-9397-08002B2CF9AE}" pid="5" name="Symbol2">
    <vt:lpwstr/>
  </property>
  <property fmtid="{D5CDD505-2E9C-101B-9397-08002B2CF9AE}" pid="6" name="Translator">
    <vt:lpwstr/>
  </property>
  <property fmtid="{D5CDD505-2E9C-101B-9397-08002B2CF9AE}" pid="7" name="Operator">
    <vt:lpwstr>jia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Session1">
    <vt:lpwstr>第七十五届会议_x000d_</vt:lpwstr>
  </property>
  <property fmtid="{D5CDD505-2E9C-101B-9397-08002B2CF9AE}" pid="17" name="Agenda1">
    <vt:lpwstr>议程项目4_x000d_</vt:lpwstr>
  </property>
  <property fmtid="{D5CDD505-2E9C-101B-9397-08002B2CF9AE}" pid="18" name="Agenda Title1">
    <vt:lpwstr>根据《消除对妇女一切形式歧视公约》_x000b_第18条审议缔约国提交的报告_x000d_</vt:lpwstr>
  </property>
  <property fmtid="{D5CDD505-2E9C-101B-9397-08002B2CF9AE}" pid="19" name="Title1">
    <vt:lpwstr>		关于保加利亚第八次定期报告的结论性意见*_x000d_</vt:lpwstr>
  </property>
</Properties>
</file>