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40364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150206    150206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3823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CAT/C/ECU/CO/3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8 </w:t>
            </w:r>
            <w:proofErr w:type="spellStart"/>
            <w:r>
              <w:rPr>
                <w:sz w:val="22"/>
              </w:rPr>
              <w:t>February</w:t>
            </w:r>
            <w:proofErr w:type="spellEnd"/>
            <w:r>
              <w:rPr>
                <w:sz w:val="22"/>
              </w:rPr>
              <w:t xml:space="preserve"> 2006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КОМИТЕТ ПРОТИВ ПЫТОК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Тридцать пятая сессия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Женева, 7-25 ноября 2005 года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pStyle w:val="10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Cs/>
        </w:rPr>
      </w:pPr>
      <w:r>
        <w:rPr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pStyle w:val="10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Cs/>
        </w:rPr>
      </w:pPr>
    </w:p>
    <w:p w:rsidR="00000000" w:rsidRDefault="00000000">
      <w:pPr>
        <w:pStyle w:val="14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Cs/>
          <w:u w:val="none"/>
        </w:rPr>
      </w:pPr>
      <w:r>
        <w:rPr>
          <w:bCs/>
          <w:u w:val="none"/>
        </w:rPr>
        <w:t>ВЫВОДЫ И РЕКОМЕНДАЦИИ КОМИТЕТА ПРОТИВ ПЫТОК</w:t>
      </w:r>
    </w:p>
    <w:p w:rsidR="00000000" w:rsidRDefault="00000000">
      <w:pPr>
        <w:pStyle w:val="14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Cs/>
        </w:rPr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/>
          <w:bCs/>
        </w:rPr>
      </w:pPr>
      <w:r>
        <w:rPr>
          <w:b/>
          <w:bCs/>
        </w:rPr>
        <w:t>Эквадор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/>
          <w:bCs/>
        </w:rPr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1.</w:t>
      </w:r>
      <w:r>
        <w:tab/>
        <w:t>Комитет рассмотрел третий периодический доклад Эквадора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/39/</w:t>
      </w:r>
      <w:r>
        <w:rPr>
          <w:lang w:val="en-US"/>
        </w:rPr>
        <w:t>Add</w:t>
      </w:r>
      <w:r>
        <w:t>.6) на своих 673-м и 675-м заседаниях, состоявшихся 11 и 14 ноября 2006 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.673 и 675), и принял следующие выводы и рекомендации.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/>
    <w:p w:rsidR="00000000" w:rsidRDefault="00000000">
      <w:r>
        <w:t>2.</w:t>
      </w:r>
      <w:r>
        <w:tab/>
        <w:t>Комитет приветствует третий периодический доклад Эквадора, однако отмечает, что этот доклад, подлежавший представлению в апреле 1997 года, был получен с шестилетним запозданием.  Комитет высоко оценивает конструктивный диалог, налаженный с высокопоставленной и представительной делегацией страны, и выражает признательность за откровенные и прямые письменные ответы на вопросы, сформулированные Комитетом.</w:t>
      </w:r>
    </w:p>
    <w:p w:rsidR="00000000" w:rsidRDefault="00000000"/>
    <w:p w:rsidR="00000000" w:rsidRDefault="00000000">
      <w:r>
        <w:t>3.</w:t>
      </w:r>
      <w:r>
        <w:tab/>
        <w:t>Хотя Комитет и отмечает усилия, предпринимаемые государством-участником в целях соблюдения установленных руководящих принципов в отношении представления докладов, он указывает, что в докладе практически отсутствует информация о практических аспектах применения положений Конвенции и выражает надежду на то, что в будущем государство-участник в полной мере будет выполнять обязательства, возлагаемые на него в соответствии со статьей 19 Конвенции.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000000" w:rsidRDefault="00000000"/>
    <w:p w:rsidR="00000000" w:rsidRDefault="00000000">
      <w:r>
        <w:t>4.</w:t>
      </w:r>
      <w:r>
        <w:tab/>
        <w:t>Комитет с удовлетворением отмечает факт принятия в 1998 году новой Политической конституции Республики, которая в целом усилила защиту прав человека в стране.  Кроме того, особо приветствуется принятие в 2003 году Кодекса законов о защите детей и подростков, а в 2005 году - Закона об изменении Уголовного кодекса, в котором сексуальная эксплуатация несовершеннолетних квалифицируется как преступление.  С удовлетворением отмечается также окончательное включение судей по делам несовершеннолетних в судебную систему.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отмечает факт представления органам законодательной власти различных законопроектов, например, предварительного законопроекта об отправлении правосудия по делам коренных народов, проекта органического закона о применении наказаний, а также законопроекта о преступлениях против человечности.</w:t>
      </w:r>
    </w:p>
    <w:p w:rsidR="00000000" w:rsidRDefault="00000000"/>
    <w:p w:rsidR="00000000" w:rsidRDefault="00000000">
      <w:r>
        <w:t>6.</w:t>
      </w:r>
      <w:r>
        <w:tab/>
        <w:t>Комитет приветствует принятие Национального плана по правам человека и соответствующих оперативных секторальных планов, а также создание подкомиссий на уровне провинций, основные направления деятельности которых продиктованы приоритетными задачами регионального и местного значения.  С особым удовлетворением отмечается учет в рамках Оперативного плана по правам человека аспектов, касающихся содержания в тюрьмах.</w:t>
      </w:r>
    </w:p>
    <w:p w:rsidR="00000000" w:rsidRDefault="00000000"/>
    <w:p w:rsidR="00000000" w:rsidRDefault="00000000">
      <w:r>
        <w:t>7.</w:t>
      </w:r>
      <w:r>
        <w:tab/>
        <w:t>Комитет принимает к сведению уменьшение числа жалоб, подаваемых в комиссариаты по делам женщин и семьи.</w:t>
      </w:r>
    </w:p>
    <w:p w:rsidR="00000000" w:rsidRDefault="00000000"/>
    <w:p w:rsidR="00000000" w:rsidRDefault="00000000">
      <w:r>
        <w:t>8.</w:t>
      </w:r>
      <w:r>
        <w:tab/>
        <w:t>Комитет с удовлетворением отмечает приглашение, направленное государством-участником всем специальным механизмам Комиссии по правам человека, и в особенности приветствует недавнее посещение страны Специальным докладчиком по вопросу о независимости судей и адвокатов.</w:t>
      </w:r>
    </w:p>
    <w:p w:rsidR="00000000" w:rsidRDefault="00000000"/>
    <w:p w:rsidR="00000000" w:rsidRDefault="00000000">
      <w:r>
        <w:t>9.</w:t>
      </w:r>
      <w:r>
        <w:tab/>
        <w:t>Комитет с удовлетворением отмечает создание в 2002 году Комиссии по координации государственной политики в области прав человека в качестве межинституционального органа, действующего при активном участии со стороны гражданского общества и призванного заниматься подготовкой периодических докладов, которые государство должно представлять во исполнение международных договоров по правам человека, стороной которых оно является.</w:t>
      </w:r>
    </w:p>
    <w:p w:rsidR="00000000" w:rsidRDefault="00000000"/>
    <w:p w:rsidR="00000000" w:rsidRDefault="00000000">
      <w:pPr>
        <w:keepLines/>
      </w:pPr>
      <w:r>
        <w:t>10.</w:t>
      </w:r>
      <w:r>
        <w:tab/>
        <w:t>Комитет также с удовлетворением отмечает, что Управление по расследованию преступлений было упразднено и что функции по расследованию преступлений как на этапе предварительного следствия, так и на этапе судебного разбирательства осуществляет в настоящее время государственная прокуратура.</w:t>
      </w:r>
    </w:p>
    <w:p w:rsidR="00000000" w:rsidRDefault="00000000"/>
    <w:p w:rsidR="00000000" w:rsidRDefault="00000000">
      <w:r>
        <w:t>11.</w:t>
      </w:r>
      <w:r>
        <w:tab/>
        <w:t>Комитет приветствует факт активного сотрудничества Постоянной комиссии по наблюдению за выполнением Национального плана по правам человека с гражданским обществом при разработке пособий для персонала пенитенциарных учреждений и центров содержания под стражей.</w:t>
      </w:r>
    </w:p>
    <w:p w:rsidR="00000000" w:rsidRDefault="00000000"/>
    <w:p w:rsidR="00000000" w:rsidRDefault="00000000">
      <w:r>
        <w:t>12.</w:t>
      </w:r>
      <w:r>
        <w:tab/>
        <w:t>Комитет также приветствует тот факт, что государство-участник ратифицировало в 2003 году Международную конвенцию о защите прав всех трудящихся-мигрантов и членов их семей, в 2002 году - Римский статут Международного уголовного суда и в 2002</w:t>
      </w:r>
      <w:r>
        <w:rPr>
          <w:lang w:val="en-US"/>
        </w:rPr>
        <w:t> </w:t>
      </w:r>
      <w:r>
        <w:t>году - Конвенцию о насильственном исчезновении лиц.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Факторы, затрудняющие осуществление Конвенции</w:t>
      </w:r>
    </w:p>
    <w:p w:rsidR="00000000" w:rsidRDefault="00000000"/>
    <w:p w:rsidR="00000000" w:rsidRDefault="00000000">
      <w:r>
        <w:t>13.</w:t>
      </w:r>
      <w:r>
        <w:tab/>
        <w:t>Комитет принимает к сведению политический и конституциональный кризис, который переживает государство-участник.  Вместе с тем он указывает, что никакие исключительные обстоятельства не могут служить оправданием для применения пыток.</w:t>
      </w:r>
    </w:p>
    <w:p w:rsidR="00000000" w:rsidRDefault="00000000"/>
    <w:p w:rsidR="00000000" w:rsidRDefault="00000000">
      <w:pPr>
        <w:jc w:val="center"/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Основные вопросы, вызывающие обеспокоенность, и рекомендации</w:t>
      </w:r>
    </w:p>
    <w:p w:rsidR="00000000" w:rsidRDefault="00000000"/>
    <w:p w:rsidR="00000000" w:rsidRDefault="00000000">
      <w:r>
        <w:t>14.</w:t>
      </w:r>
      <w:r>
        <w:tab/>
        <w:t>Хотя национальным законодательством государства-участника и запрещается применение жестоких, бесчеловечных или унижающих достоинство видов наказания, Комитет с обеспокоенностью констатирует, что закрепленное в Уголовном кодексе Эквадора определение пыток не полностью соответствует положениям статей 1 и 4 Конвенции.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надлежит принять необходимые меры для обеспечения того, чтобы все акты пыток, оговоренные в статьях 1 и 4 Конвенции, квалифицировались по его национальному уголовному законодательству как преступления и чтобы каждый случай их совершения карался соответствующим наказанием с учетом тяжести означенных деяний.  Комитет также рекомендует утвердить проект закона о преступлениях против человечества, к числу которых относятся и пытки, что полностью вписывается в процесс осуществления Римского статута.</w:t>
      </w:r>
    </w:p>
    <w:p w:rsidR="00000000" w:rsidRDefault="00000000"/>
    <w:p w:rsidR="00000000" w:rsidRDefault="00000000">
      <w:r>
        <w:t>15.</w:t>
      </w:r>
      <w:r>
        <w:tab/>
        <w:t>Хотя Комитет и отмечает с удовлетворением принятие Национального плана по правам человека и соответствующих оперативных секторальных планов, в процессе разработки которых приняло широкое участие гражданское общество, он выражает сожаление по поводу того, что в практической реализации указанных планов задействована лишь одна из пяти организаций гражданского общества, которые активно оказывали помощь на первом этапе (статья 2).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надлежит стимулировать осуществление Национального плана по правам человека за счет внедрения действенных оперативных механизмов, обеспечивающих организациям гражданского общества возможность активно участвовать в его реализации.</w:t>
      </w:r>
    </w:p>
    <w:p w:rsidR="00000000" w:rsidRDefault="00000000"/>
    <w:p w:rsidR="00000000" w:rsidRDefault="00000000">
      <w:r>
        <w:t>16.</w:t>
      </w:r>
      <w:r>
        <w:tab/>
        <w:t>Комитет обеспокоен утверждениями, из которых следует, что по меньшей мере 70% лиц, содержащихся в женском центре социальной реабилитации и мужской тюрьме Кито, в период пребывания под стражей становятся жертвами чрезмерного и незаконного применения силы со стороны сотрудников органов уголовной юстиции и правоохранительных органов, включая психологические и сексуальные пытки (статьи 2 и 7).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>Государству-участнику надлежит принять меры для искоренения безнаказанности лиц, предположительно виновных в совершении актов пыток и жестокого обращения по отношению к таким заключенным;  оперативно проводить беспристрастные и обстоятельные расследования;  привлекать к уголовной ответственности и, в соответствующих случаях, надлежащим образом наказывать исполнителей пыток и бесчеловечного обращения и предоставлять жертвам надлежащее возмещение.  Кроме того, необходимо ввести программы подготовки для урегулирования данных проблем.</w:t>
      </w:r>
    </w:p>
    <w:p w:rsidR="00000000" w:rsidRDefault="00000000"/>
    <w:p w:rsidR="00000000" w:rsidRDefault="00000000">
      <w:r>
        <w:t>17.</w:t>
      </w:r>
      <w:r>
        <w:tab/>
        <w:t>Предметом обеспокоенности Комитета являются утверждения о случаях пыток и жестокого обращения по отношению к представителям уязвимых групп, например членам коренных общин, представителям сексуальных меньшинств и женщинам, хотя действующее внутреннее законодательство гарантирует защиту таких групп населения.  По факту подобных утверждений, которые касаются также обращения с правозащитниками и бытового насилия, надлежащих расследований не проводится (статьи 2 и 12).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надлежит обеспечить проведение тщательного расследования утверждений о применении пыток и жестокого обращения в отношении представителей этих групп, а виновных предать суду.  Кроме того, государству-участнику следует также расширить и укрепить систему народных защитников в целях обеспечения защиты указанных групп.</w:t>
      </w:r>
    </w:p>
    <w:p w:rsidR="00000000" w:rsidRDefault="00000000">
      <w:pPr>
        <w:rPr>
          <w:b/>
          <w:bCs/>
        </w:rPr>
      </w:pPr>
    </w:p>
    <w:p w:rsidR="00000000" w:rsidRDefault="00000000">
      <w:r>
        <w:t>18.</w:t>
      </w:r>
      <w:r>
        <w:tab/>
        <w:t>Комитет с обеспокоенностью отмечает, что процесс судопроизводства в стране протекает весьма медленно и характеризуется частыми задержками.  Согласно имеющейся у Комитета информации, в одной лишь провинции Пичинча на стадии рассмотрения находятся свыше 390 000 дел.</w:t>
      </w:r>
    </w:p>
    <w:p w:rsidR="00000000" w:rsidRDefault="00000000">
      <w:pPr>
        <w:rPr>
          <w:sz w:val="16"/>
        </w:rPr>
      </w:pPr>
    </w:p>
    <w:p w:rsidR="00000000" w:rsidRDefault="00000000">
      <w:pPr>
        <w:ind w:left="567" w:hanging="567"/>
      </w:pPr>
      <w:r>
        <w:tab/>
      </w:r>
      <w:r>
        <w:rPr>
          <w:b/>
          <w:bCs/>
        </w:rPr>
        <w:t>Государству-участнику надлежит выделить необходимые ресурсы, с тем чтобы изменить к лучшему существующее положение дел и в конце концов покончить с настоящим "завалом", существующим в судебной системе страны, а также принять меры по недопущению его в будущем.</w:t>
      </w:r>
    </w:p>
    <w:p w:rsidR="00000000" w:rsidRDefault="00000000"/>
    <w:p w:rsidR="00000000" w:rsidRDefault="00000000">
      <w:r>
        <w:t>19.</w:t>
      </w:r>
      <w:r>
        <w:tab/>
        <w:t>Комитет с обеспокоенностью отмечает практику "обязательного задержания", в соответствии с которой ведущий дело судья, вынося постановление о предании суду, одновременно обязан отдать приказ о взятии обвиняемого под стражу, предположительно с целью обеспечить его присутствие на этапе судебного разбирательства и во избежание приостановления процесса судопроизводства (статья 2).</w:t>
      </w:r>
    </w:p>
    <w:p w:rsidR="00000000" w:rsidRDefault="00000000">
      <w:pPr>
        <w:rPr>
          <w:sz w:val="16"/>
        </w:rPr>
      </w:pPr>
    </w:p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надлежит активизировать законодательные инициативы с целью сокращения сроков заключения до суда, и в том числе изъять из Уголовно-процессуального кодекса понятие "обязательного задержания".  Ходатайство о признании неконституционности данной формы задержания ожидает своего рассмотрения Конституционным судом.</w:t>
      </w:r>
    </w:p>
    <w:p w:rsidR="00000000" w:rsidRDefault="00000000"/>
    <w:p w:rsidR="00000000" w:rsidRDefault="00000000">
      <w:r>
        <w:t>20.</w:t>
      </w:r>
      <w:r>
        <w:tab/>
        <w:t>Комитет с сожалением отмечает поступающие утверждения о том, что в процессе депортации не в полной мере соблюдается принцип защиты процессуальных гарантий и не обеспечивается задействование в полном объеме механизмов, благодаря которым лица, возвращаемые в свою страну происхождения, не подвергаются там риску.  Он также выражает сожаление по поводу неадекватности механизмов, позволяющих миграционным властям проводить проверку того, не угрожает ли тому или иному лицу по возвращении в свою страну происхождения опасность применения там пыток (статьи 3 и 6).</w:t>
      </w:r>
    </w:p>
    <w:p w:rsidR="00000000" w:rsidRDefault="00000000">
      <w:pPr>
        <w:rPr>
          <w:sz w:val="16"/>
        </w:rPr>
      </w:pPr>
    </w:p>
    <w:p w:rsidR="00000000" w:rsidRDefault="00000000">
      <w:pPr>
        <w:ind w:left="567"/>
      </w:pPr>
      <w:r>
        <w:rPr>
          <w:b/>
          <w:bCs/>
        </w:rPr>
        <w:t>Государству-участнику надлежит принять административные меры, охватывающие все соответствующие учреждения страны, с тем чтобы гарантировать принцип соблюдения надлежащих процессуальных гарантий во время депортации, в особенности право на защиту, на присутствие дипломатического представителя страны, гражданином которой является задержанный, а в случае беженцев - на обязательное присутствие сотрудников УВКПЧ.  Комитет также рекомендует ввести программы подготовки сотрудников миграционной полиции и чиновников, отвечающих за процедуры депортации по всей стране, по вопросам международного беженского права с особым упором на содержание и сферу применения принципа недопущения принудительного возвращения.</w:t>
      </w:r>
    </w:p>
    <w:p w:rsidR="00000000" w:rsidRDefault="00000000"/>
    <w:p w:rsidR="00000000" w:rsidRDefault="00000000">
      <w:r>
        <w:t>21.</w:t>
      </w:r>
      <w:r>
        <w:tab/>
        <w:t>Комитет с обеспокоенностью отмечает утверждения о практике применения пыток, которым подвергалось большое число задержанных в период содержания под стражей без связи с внешним миром.  По утверждению ряда адвокатов, им не позволяли встретиться и побеседовать со своими клиентами в помещениях судебной полиции;  более того, даже независимым частнопрактикующим врачам не разрешалось посещать задержанных.  Утверждается также, что некоторым жертвам было отказано в доступе к собственному адвокату (статьи 4 и 6).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>Государству-участнику надлежит обеспечить применение на практике основных правовых гарантий, распространяющихся на лиц, взятых под стражу органами полиции, с обязательным предоставлением им права уведомить об этом какого-либо члена семьи, возможности консультироваться с адвокатом и врачом по своему выбору, права быть ознакомленным со своими правами, а в случае несовершеннолетних - права на присутствие во время допросов их законных представителей.</w:t>
      </w:r>
    </w:p>
    <w:p w:rsidR="00000000" w:rsidRDefault="00000000"/>
    <w:p w:rsidR="00000000" w:rsidRDefault="00000000">
      <w:r>
        <w:t>22.</w:t>
      </w:r>
      <w:r>
        <w:tab/>
        <w:t>Комитет выражает сожаление по поводу того, что государство-участник до сих пор не разработало и не внедрило программу подготовки и повышения квалификации судебных и прокурорских работников, сотрудников полиции и персонала пенитенциарных учреждений, в том числе медицинских работников, специалистов в области психиатрии и психологии, по вопросам принципов и норм защиты прав человека при обращении с заключенными, как к тому призывал Межамериканский суд по правам человека в своем решении от 7 сентября 2004 года.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надлежит повысить качество и расширить подготовку сотрудников государственных силовых структур и правоохранительных органов по вопросам прав человека, особенно в том, что касается требований, диктуемых Конвенцией, используя для этого ресурсы гражданского общества (университеты, НПО и т.д.).  Государству-участнику следует утвердить и оперативно ввести в действие Национальный план по правам человека для вооруженных сил.  Государству-участнику надлежит также, в соответствии с решением Межамериканского суда по делу "Тиби", создать межведомственный комитет для разработки и осуществления программ профессиональной подготовки в области прав человека и обращения с заключенными.</w:t>
      </w:r>
    </w:p>
    <w:p w:rsidR="00000000" w:rsidRDefault="00000000">
      <w:pPr>
        <w:ind w:left="567" w:hanging="567"/>
      </w:pPr>
    </w:p>
    <w:p w:rsidR="00000000" w:rsidRDefault="00000000">
      <w:r>
        <w:t>23.</w:t>
      </w:r>
      <w:r>
        <w:tab/>
        <w:t>Комитет с обеспокоенностью отмечает утверждения о том, что случаи применения пыток и других бесчеловечных или унижающих достоинство видов обращения со стороны сотрудников правоохранительных органов, на этапе уголовного расследования, которые происходят в помещениях судебной полиции, является распространенной практикой (статьи 11 и 16).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>Государству-участнику надлежит обеспечить проведение тщательного расследования утверждений о чрезмерном применении силы на этапе уголовного расследования, а также привлечение виновных к ответственности.  На период проведения следствия государству-участнику следует обеспечить наличие соответствующих помещений для размещения задержанных лиц, в которых за ними постоянно осуществлялся бы надзор.</w:t>
      </w:r>
    </w:p>
    <w:p w:rsidR="00000000" w:rsidRDefault="00000000"/>
    <w:p w:rsidR="00000000" w:rsidRDefault="00000000">
      <w:r>
        <w:t>24.</w:t>
      </w:r>
      <w:r>
        <w:tab/>
        <w:t xml:space="preserve">Комитет с глубоким сожалением отмечает положение дел в центрах содержания под стражей, особенно в центрах социальной реабилитации, где нарушения прав человека заключенных носят постоянный характер.  </w:t>
      </w:r>
      <w:proofErr w:type="spellStart"/>
      <w:r>
        <w:t>Переполненность</w:t>
      </w:r>
      <w:proofErr w:type="spellEnd"/>
      <w:r>
        <w:t xml:space="preserve"> тюрем, коррупция и неудовлетворительные физические условия содержания, прежде всего отсутствие гигиены, плохое питание и медицинское обслуживание, являются нарушениями прав, защищаемых Конвенцией (статья</w:t>
      </w:r>
      <w:r>
        <w:rPr>
          <w:lang w:val="en-US"/>
        </w:rPr>
        <w:t> </w:t>
      </w:r>
      <w:r>
        <w:t>11).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 xml:space="preserve">Государству-участнику надлежит принять действенные меры, включая выделение необходимых бюджетных средств, улучшения условий содержания в центрах лишения свободы, уменьшения нынешней </w:t>
      </w:r>
      <w:proofErr w:type="spellStart"/>
      <w:r>
        <w:rPr>
          <w:b/>
          <w:bCs/>
        </w:rPr>
        <w:t>переполненности</w:t>
      </w:r>
      <w:proofErr w:type="spellEnd"/>
      <w:r>
        <w:rPr>
          <w:b/>
          <w:bCs/>
        </w:rPr>
        <w:t xml:space="preserve"> тюрем и должного удовлетворения основных потребностей лиц, лишенных свободы, особенно что касается присутствия независимого и квалифицированного медицинского персонала для проведения периодических осмотров заключенных.  Комитет также настоятельно призывает секторальную подкомиссию по правам человека заключенных приступить к реализации соответствующего оперативного плана, предусматривающего, среди прочего, осуществление программ профессиональной подготовки и принятие мер по индивидуальным жалобам на нарушения прав человека в системе пенитенциарных учреждений.</w:t>
      </w:r>
    </w:p>
    <w:p w:rsidR="00000000" w:rsidRDefault="00000000"/>
    <w:p w:rsidR="00000000" w:rsidRDefault="00000000">
      <w:r>
        <w:t>25.</w:t>
      </w:r>
      <w:r>
        <w:tab/>
        <w:t>Комитет вновь выражает свою обеспокоенность по поводу факта существования военных и полицейских судов, деятельность которых не ограничивается должностными преступлениями.  Такая ситуация несовместима с положениями международных договоров, участником которых является Эквадор (статьи 12 и 13).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>Государству-участнику следует обеспечить осуществление в полной мере полномочий обычных судов в соответствии с его международными обязательствами и с учетом Переходного положения № 26 Политической конституции Республики, преследуя цель обеспечить независимость судей.</w:t>
      </w:r>
    </w:p>
    <w:p w:rsidR="00000000" w:rsidRDefault="00000000"/>
    <w:p w:rsidR="00000000" w:rsidRDefault="00000000">
      <w:r>
        <w:t>26.</w:t>
      </w:r>
      <w:r>
        <w:tab/>
        <w:t>Комитет выражает сожаление по поводу того, что в рамках внутреннего законодательства государства-участника до сих пор не предусмотрены конкретные механизмы предоставления жертве пыток компенсации и/или возмещения, а также средств для реабилитации (статья 14).</w:t>
      </w:r>
    </w:p>
    <w:p w:rsidR="00000000" w:rsidRDefault="00000000">
      <w:pPr>
        <w:rPr>
          <w:sz w:val="16"/>
        </w:rPr>
      </w:pPr>
    </w:p>
    <w:p w:rsidR="00000000" w:rsidRDefault="00000000">
      <w:pPr>
        <w:ind w:left="567" w:hanging="567"/>
      </w:pPr>
      <w:r>
        <w:tab/>
      </w:r>
      <w:r>
        <w:rPr>
          <w:b/>
          <w:bCs/>
        </w:rPr>
        <w:t>Государству-участнику надлежит создать конкретную нормативную базу, регулирующую вопросы предоставления компенсации и возмещения за совершение актов пыток, а также разработать и внедрить программы комплексного обслуживания и поддержки жертв пыток.</w:t>
      </w:r>
    </w:p>
    <w:p w:rsidR="00000000" w:rsidRDefault="00000000"/>
    <w:p w:rsidR="00000000" w:rsidRDefault="00000000">
      <w:r>
        <w:t>27.</w:t>
      </w:r>
      <w:r>
        <w:tab/>
        <w:t>Комитет с удовлетворением отмечает, что государство-участник приняло участие в международных процессах полюбовного урегулирования разногласий, особенно в рамках межамериканской системы, в целях принятия решений по жалобам о нарушениях прав человека (включая пытки).  Вместе с тем, итогом этих процессов в большинстве случаев стало лишь предоставление компенсации жертвам, без проведения по жалобам надлежащего расследования и наказания виновных (статья 14).</w:t>
      </w:r>
    </w:p>
    <w:p w:rsidR="00000000" w:rsidRDefault="00000000">
      <w:pPr>
        <w:rPr>
          <w:sz w:val="16"/>
        </w:rPr>
      </w:pPr>
    </w:p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надлежит обеспечить, чтобы в случаях полюбовного урегулирования разногласий, помимо предоставления компенсации, проводилось также надлежащее расследование на предмет установления степени ответственности виновных в нарушении прав человека.</w:t>
      </w:r>
    </w:p>
    <w:p w:rsidR="00000000" w:rsidRDefault="00000000"/>
    <w:p w:rsidR="00000000" w:rsidRDefault="00000000">
      <w:r>
        <w:t>28.</w:t>
      </w:r>
      <w:r>
        <w:tab/>
        <w:t>Комитет рекомендует государству-участнику обеспечить широкое распространение докладов, представленных ему государством-участником, а также принятых Комитетом выводов и рекомендаций через официальные вебсайты, средства массовой информации и неправительственные организации.</w:t>
      </w:r>
    </w:p>
    <w:p w:rsidR="00000000" w:rsidRDefault="00000000"/>
    <w:p w:rsidR="00000000" w:rsidRDefault="00000000">
      <w:r>
        <w:t>29.</w:t>
      </w:r>
      <w:r>
        <w:tab/>
        <w:t>Комитет настоятельно призывает государство-участника рассмотреть возможность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наказания.</w:t>
      </w:r>
    </w:p>
    <w:p w:rsidR="00000000" w:rsidRDefault="00000000"/>
    <w:p w:rsidR="00000000" w:rsidRDefault="00000000">
      <w:r>
        <w:t>30.</w:t>
      </w:r>
      <w:r>
        <w:tab/>
        <w:t>Комитет просит государство-участника в течение одного года с момента утверждения настоящих выводов представить информацию о конкретных мерах, принятых в порядке выполнения рекомендаций, изложенных в пунктах 17, 22, 24 и 25.</w:t>
      </w:r>
    </w:p>
    <w:p w:rsidR="00000000" w:rsidRDefault="00000000"/>
    <w:p w:rsidR="00000000" w:rsidRDefault="00000000">
      <w:pPr>
        <w:rPr>
          <w:lang w:val="en-US"/>
        </w:rPr>
      </w:pPr>
      <w:r>
        <w:t>31.</w:t>
      </w:r>
      <w:r>
        <w:tab/>
        <w:t>Комитет предлагает государству-участнику представить свой следующий  периодический доклад, объединяющий четвертый, пятый и шестой доклады, не позднее 28 апреля 2009 года, - в срок, предусмотренный для представления шестого периодического доклада.</w:t>
      </w:r>
    </w:p>
    <w:p w:rsidR="00000000" w:rsidRDefault="00000000">
      <w:pPr>
        <w:rPr>
          <w:sz w:val="16"/>
          <w:lang w:val="en-US"/>
        </w:rPr>
      </w:pPr>
    </w:p>
    <w:p w:rsidR="00000000" w:rsidRDefault="00000000">
      <w:pPr>
        <w:jc w:val="center"/>
      </w:pPr>
      <w:r>
        <w:t>-----</w:t>
      </w:r>
    </w:p>
    <w:sectPr w:rsidR="00000000">
      <w:headerReference w:type="even" r:id="rId9"/>
      <w:headerReference w:type="default" r:id="rId10"/>
      <w:footerReference w:type="default" r:id="rId11"/>
      <w:type w:val="continuous"/>
      <w:pgSz w:w="11907" w:h="16840" w:code="9"/>
      <w:pgMar w:top="851" w:right="851" w:bottom="1701" w:left="1701" w:header="851" w:footer="851" w:gutter="0"/>
      <w:cols w:space="720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82.55pt;margin-top:-149.15pt;width:28.05pt;height:146.05pt;z-index:1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7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82.55pt;margin-top:42.5pt;width:28.05pt;height:146.05pt;z-index:2" filled="f" stroked="f">
          <v:textbox style="layout-flow:vertical;mso-next-textbox:#_x0000_s2050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8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  <w:r>
      <w:rPr>
        <w:lang w:val="en-US"/>
      </w:rPr>
      <w:t>CAT/C/ECU/CO/3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sz w:val="20"/>
        <w:lang w:val="en-US"/>
      </w:rPr>
    </w:pPr>
  </w:p>
  <w:p w:rsidR="00000000" w:rsidRDefault="00000000">
    <w:pPr>
      <w:pStyle w:val="Header"/>
      <w:rPr>
        <w:sz w:val="20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ind w:firstLine="6732"/>
      <w:rPr>
        <w:lang w:val="en-US"/>
      </w:rPr>
    </w:pPr>
    <w:r>
      <w:rPr>
        <w:lang w:val="en-US"/>
      </w:rPr>
      <w:t>CAT/C/ECU/CO/3</w:t>
    </w:r>
  </w:p>
  <w:p w:rsidR="00000000" w:rsidRDefault="00000000">
    <w:pPr>
      <w:pStyle w:val="Header"/>
      <w:ind w:firstLine="6732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sz w:val="20"/>
        <w:lang w:val="en-US"/>
      </w:rPr>
    </w:pPr>
  </w:p>
  <w:p w:rsidR="00000000" w:rsidRDefault="00000000">
    <w:pPr>
      <w:pStyle w:val="Header"/>
      <w:rPr>
        <w:sz w:val="20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2568</Words>
  <Characters>14642</Characters>
  <Application>Microsoft Office Word</Application>
  <DocSecurity>4</DocSecurity>
  <Lines>122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17981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Tcherniaeva</dc:creator>
  <cp:keywords/>
  <dc:description/>
  <cp:lastModifiedBy>Черняева</cp:lastModifiedBy>
  <cp:revision>3</cp:revision>
  <cp:lastPrinted>2006-02-15T09:07:00Z</cp:lastPrinted>
  <dcterms:created xsi:type="dcterms:W3CDTF">2006-02-15T09:07:00Z</dcterms:created>
  <dcterms:modified xsi:type="dcterms:W3CDTF">2006-02-15T09:08:00Z</dcterms:modified>
</cp:coreProperties>
</file>