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C/SR.98</w:t>
            </w:r>
            <w:r>
              <w:rPr>
                <w:sz w:val="20"/>
                <w:lang w:val="en-US"/>
              </w:rPr>
              <w:fldChar w:fldCharType="end"/>
            </w:r>
            <w:r>
              <w:rPr>
                <w:sz w:val="20"/>
                <w:lang w:val="en-US"/>
              </w:rPr>
              <w:t>5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16 May 2011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t>English</w:t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000000" w:rsidRDefault="00000000">
      <w:pPr>
        <w:rPr>
          <w:b/>
        </w:rPr>
      </w:pPr>
      <w:r>
        <w:rPr>
          <w:b/>
        </w:rPr>
        <w:t>Сорок шестая сессия</w:t>
      </w:r>
    </w:p>
    <w:p w:rsidR="00000000" w:rsidRDefault="00000000">
      <w:pPr>
        <w:spacing w:before="120"/>
        <w:rPr>
          <w:rStyle w:val="SingleTxtGR"/>
        </w:rPr>
      </w:pPr>
      <w:r>
        <w:rPr>
          <w:b/>
        </w:rPr>
        <w:t>Краткий отчет (частичный)</w:t>
      </w:r>
      <w:r>
        <w:rPr>
          <w:sz w:val="18"/>
          <w:szCs w:val="18"/>
        </w:rPr>
        <w:t>*</w:t>
      </w:r>
      <w:r>
        <w:rPr>
          <w:b/>
        </w:rPr>
        <w:t xml:space="preserve"> о первой (открытой) части</w:t>
      </w:r>
      <w:r>
        <w:rPr>
          <w:rStyle w:val="FootnoteReference"/>
          <w:szCs w:val="18"/>
          <w:vertAlign w:val="baseline"/>
        </w:rPr>
        <w:footnoteReference w:customMarkFollows="1" w:id="1"/>
        <w:t>*</w:t>
      </w:r>
      <w:r>
        <w:rPr>
          <w:sz w:val="18"/>
          <w:szCs w:val="18"/>
        </w:rPr>
        <w:t>*</w:t>
      </w:r>
      <w:r>
        <w:rPr>
          <w:b/>
        </w:rPr>
        <w:t xml:space="preserve"> 985-го заседания,</w:t>
      </w:r>
      <w:r>
        <w:rPr>
          <w:b/>
        </w:rPr>
        <w:br/>
      </w:r>
      <w:r>
        <w:rPr>
          <w:rStyle w:val="SingleTxtGR"/>
        </w:rPr>
        <w:t>состоявшегося во Дворце Вильсона в Женеве,</w:t>
      </w:r>
      <w:r>
        <w:rPr>
          <w:rStyle w:val="SingleTxtGR"/>
        </w:rPr>
        <w:br/>
        <w:t>во вторник, 10 мая 2011 года, в 15 ч. 00 м.</w:t>
      </w:r>
    </w:p>
    <w:p w:rsidR="00000000" w:rsidRDefault="00000000">
      <w:pPr>
        <w:pStyle w:val="SingleTxtGR0"/>
        <w:spacing w:before="120" w:after="0"/>
        <w:ind w:left="0"/>
        <w:rPr>
          <w:lang w:val="en-US"/>
        </w:rPr>
      </w:pPr>
      <w:r>
        <w:rPr>
          <w:i/>
        </w:rPr>
        <w:t>Председатель</w:t>
      </w:r>
      <w:r>
        <w:t>:</w:t>
      </w:r>
      <w:r>
        <w:tab/>
        <w:t>г-н Гроссман</w:t>
      </w:r>
    </w:p>
    <w:p w:rsidR="00000000" w:rsidRDefault="00000000">
      <w:pPr>
        <w:spacing w:before="360" w:after="240"/>
        <w:rPr>
          <w:sz w:val="28"/>
          <w:szCs w:val="28"/>
          <w:lang w:val="en-US"/>
        </w:rPr>
      </w:pPr>
      <w:r>
        <w:rPr>
          <w:sz w:val="28"/>
          <w:szCs w:val="28"/>
        </w:rPr>
        <w:t>Содержание</w:t>
      </w:r>
    </w:p>
    <w:p w:rsidR="00000000" w:rsidRDefault="00000000">
      <w:pPr>
        <w:pStyle w:val="SingleTxtGR0"/>
        <w:jc w:val="left"/>
      </w:pPr>
      <w:r>
        <w:t xml:space="preserve">Встреча с Председателем Подкомитета по предупреждению пыток: </w:t>
      </w:r>
      <w:r>
        <w:br/>
        <w:t>четвертый ежегодный доклад Подкомитета</w:t>
      </w:r>
    </w:p>
    <w:p w:rsidR="00000000" w:rsidRDefault="00000000">
      <w:pPr>
        <w:pStyle w:val="H4GR"/>
      </w:pPr>
      <w:r>
        <w:br w:type="page"/>
      </w:r>
      <w:r>
        <w:tab/>
      </w:r>
      <w:r>
        <w:tab/>
        <w:t>Заседание открывается в 15 ч. 10 м.</w:t>
      </w:r>
    </w:p>
    <w:p w:rsidR="00000000" w:rsidRDefault="00000000">
      <w:pPr>
        <w:pStyle w:val="H23GR"/>
        <w:rPr>
          <w:b w:val="0"/>
        </w:rPr>
      </w:pPr>
      <w:r>
        <w:tab/>
      </w:r>
      <w:r>
        <w:tab/>
        <w:t xml:space="preserve">Встреча с Председателем Подкомитета по предупреждению пыток: четвертый ежегодный доклад Подкомитета </w:t>
      </w:r>
      <w:r>
        <w:rPr>
          <w:b w:val="0"/>
        </w:rPr>
        <w:t>(CAT/C/46/2)</w:t>
      </w:r>
    </w:p>
    <w:p w:rsidR="00000000" w:rsidRDefault="00000000">
      <w:pPr>
        <w:pStyle w:val="SingleTxtGR0"/>
      </w:pPr>
      <w:r>
        <w:t>1.</w:t>
      </w:r>
      <w:r>
        <w:tab/>
      </w:r>
      <w:r>
        <w:rPr>
          <w:b/>
        </w:rPr>
        <w:t>Председатель</w:t>
      </w:r>
      <w:r>
        <w:t xml:space="preserve"> приветствует Председателя Подкомитета по предупрежд</w:t>
      </w:r>
      <w:r>
        <w:t>е</w:t>
      </w:r>
      <w:r>
        <w:t>нию пыток и предлагает ему представить четвертый ежегодный доклад Подк</w:t>
      </w:r>
      <w:r>
        <w:t>о</w:t>
      </w:r>
      <w:r>
        <w:t>митета.</w:t>
      </w:r>
    </w:p>
    <w:p w:rsidR="00000000" w:rsidRDefault="00000000">
      <w:pPr>
        <w:pStyle w:val="SingleTxtGR0"/>
      </w:pPr>
      <w:r>
        <w:t>2.</w:t>
      </w:r>
      <w:r>
        <w:tab/>
      </w:r>
      <w:r>
        <w:rPr>
          <w:b/>
        </w:rPr>
        <w:t>Г-н Эванс</w:t>
      </w:r>
      <w:r>
        <w:t xml:space="preserve"> (Председатель Подкомитета по предупреждению пыток) гов</w:t>
      </w:r>
      <w:r>
        <w:t>о</w:t>
      </w:r>
      <w:r>
        <w:t>рит, что по своей структуре четвертый ежегодный доклад отличается от пред</w:t>
      </w:r>
      <w:r>
        <w:t>ы</w:t>
      </w:r>
      <w:r>
        <w:t>дущих докладов. В нем содержится конкретная информация не только о тек</w:t>
      </w:r>
      <w:r>
        <w:t>у</w:t>
      </w:r>
      <w:r>
        <w:t>щей деятельности, но и об изменениях в подходе Подкомитета к своему манд</w:t>
      </w:r>
      <w:r>
        <w:t>а</w:t>
      </w:r>
      <w:r>
        <w:t>ту. Ежегодный доклад является одним из немногих документов, который пре</w:t>
      </w:r>
      <w:r>
        <w:t>д</w:t>
      </w:r>
      <w:r>
        <w:t>назначен широкой публике, поскольку сообщения о посещении государств-участников являются конфиденциальными, если только государства не выр</w:t>
      </w:r>
      <w:r>
        <w:t>а</w:t>
      </w:r>
      <w:r>
        <w:t>жают согласия на их публикацию. Подкомитет приветствует любые отзывы и замечания по своим докладам со стороны членов Комитета против пыток и о</w:t>
      </w:r>
      <w:r>
        <w:t>р</w:t>
      </w:r>
      <w:r>
        <w:t xml:space="preserve">ганизаций, представляющих гражданское общество. </w:t>
      </w:r>
    </w:p>
    <w:p w:rsidR="00000000" w:rsidRDefault="00000000">
      <w:pPr>
        <w:pStyle w:val="SingleTxtGR0"/>
      </w:pPr>
      <w:r>
        <w:t>3.</w:t>
      </w:r>
      <w:r>
        <w:tab/>
        <w:t>В разделе II доклада, озаглавленном "Обзор за год", рассматриваются с</w:t>
      </w:r>
      <w:r>
        <w:t>о</w:t>
      </w:r>
      <w:r>
        <w:t>бытия в основных областях деятельности. За ним следует раздел, озаглавле</w:t>
      </w:r>
      <w:r>
        <w:t>н</w:t>
      </w:r>
      <w:r>
        <w:t>ный "Взаимодействие с другими органами в области предупреждения пыток". К таким органам относятся Комитет, другие органы при Управлении Верховн</w:t>
      </w:r>
      <w:r>
        <w:t>о</w:t>
      </w:r>
      <w:r>
        <w:t>го комиссара Организации Объединенных Наций по правам человека (УВКПЧ), региональные международные организации и гражданское общество. В разд</w:t>
      </w:r>
      <w:r>
        <w:t>е</w:t>
      </w:r>
      <w:r>
        <w:t>ле IV рассматриваются "Заслуживающие внимания вопросы, которые возникли в связи с работой Подкомитета за отчетный период". Он привлекает внимание, в частности, к подразделу, касающемуся вопросов, возникающих в связи с п</w:t>
      </w:r>
      <w:r>
        <w:t>о</w:t>
      </w:r>
      <w:r>
        <w:t>сещениями государств-участников, в котором содержатся соображения по о</w:t>
      </w:r>
      <w:r>
        <w:t>б</w:t>
      </w:r>
      <w:r>
        <w:t>щим вопросам и моменты, вызывающие озабоченность. Естественно, там нет упоминаний о конкретных проблемах, затрагиваемых в конфиденциальных докладах. Данный раздел служит в основном своего рода вступлением к разд</w:t>
      </w:r>
      <w:r>
        <w:t>е</w:t>
      </w:r>
      <w:r>
        <w:t>лу V, касающемуся "Вопросов существа", который призван играть роль более официального резюме мнений Подкомитета по основным темам. Два подразд</w:t>
      </w:r>
      <w:r>
        <w:t>е</w:t>
      </w:r>
      <w:r>
        <w:t>ла раздела V посвящены руководящим принципам, касающимся н</w:t>
      </w:r>
      <w:r>
        <w:t>а</w:t>
      </w:r>
      <w:r>
        <w:t>циональных превентивных механизмов, и подходу Подкомитета к концепции предупрежд</w:t>
      </w:r>
      <w:r>
        <w:t>е</w:t>
      </w:r>
      <w:r>
        <w:t>ния пыток в соответствии с Факультативным протоколом. На каждой сессии Подкомитет обсуждает, какие именно вопросы он хотел бы охватить в разд</w:t>
      </w:r>
      <w:r>
        <w:t>е</w:t>
      </w:r>
      <w:r>
        <w:t>лах</w:t>
      </w:r>
      <w:r>
        <w:rPr>
          <w:lang w:val="en-US"/>
        </w:rPr>
        <w:t> </w:t>
      </w:r>
      <w:proofErr w:type="spellStart"/>
      <w:r>
        <w:t>IV</w:t>
      </w:r>
      <w:proofErr w:type="spellEnd"/>
      <w:r>
        <w:t xml:space="preserve"> и </w:t>
      </w:r>
      <w:proofErr w:type="spellStart"/>
      <w:r>
        <w:t>V</w:t>
      </w:r>
      <w:proofErr w:type="spellEnd"/>
      <w:r>
        <w:t xml:space="preserve"> доклада. </w:t>
      </w:r>
    </w:p>
    <w:p w:rsidR="00000000" w:rsidRDefault="00000000">
      <w:pPr>
        <w:pStyle w:val="SingleTxtGR0"/>
      </w:pPr>
      <w:r>
        <w:t>4.</w:t>
      </w:r>
      <w:r>
        <w:tab/>
        <w:t>В 2010 году были изменены сроки периода, охватываемого ежегодным докладом, и теперь отчетный период совпадает с календарным годом. По этой причине следующий доклад будет отражать последние изменения в членском составе и структуре Подкомитета. Число государств-участников возросло до 57, и он с удовлетворением отмечает, что государства-участники, которые подпис</w:t>
      </w:r>
      <w:r>
        <w:t>а</w:t>
      </w:r>
      <w:r>
        <w:t>ли и ратифицировали Факультативный протокол, расположены в самых разли</w:t>
      </w:r>
      <w:r>
        <w:t>ч</w:t>
      </w:r>
      <w:r>
        <w:t>ных регионах мира. Последним из таких государств стала Греция, которая по</w:t>
      </w:r>
      <w:r>
        <w:t>д</w:t>
      </w:r>
      <w:r>
        <w:t>писала Факультативный протокол в марте 2011 года.</w:t>
      </w:r>
    </w:p>
    <w:p w:rsidR="00000000" w:rsidRDefault="00000000">
      <w:pPr>
        <w:pStyle w:val="SingleTxtGR0"/>
      </w:pPr>
      <w:r>
        <w:t>5.</w:t>
      </w:r>
      <w:r>
        <w:tab/>
        <w:t>Наиболее важное организационное событие произошло в октябре 2010 года, когда были проведены выборы, в ходе которых были избраны пять нынешних членов Подкомитета и 15 новых членов. В феврале 2011 года Подк</w:t>
      </w:r>
      <w:r>
        <w:t>о</w:t>
      </w:r>
      <w:r>
        <w:t>митет впервые собрался в расширенном составе из 25 членов и избрал новое Бюро из пяти членов. В 2011 году Подкомитет посетил четыре страны: он впе</w:t>
      </w:r>
      <w:r>
        <w:t>р</w:t>
      </w:r>
      <w:r>
        <w:t>вые посетил Ливан, Боливию и Либерию и посетил Парагвай с последующим визитом. Такое последующее посещение стало важным новым моментом в р</w:t>
      </w:r>
      <w:r>
        <w:t>а</w:t>
      </w:r>
      <w:r>
        <w:t>боте Подкомитета, и он надеется в полной мере использовать приобретенный таким образом опыт.</w:t>
      </w:r>
    </w:p>
    <w:p w:rsidR="00000000" w:rsidRDefault="00000000">
      <w:pPr>
        <w:pStyle w:val="SingleTxtGR0"/>
      </w:pPr>
      <w:r>
        <w:t>6.</w:t>
      </w:r>
      <w:r>
        <w:tab/>
        <w:t>Он может с удовлетворением объявить, что от государств-участников п</w:t>
      </w:r>
      <w:r>
        <w:t>о</w:t>
      </w:r>
      <w:r>
        <w:t>лучены разрешения на публикацию пяти докладов и двух последующих отв</w:t>
      </w:r>
      <w:r>
        <w:t>е</w:t>
      </w:r>
      <w:r>
        <w:t>тов. Подкомитет надеется, что созданный таким образом прецедент будет пр</w:t>
      </w:r>
      <w:r>
        <w:t>о</w:t>
      </w:r>
      <w:r>
        <w:t>должен. В пункте 19 доклада сообщается о задержках с получением ответов от некоторых государств-участников. Однако сейчас он может сообщить, что Б</w:t>
      </w:r>
      <w:r>
        <w:t>е</w:t>
      </w:r>
      <w:r>
        <w:t xml:space="preserve">нин представил полный ответ, а Ливан – частичный ответ. </w:t>
      </w:r>
    </w:p>
    <w:p w:rsidR="00000000" w:rsidRDefault="00000000">
      <w:pPr>
        <w:pStyle w:val="SingleTxtGR0"/>
      </w:pPr>
      <w:r>
        <w:t>7.</w:t>
      </w:r>
      <w:r>
        <w:tab/>
        <w:t>Он привлекает внимание к подразделу II.</w:t>
      </w:r>
      <w:r>
        <w:rPr>
          <w:lang w:val="en-US"/>
        </w:rPr>
        <w:t>F</w:t>
      </w:r>
      <w:r>
        <w:t>, касающемуся взносов в Сп</w:t>
      </w:r>
      <w:r>
        <w:t>е</w:t>
      </w:r>
      <w:r>
        <w:t>циальный фонд, созданный в соответствии со статьей 26 Факультативного пр</w:t>
      </w:r>
      <w:r>
        <w:t>о</w:t>
      </w:r>
      <w:r>
        <w:t>токола. Как отмечается в докладе, Подкомитет приветствует достигнутую в принципе договоренность по временной схеме для обеспечения функционир</w:t>
      </w:r>
      <w:r>
        <w:t>о</w:t>
      </w:r>
      <w:r>
        <w:t>вания Фонда. Он также выражает признательность за полученные к настоящему времени взносы и обещания относительно поступления значительно большего объема взносов, как только Фонд начнет функционировать.</w:t>
      </w:r>
    </w:p>
    <w:p w:rsidR="00000000" w:rsidRDefault="00000000">
      <w:pPr>
        <w:pStyle w:val="SingleTxtGR0"/>
      </w:pPr>
      <w:r>
        <w:t>8.</w:t>
      </w:r>
      <w:r>
        <w:tab/>
        <w:t>Переходя к подразделу IV.А, он говорит, что статья 24 Факультативного протокола создала некоторые трудности в плане толкования из-за расхождения между переводами на разные языки. Это позволяет государствам-участникам откладывать выполнение своих обязательств, связанных с посещениями или национальными превентивными механизмами, на срок до трех лет. Согласно вариантам текста на двух языках, заявление относительно отсрочки осущест</w:t>
      </w:r>
      <w:r>
        <w:t>в</w:t>
      </w:r>
      <w:r>
        <w:t>ления обязательств может быть сделано в любой момент после ратификации. В вариантах на четырех других языках такое заявление должно быть сделано в момент ратификации. Управление по правовым вопросам Организации Объед</w:t>
      </w:r>
      <w:r>
        <w:t>и</w:t>
      </w:r>
      <w:r>
        <w:t>ненных Наций подтвердило правильность варианта "в момент ратификации". В подразделе IV.B, посвященном совершенствованию методов работы, Подк</w:t>
      </w:r>
      <w:r>
        <w:t>о</w:t>
      </w:r>
      <w:r>
        <w:t>митет отмечает, что до сих пор ему не удавалось уделять достаточно времени вопросу о национальных превентивных механизмах. Он планирует исправить эту ситуацию в будущем, поскольку такие механизмы являются одним из кл</w:t>
      </w:r>
      <w:r>
        <w:t>ю</w:t>
      </w:r>
      <w:r>
        <w:t>чевых элементов мандата Подкомитета.</w:t>
      </w:r>
    </w:p>
    <w:p w:rsidR="00000000" w:rsidRDefault="00000000">
      <w:pPr>
        <w:pStyle w:val="SingleTxtGR0"/>
      </w:pPr>
      <w:r>
        <w:t>9.</w:t>
      </w:r>
      <w:r>
        <w:tab/>
        <w:t>Отвечая на вопросы в связи с заявлением в пункте 45 доклада о том, что Подкомитет "отдает предпочтение модели, которая обеспечивала бы скорейшее посещение государств-участников после ратификации ими Факультативного протокола", он говорит, что было бы точнее указать, что Подкомитет проявляет интерес к такой модели. В настоящее время им не предпринимается каких-либо практических шагов в данном направлении.</w:t>
      </w:r>
    </w:p>
    <w:p w:rsidR="00000000" w:rsidRDefault="00000000">
      <w:pPr>
        <w:pStyle w:val="SingleTxtGR0"/>
      </w:pPr>
      <w:r>
        <w:t>10.</w:t>
      </w:r>
      <w:r>
        <w:tab/>
        <w:t>В связи с вопросом о конфиденциальности он привлекает внимание к с</w:t>
      </w:r>
      <w:r>
        <w:t>о</w:t>
      </w:r>
      <w:r>
        <w:t>держащемуся в пункте 48 заявлению о том, что Подкомитет не считает конф</w:t>
      </w:r>
      <w:r>
        <w:t>и</w:t>
      </w:r>
      <w:r>
        <w:t>денциальными ни свою деятельность, ни используемые им подходы как так</w:t>
      </w:r>
      <w:r>
        <w:t>о</w:t>
      </w:r>
      <w:r>
        <w:t>вые и приветствует любую возможность ознакомления с ними как можно б</w:t>
      </w:r>
      <w:r>
        <w:t>о</w:t>
      </w:r>
      <w:r>
        <w:t>лее широкой аудитории. Хотя он полностью соблюдает конфиденциальность докл</w:t>
      </w:r>
      <w:r>
        <w:t>а</w:t>
      </w:r>
      <w:r>
        <w:t>дов, он стремится к обеспечению транспарентности своих методов работы и к укреплению рабочих взаимоотношений с другими органами.</w:t>
      </w:r>
    </w:p>
    <w:p w:rsidR="00000000" w:rsidRDefault="00000000">
      <w:pPr>
        <w:pStyle w:val="SingleTxtGR0"/>
      </w:pPr>
      <w:r>
        <w:t>11.</w:t>
      </w:r>
      <w:r>
        <w:tab/>
        <w:t>Переходя к вопросам, возникающим в связи с посещениями государств-участников, он говорит, что Подкомитет неизменно подчеркивает необход</w:t>
      </w:r>
      <w:r>
        <w:t>и</w:t>
      </w:r>
      <w:r>
        <w:t>мость полного сотрудничества со стороны соответствующих властей. Перепо</w:t>
      </w:r>
      <w:r>
        <w:t>л</w:t>
      </w:r>
      <w:r>
        <w:t xml:space="preserve">ненность помещений, используемых для досудебного содержания под стражей, является весьма распространенной проблемой, и всем государствам-участникам напоминают об их обязательствах в этом отношении. </w:t>
      </w:r>
    </w:p>
    <w:p w:rsidR="00000000" w:rsidRDefault="00000000">
      <w:pPr>
        <w:pStyle w:val="SingleTxtGR0"/>
      </w:pPr>
      <w:r>
        <w:t>12.</w:t>
      </w:r>
      <w:r>
        <w:tab/>
        <w:t>Как указывается в пункте 53, удивление Подкомитета вызывает тот факт, что государства-участники считают достаточным иметь законы и процедуры, предусматривающие превентивные защитные меры, которые при этом явно не соблюдаются на практике. Подкомитет стремится обеспечить, чтобы лица, с к</w:t>
      </w:r>
      <w:r>
        <w:t>о</w:t>
      </w:r>
      <w:r>
        <w:t>торыми он встречается в ходе своих посещений, не подвергались наказаниям. Еще одним важным вопросом являются системы самоуправления заключенных.</w:t>
      </w:r>
    </w:p>
    <w:p w:rsidR="00000000" w:rsidRDefault="00000000">
      <w:pPr>
        <w:pStyle w:val="SingleTxtGR0"/>
      </w:pPr>
      <w:r>
        <w:t>13.</w:t>
      </w:r>
      <w:r>
        <w:tab/>
        <w:t>По мнению Подкомитета, национальные превентивные механизмы могут существовать в самых различных формах, если это позволяет им эффективно функционировать в данном государстве-участнике. В своем первом ежегодном докладе Подкомитет изложил предварительные руководящие принципы. Сейчас он планирует пересмотреть и развить их с учетом накопленного опыта.</w:t>
      </w:r>
    </w:p>
    <w:p w:rsidR="00000000" w:rsidRDefault="00000000">
      <w:pPr>
        <w:pStyle w:val="SingleTxtGR0"/>
      </w:pPr>
      <w:r>
        <w:t>14.</w:t>
      </w:r>
      <w:r>
        <w:tab/>
        <w:t>К Подкомитету неоднократно обращались с просьбами подробно изл</w:t>
      </w:r>
      <w:r>
        <w:t>о</w:t>
      </w:r>
      <w:r>
        <w:t>жить свой подход к концепции предупреждения пыток, и он пытается дать о</w:t>
      </w:r>
      <w:r>
        <w:t>т</w:t>
      </w:r>
      <w:r>
        <w:t>вет на такой вопрос в пунктах 103–107 доклада. Роль Подкомитета не состоит в разработке правовой концепции или формулировании практических параме</w:t>
      </w:r>
      <w:r>
        <w:t>т</w:t>
      </w:r>
      <w:r>
        <w:t>ров правовых обязательств. Важнее выработать руководящие принципы, которые бы учитывались Подкомитетом, выполняющим свою превентивную фун</w:t>
      </w:r>
      <w:r>
        <w:t>к</w:t>
      </w:r>
      <w:r>
        <w:t xml:space="preserve">цию в контексте посещений стран. </w:t>
      </w:r>
    </w:p>
    <w:p w:rsidR="00000000" w:rsidRDefault="00000000">
      <w:pPr>
        <w:pStyle w:val="SingleTxtGR0"/>
      </w:pPr>
      <w:r>
        <w:t>15.</w:t>
      </w:r>
      <w:r>
        <w:tab/>
        <w:t>Расширение членского состава Подкомитета с 10 до 25 экспертов создает определенные трудности, особенно с учетом бюджетных ограничений, с кот</w:t>
      </w:r>
      <w:r>
        <w:t>о</w:t>
      </w:r>
      <w:r>
        <w:t>рыми сталкиваются все договорные органы, однако оно открывает и опред</w:t>
      </w:r>
      <w:r>
        <w:t>е</w:t>
      </w:r>
      <w:r>
        <w:t>ленные возможности. Главная задача состоит в наиболее эффективном испол</w:t>
      </w:r>
      <w:r>
        <w:t>ь</w:t>
      </w:r>
      <w:r>
        <w:t>зовании опыта, которым располагают его 25 членов. До расширения своего членского состава Подкомитет проводил ежегодно три-четыре посещения стран. Настало время рассмотреть вопрос о том, нельзя ли дополнить посещ</w:t>
      </w:r>
      <w:r>
        <w:t>е</w:t>
      </w:r>
      <w:r>
        <w:t>ния стран, которые продолжаются около десяти дней, более частыми, но менее перегруженными посещениями, в ходе которых основное внимание уделялось бы таким областям, как последующие меры или связи с национальными пр</w:t>
      </w:r>
      <w:r>
        <w:t>е</w:t>
      </w:r>
      <w:r>
        <w:t xml:space="preserve">вентивными механизмами. </w:t>
      </w:r>
    </w:p>
    <w:p w:rsidR="00000000" w:rsidRDefault="00000000">
      <w:pPr>
        <w:pStyle w:val="SingleTxtGR0"/>
      </w:pPr>
      <w:r>
        <w:t>16.</w:t>
      </w:r>
      <w:r>
        <w:tab/>
        <w:t>В рамках совершенствования работы внутренних структур Подкомитета было принято решение о том, что в состав его расширенного Бюро войдут ч</w:t>
      </w:r>
      <w:r>
        <w:t>е</w:t>
      </w:r>
      <w:r>
        <w:t>тыре заместителя Председателя, которые будут, соответственно, отвечать за п</w:t>
      </w:r>
      <w:r>
        <w:t>о</w:t>
      </w:r>
      <w:r>
        <w:t>сещения стран, национальные превентивные механизмы, взаимоотношения с международными региональными организациями и практику Подкомитета. Для содействия оптимизации работы Подкомитета в области национальных преве</w:t>
      </w:r>
      <w:r>
        <w:t>н</w:t>
      </w:r>
      <w:r>
        <w:t>тивных механизмов будут созданы региональные группы. Члены этих групп б</w:t>
      </w:r>
      <w:r>
        <w:t>у</w:t>
      </w:r>
      <w:r>
        <w:t>дут работать с национальными превентивными механизмами в конкретных р</w:t>
      </w:r>
      <w:r>
        <w:t>е</w:t>
      </w:r>
      <w:r>
        <w:t>гионах, но не обязательно будут выходцами из этих регионов. Группы будут представлять доклады на пленарных заседаниях Подкомитета, который надее</w:t>
      </w:r>
      <w:r>
        <w:t>т</w:t>
      </w:r>
      <w:r>
        <w:t>ся, что этот новый подход внесет более конкретный вклад в обсуждения им в</w:t>
      </w:r>
      <w:r>
        <w:t>о</w:t>
      </w:r>
      <w:r>
        <w:t>просов, касающихся национальных превентивных механизмов, чем это удав</w:t>
      </w:r>
      <w:r>
        <w:t>а</w:t>
      </w:r>
      <w:r>
        <w:t>лось сделать раньше.</w:t>
      </w:r>
    </w:p>
    <w:p w:rsidR="00000000" w:rsidRDefault="00000000">
      <w:pPr>
        <w:pStyle w:val="SingleTxtGR0"/>
      </w:pPr>
      <w:r>
        <w:t>17.</w:t>
      </w:r>
      <w:r>
        <w:tab/>
        <w:t>В 2011 году Подкомитет посетит Бразилию, Мали и Украину. Численный состав посещающих групп будет расширен для обеспечения того, чтобы все н</w:t>
      </w:r>
      <w:r>
        <w:t>о</w:t>
      </w:r>
      <w:r>
        <w:t>вые члены могли как можно скорее ознакомиться с организацией и проведением посещений и национальными превентивными механизмами. Остается надеят</w:t>
      </w:r>
      <w:r>
        <w:t>ь</w:t>
      </w:r>
      <w:r>
        <w:t>ся, что в будущем Подкомитет сможет значительно увеличить число посещений и ра</w:t>
      </w:r>
      <w:r>
        <w:t>с</w:t>
      </w:r>
      <w:r>
        <w:t xml:space="preserve">ширить их географию. </w:t>
      </w:r>
    </w:p>
    <w:p w:rsidR="00000000" w:rsidRDefault="00000000">
      <w:pPr>
        <w:pStyle w:val="SingleTxtGR0"/>
        <w:pageBreakBefore/>
      </w:pPr>
      <w:r>
        <w:t>18.</w:t>
      </w:r>
      <w:r>
        <w:tab/>
      </w:r>
      <w:r>
        <w:rPr>
          <w:b/>
        </w:rPr>
        <w:t>Председатель</w:t>
      </w:r>
      <w:r>
        <w:t xml:space="preserve"> положительно оценивает продемонстрированный Подк</w:t>
      </w:r>
      <w:r>
        <w:t>о</w:t>
      </w:r>
      <w:r>
        <w:t>митетом творческий подход и его достижения и говорит, что процесс создания национальных превентивных механизмов продвигается в правильном напра</w:t>
      </w:r>
      <w:r>
        <w:t>в</w:t>
      </w:r>
      <w:r>
        <w:t>лении.</w:t>
      </w:r>
    </w:p>
    <w:p w:rsidR="00000000" w:rsidRDefault="00000000">
      <w:pPr>
        <w:pStyle w:val="SingleTxtGR0"/>
      </w:pPr>
      <w:r>
        <w:t>19.</w:t>
      </w:r>
      <w:r>
        <w:tab/>
      </w:r>
      <w:r>
        <w:rPr>
          <w:b/>
        </w:rPr>
        <w:t>Г-н Бруни</w:t>
      </w:r>
      <w:r>
        <w:t xml:space="preserve"> спрашивает, какова роль национальных превентивных мех</w:t>
      </w:r>
      <w:r>
        <w:t>а</w:t>
      </w:r>
      <w:r>
        <w:t xml:space="preserve">низмов в определении выбора стран для последующих посещений и в какой мере взаимодействие между Подкомитетом и национальными превентивными механизмами влияет на решения относительно последующих мер. </w:t>
      </w:r>
    </w:p>
    <w:p w:rsidR="00000000" w:rsidRDefault="00000000">
      <w:pPr>
        <w:pStyle w:val="SingleTxtGR0"/>
      </w:pPr>
      <w:r>
        <w:t>20.</w:t>
      </w:r>
      <w:r>
        <w:tab/>
        <w:t>Отмечая, что Подкомитет выразил в своем докладе удивление по поводу затруднений, с которыми он порой сталкивается, пытаясь получить доступ к лицам, лишенным свободы, он интересуется, действительно ли членам Подк</w:t>
      </w:r>
      <w:r>
        <w:t>о</w:t>
      </w:r>
      <w:r>
        <w:t>митета непонятно, почему такие трудности возникают в некоторых государс</w:t>
      </w:r>
      <w:r>
        <w:t>т</w:t>
      </w:r>
      <w:r>
        <w:t xml:space="preserve">вах-участниках. </w:t>
      </w:r>
    </w:p>
    <w:p w:rsidR="00000000" w:rsidRDefault="00000000">
      <w:pPr>
        <w:pStyle w:val="SingleTxtGR0"/>
      </w:pPr>
      <w:r>
        <w:t>21.</w:t>
      </w:r>
      <w:r>
        <w:tab/>
        <w:t>Отметив, что Подкомитет опубликовал результаты своего расследования по поводу сообщений о систематическом применении пыток в Бразилии, кот</w:t>
      </w:r>
      <w:r>
        <w:t>о</w:t>
      </w:r>
      <w:r>
        <w:t>рую Подкомитет намерен посетить в текущем году, он спрашивает, учитывает ли он такую имеющуюся информацию при планировании посещений и может ли наличие такого сообщения изменить применяемый им подход.</w:t>
      </w:r>
    </w:p>
    <w:p w:rsidR="00000000" w:rsidRDefault="00000000">
      <w:pPr>
        <w:pStyle w:val="SingleTxtGR0"/>
      </w:pPr>
      <w:r>
        <w:t>22.</w:t>
      </w:r>
      <w:r>
        <w:tab/>
      </w:r>
      <w:r>
        <w:rPr>
          <w:b/>
        </w:rPr>
        <w:t>Г-н Эванс</w:t>
      </w:r>
      <w:r>
        <w:t xml:space="preserve"> (Председатель Подкомитета по предупреждению пыток) гов</w:t>
      </w:r>
      <w:r>
        <w:t>о</w:t>
      </w:r>
      <w:r>
        <w:t>рит, что Подкомитет пока еще только изучает вопрос о той роли, которую могли бы играть национальные превентивные механизмы в последующей деятельн</w:t>
      </w:r>
      <w:r>
        <w:t>о</w:t>
      </w:r>
      <w:r>
        <w:t>сти, и о том, какие процедуры были бы наиболее оптимальными. В тех случаях, когда доклад Подкомитета был опубликован и таким образом стал известен н</w:t>
      </w:r>
      <w:r>
        <w:t>а</w:t>
      </w:r>
      <w:r>
        <w:t>циональному превентивному механизму, зачастую сам этот механизм в состо</w:t>
      </w:r>
      <w:r>
        <w:t>я</w:t>
      </w:r>
      <w:r>
        <w:t>нии осуществлять эффективный контроль за выполнением рекомендаций По</w:t>
      </w:r>
      <w:r>
        <w:t>д</w:t>
      </w:r>
      <w:r>
        <w:t>комитета и может помочь в оценке того, насколько целесообразно последующее посещение Подкомитетом. Чем скорее государства-участники выполнят свои обязательства по созданию национальных превентивных механизмов и чем больше будет сделано для обеспечения их прочного положения, независимости и эффективности, тем больше внимания Подкомитет сможет уделять тем стр</w:t>
      </w:r>
      <w:r>
        <w:t>а</w:t>
      </w:r>
      <w:r>
        <w:t>нам, в к</w:t>
      </w:r>
      <w:r>
        <w:t>о</w:t>
      </w:r>
      <w:r>
        <w:t xml:space="preserve">торых это необходимо. </w:t>
      </w:r>
    </w:p>
    <w:p w:rsidR="00000000" w:rsidRDefault="00000000">
      <w:pPr>
        <w:pStyle w:val="SingleTxtGR0"/>
      </w:pPr>
      <w:r>
        <w:t>23.</w:t>
      </w:r>
      <w:r>
        <w:tab/>
        <w:t>В том, что касается затруднений, с которыми иногда сталкивается Подк</w:t>
      </w:r>
      <w:r>
        <w:t>о</w:t>
      </w:r>
      <w:r>
        <w:t>митет, когда он пытается получить доступ к лицам, лишенным свободы, ста</w:t>
      </w:r>
      <w:r>
        <w:t>р</w:t>
      </w:r>
      <w:r>
        <w:t>шие должностные лица, которым известно об обязательствах государств-участников по Факультативному протоколу, могут создавать такие препятствия намеренно. Государствам-участникам следует довести до сведения всех дол</w:t>
      </w:r>
      <w:r>
        <w:t>ж</w:t>
      </w:r>
      <w:r>
        <w:t>ностных лиц, что они обязаны сотрудничать с Подкомитетом.</w:t>
      </w:r>
    </w:p>
    <w:p w:rsidR="00000000" w:rsidRDefault="00000000">
      <w:pPr>
        <w:pStyle w:val="SingleTxtGR0"/>
      </w:pPr>
      <w:r>
        <w:t>24.</w:t>
      </w:r>
      <w:r>
        <w:tab/>
        <w:t>Что же касается планирования посещений стран, Подкомитет не может выступать в качестве механизма последующих действий для других органов, однако он не смог бы выполнять свои обязанности надлежащим образом, если бы не учитывал в полной мере всю имеющуюся информацию до посещений, и он всегда стремится к этому.</w:t>
      </w:r>
    </w:p>
    <w:p w:rsidR="00000000" w:rsidRDefault="00000000">
      <w:pPr>
        <w:pStyle w:val="SingleTxtGR0"/>
      </w:pPr>
      <w:r>
        <w:t>25.</w:t>
      </w:r>
      <w:r>
        <w:tab/>
      </w:r>
      <w:r>
        <w:rPr>
          <w:b/>
        </w:rPr>
        <w:t>Г-жа Свеосс</w:t>
      </w:r>
      <w:r>
        <w:t xml:space="preserve"> спрашивает, чем можно объяснить явное нежелание некот</w:t>
      </w:r>
      <w:r>
        <w:t>о</w:t>
      </w:r>
      <w:r>
        <w:t>рых государств, особенно входящих в Группу западноевропейских и других г</w:t>
      </w:r>
      <w:r>
        <w:t>о</w:t>
      </w:r>
      <w:r>
        <w:t>сударств, ратифицировать Факультативный протокол. Некоторые, судя по всему, не желают пойти на это, поскольку они не добились значительного прогресса в деле создания национальных превентивных механизмов, однако сходные недо</w:t>
      </w:r>
      <w:r>
        <w:t>с</w:t>
      </w:r>
      <w:r>
        <w:t>татки не помешали другим государствам-участникам, например многим стр</w:t>
      </w:r>
      <w:r>
        <w:t>а</w:t>
      </w:r>
      <w:r>
        <w:t>нам в Восточной Европе, начать процесс ратификации. Было бы также полезно узнать, как построен доклад Подкомитета о его последующем посещении Пар</w:t>
      </w:r>
      <w:r>
        <w:t>а</w:t>
      </w:r>
      <w:r>
        <w:t>гвая и как было организовано само посещение, так как это государство-участник в ближайшем будущем должно представить Комитету свой период</w:t>
      </w:r>
      <w:r>
        <w:t>и</w:t>
      </w:r>
      <w:r>
        <w:t>ческий до</w:t>
      </w:r>
      <w:r>
        <w:t>к</w:t>
      </w:r>
      <w:r>
        <w:t>лад. Наконец, она просит представить дополнительную информацию о том, как взаимодействуют Подкомитет и Международный комитет Красного Креста, поскольку оба этих органа следуют практике строгой конфиденциал</w:t>
      </w:r>
      <w:r>
        <w:t>ь</w:t>
      </w:r>
      <w:r>
        <w:t>ности в контексте своих посещений стран.</w:t>
      </w:r>
    </w:p>
    <w:p w:rsidR="00000000" w:rsidRDefault="00000000">
      <w:pPr>
        <w:pStyle w:val="SingleTxtGR0"/>
      </w:pPr>
      <w:r>
        <w:t>26.</w:t>
      </w:r>
      <w:r>
        <w:tab/>
      </w:r>
      <w:r>
        <w:rPr>
          <w:b/>
        </w:rPr>
        <w:t>Г-н Мариньо Менендес</w:t>
      </w:r>
      <w:r>
        <w:t xml:space="preserve"> говорит, что, хотя ему понятно, что задача пр</w:t>
      </w:r>
      <w:r>
        <w:t>е</w:t>
      </w:r>
      <w:r>
        <w:t>дупреждения пыток выходит за рамки сугубо юридических соображений, он хотел бы знать, в какой мере Подкомитет прибегает к нормам международного права в отношении запрещения пыток, например, когда он выносит государс</w:t>
      </w:r>
      <w:r>
        <w:t>т</w:t>
      </w:r>
      <w:r>
        <w:t>вам-участникам рекомендации после первоначальных и последующих посещ</w:t>
      </w:r>
      <w:r>
        <w:t>е</w:t>
      </w:r>
      <w:r>
        <w:t>ний. Он спрашивает, возникало ли у членов Подкомитета когда-либо желание сообщить, пусть и в конфиденциальном порядке, о случаях систематических нарушений запрещения применения пыток, с которыми он сталкивался в ходе своих посещений, и мог бы Подкомитет выступать в роли своего рода "системы раннего оповещения" о подобных случаях. Для того чтобы лучше понять, каким образом функционирует Подкомитет, он также хотел бы узнать, как назначаю</w:t>
      </w:r>
      <w:r>
        <w:t>т</w:t>
      </w:r>
      <w:r>
        <w:t>ся его специальные докладчики – например, по географическим регионам или по темам.</w:t>
      </w:r>
    </w:p>
    <w:p w:rsidR="00000000" w:rsidRDefault="00000000">
      <w:pPr>
        <w:pStyle w:val="SingleTxtGR0"/>
      </w:pPr>
      <w:r>
        <w:t>27.</w:t>
      </w:r>
      <w:r>
        <w:tab/>
      </w:r>
      <w:r>
        <w:rPr>
          <w:b/>
        </w:rPr>
        <w:t>Г-н Сюэсянь Ван</w:t>
      </w:r>
      <w:r>
        <w:t xml:space="preserve"> говорит, что раздел IV.D четвертого ежегодного докл</w:t>
      </w:r>
      <w:r>
        <w:t>а</w:t>
      </w:r>
      <w:r>
        <w:t>да Подкомитета (CA</w:t>
      </w:r>
      <w:r>
        <w:rPr>
          <w:lang w:val="en-US"/>
        </w:rPr>
        <w:t>T</w:t>
      </w:r>
      <w:r>
        <w:t>/C/46/2), в котором затрагиваются вопросы, возникающие в связи с посещениями, имеет самое непосредственное отношение к работе К</w:t>
      </w:r>
      <w:r>
        <w:t>о</w:t>
      </w:r>
      <w:r>
        <w:t>митета. Необходимо рассмотреть вопрос о том, каким образом Подкомитет и Комитет могут обмениваться информацией в целях укрепления деятельности друг друга, обеспечивая при этом тщательное соблюдение принципа конфиде</w:t>
      </w:r>
      <w:r>
        <w:t>н</w:t>
      </w:r>
      <w:r>
        <w:t>циальности. Он спрашивает, учитывает ли Подкомитет при принятии решений о посещении стран, какие из государств-участников намечено заслушивать в К</w:t>
      </w:r>
      <w:r>
        <w:t>о</w:t>
      </w:r>
      <w:r>
        <w:t>митете. В своем диалоге с государствами-участниками Комитет также должен учитывать работу, проводимую Подкомитетом.</w:t>
      </w:r>
    </w:p>
    <w:p w:rsidR="00000000" w:rsidRDefault="00000000">
      <w:pPr>
        <w:pStyle w:val="SingleTxtGR0"/>
      </w:pPr>
      <w:r>
        <w:t>28.</w:t>
      </w:r>
      <w:r>
        <w:tab/>
      </w:r>
      <w:r>
        <w:rPr>
          <w:b/>
        </w:rPr>
        <w:t>Г-жа Гаер</w:t>
      </w:r>
      <w:r>
        <w:t xml:space="preserve"> говорит, что, поскольку в пунктах 62 и 64 четвертого ежего</w:t>
      </w:r>
      <w:r>
        <w:t>д</w:t>
      </w:r>
      <w:r>
        <w:t>ного доклада указывается, что Подкомитет не проводит и не собирается пров</w:t>
      </w:r>
      <w:r>
        <w:t>о</w:t>
      </w:r>
      <w:r>
        <w:t>дить официальную оценку национальных превентивных механизмов на предмет их соответствия критериям, закрепленным в Факультативном протоколе, она интересуется, кто должен проводить такую оценку. Она хотела бы знать, кто имеет право направить жалобу или отчет в случае, если посещения национал</w:t>
      </w:r>
      <w:r>
        <w:t>ь</w:t>
      </w:r>
      <w:r>
        <w:t>ными превентивными механизмами ограничиваются или же им не разрешают проводить собеседования с заключенными в приватном порядке или же сове</w:t>
      </w:r>
      <w:r>
        <w:t>р</w:t>
      </w:r>
      <w:r>
        <w:t>шать необъявленные посещения. Существуют ли какие-либо меры, позволя</w:t>
      </w:r>
      <w:r>
        <w:t>ю</w:t>
      </w:r>
      <w:r>
        <w:t>щие контролировать взаимоотношения между национальными превентивными м</w:t>
      </w:r>
      <w:r>
        <w:t>е</w:t>
      </w:r>
      <w:r>
        <w:t>ханизмами и государствами? Рассматривалась ли возможность определенной градации этих механизмов, и кто мог бы взять на себя такую задачу? Имели ли место какие-либо конкретные ситуации, когда самоуправление заключенных создавало вполне определенную проблему, и кому Подкомитет сообщает в этом случае о своей озабоченности – комитету по вопросам самоуправления закл</w:t>
      </w:r>
      <w:r>
        <w:t>ю</w:t>
      </w:r>
      <w:r>
        <w:t>ченных в соответствующей тюрьме, тюремной администрации или государс</w:t>
      </w:r>
      <w:r>
        <w:t>т</w:t>
      </w:r>
      <w:r>
        <w:t>ву?</w:t>
      </w:r>
    </w:p>
    <w:p w:rsidR="00000000" w:rsidRDefault="00000000">
      <w:pPr>
        <w:pStyle w:val="SingleTxtGR0"/>
      </w:pPr>
      <w:r>
        <w:t>29.</w:t>
      </w:r>
      <w:r>
        <w:tab/>
      </w:r>
      <w:r>
        <w:rPr>
          <w:b/>
        </w:rPr>
        <w:t>Председатель</w:t>
      </w:r>
      <w:r>
        <w:t xml:space="preserve"> считает, что Комитет может призвать государства-участники, которые также являются участниками Факультативного протокола и пока еще не сделали этого, создать национальные превентивные механизмы. Он спрашивает, имеются ли какие-то общие причины, на которые ссылаются в сл</w:t>
      </w:r>
      <w:r>
        <w:t>у</w:t>
      </w:r>
      <w:r>
        <w:t>чае задержки с ратификацией Факультативного протокола и нежелания созд</w:t>
      </w:r>
      <w:r>
        <w:t>а</w:t>
      </w:r>
      <w:r>
        <w:t>вать национальные превентивные механизмы? Каково число назначенных н</w:t>
      </w:r>
      <w:r>
        <w:t>а</w:t>
      </w:r>
      <w:r>
        <w:t>циональных превентивных механизмов, которые отвечают требованиям Ф</w:t>
      </w:r>
      <w:r>
        <w:t>а</w:t>
      </w:r>
      <w:r>
        <w:t>культативного протокола? Наконец, он интересуется, как можно осуществлять контроль за этими механизмами?</w:t>
      </w:r>
    </w:p>
    <w:p w:rsidR="00000000" w:rsidRDefault="00000000">
      <w:pPr>
        <w:pStyle w:val="SingleTxtGR0"/>
      </w:pPr>
      <w:r>
        <w:t>30.</w:t>
      </w:r>
      <w:r>
        <w:tab/>
      </w:r>
      <w:r>
        <w:rPr>
          <w:b/>
        </w:rPr>
        <w:t>Г-н Эванс</w:t>
      </w:r>
      <w:r>
        <w:t xml:space="preserve"> (Председатель Подкомитета по предупреждению пыток) гов</w:t>
      </w:r>
      <w:r>
        <w:t>о</w:t>
      </w:r>
      <w:r>
        <w:t>рит, что некоторые государства поспешно ратифицировали Факультативный протокол, в то время как другие следуют более взвешенному подходу. Некот</w:t>
      </w:r>
      <w:r>
        <w:t>о</w:t>
      </w:r>
      <w:r>
        <w:t>рые выяснили после ратификации, что создание национального превентивного механизма является более сложной и дорогостоящей задачей, чем они пре</w:t>
      </w:r>
      <w:r>
        <w:t>д</w:t>
      </w:r>
      <w:r>
        <w:t>ставляли. Другие создают такие механизмы до ратификации. Он отмечает, что в Группе западноевропейских и других государств наблюдается заметное давл</w:t>
      </w:r>
      <w:r>
        <w:t>е</w:t>
      </w:r>
      <w:r>
        <w:t>ние со стороны других стран, многие из которых, скорее всего, ратифицируют Факультативный протокол в ближайшем будущем.</w:t>
      </w:r>
    </w:p>
    <w:p w:rsidR="00000000" w:rsidRDefault="00000000">
      <w:pPr>
        <w:pStyle w:val="SingleTxtGR0"/>
      </w:pPr>
      <w:r>
        <w:t>31.</w:t>
      </w:r>
      <w:r>
        <w:tab/>
        <w:t>Касаясь последующего посещения Парагвая, он говорит, что этот визит был проведен за четыре дня и посвящен в основном обсуждениям мер, прин</w:t>
      </w:r>
      <w:r>
        <w:t>я</w:t>
      </w:r>
      <w:r>
        <w:t>тых правительством в связи с первоначальными рекомендациями Подк</w:t>
      </w:r>
      <w:r>
        <w:t>о</w:t>
      </w:r>
      <w:r>
        <w:t>митета, а не посещениям мест содержания под стражей. Формы сотрудничества с Ме</w:t>
      </w:r>
      <w:r>
        <w:t>ж</w:t>
      </w:r>
      <w:r>
        <w:t>дународным комитетом Красного Креста (МККК) обсуждались на пленарных заседаниях Подкомитета. Одна из главных забот обеих сторон состоит в обе</w:t>
      </w:r>
      <w:r>
        <w:t>с</w:t>
      </w:r>
      <w:r>
        <w:t>печении того, чтобы не посещать одни и те же места заключения одновременно. Поэтому основное внимание уделяется преимущественно сотрудничеству в о</w:t>
      </w:r>
      <w:r>
        <w:t>р</w:t>
      </w:r>
      <w:r>
        <w:t xml:space="preserve">ганизационных вопросах. </w:t>
      </w:r>
    </w:p>
    <w:p w:rsidR="00000000" w:rsidRDefault="00000000">
      <w:pPr>
        <w:pStyle w:val="SingleTxtGR0"/>
      </w:pPr>
      <w:r>
        <w:t>32.</w:t>
      </w:r>
      <w:r>
        <w:tab/>
        <w:t>Хотя Подкомитет использует нормы международного права для обосн</w:t>
      </w:r>
      <w:r>
        <w:t>о</w:t>
      </w:r>
      <w:r>
        <w:t>вания своих решений, предпринимаются усилия для обеспечения того, чтобы формулировки его рекомендаций были понятны для всех. По завершении ка</w:t>
      </w:r>
      <w:r>
        <w:t>ж</w:t>
      </w:r>
      <w:r>
        <w:t>дого посещения страны Подкомитет устно высказывает свои предварительные рекомендации, а позднее представляет рекомендации в письменном виде. Чл</w:t>
      </w:r>
      <w:r>
        <w:t>е</w:t>
      </w:r>
      <w:r>
        <w:t>ны Подкомитета отдают себе отчет в том, что в связи с вопросом о предупре</w:t>
      </w:r>
      <w:r>
        <w:t>ж</w:t>
      </w:r>
      <w:r>
        <w:t>дении пыток может быть вынесено практически любое количество рекоменд</w:t>
      </w:r>
      <w:r>
        <w:t>а</w:t>
      </w:r>
      <w:r>
        <w:t>ций, и хотя страны не обязаны по закону принимать определенные превенти</w:t>
      </w:r>
      <w:r>
        <w:t>в</w:t>
      </w:r>
      <w:r>
        <w:t>ные меры, Подкомитет все же побуждает их к этому.</w:t>
      </w:r>
    </w:p>
    <w:p w:rsidR="00000000" w:rsidRDefault="00000000">
      <w:pPr>
        <w:pStyle w:val="SingleTxtGR0"/>
      </w:pPr>
      <w:r>
        <w:t>33.</w:t>
      </w:r>
      <w:r>
        <w:tab/>
        <w:t>Подкомитету необходимо учитывать цикл рассмотрения докладов Ком</w:t>
      </w:r>
      <w:r>
        <w:t>и</w:t>
      </w:r>
      <w:r>
        <w:t>тетом и его заключительные замечания при отборе стран для посещения. Какая-либо градация национальных превентивных механизмов не представляется н</w:t>
      </w:r>
      <w:r>
        <w:t>е</w:t>
      </w:r>
      <w:r>
        <w:t>обходимой или целесообразной; вместо этого Подкомитет сосредоточился на вынесении рекомендаций и оказании помощи государствам в разработке и у</w:t>
      </w:r>
      <w:r>
        <w:t>к</w:t>
      </w:r>
      <w:r>
        <w:t>реплении своих национальных механизмов. Подкомитет разъясняет государс</w:t>
      </w:r>
      <w:r>
        <w:t>т</w:t>
      </w:r>
      <w:r>
        <w:t>вам свое понимание того, как должны функционировать национальные преве</w:t>
      </w:r>
      <w:r>
        <w:t>н</w:t>
      </w:r>
      <w:r>
        <w:t>тивные механизмы, вместо того чтобы оценивать их или предоставлять им к</w:t>
      </w:r>
      <w:r>
        <w:t>а</w:t>
      </w:r>
      <w:r>
        <w:t>кую-то аккредитацию. Жалобы на то, что национальным превентивным мех</w:t>
      </w:r>
      <w:r>
        <w:t>а</w:t>
      </w:r>
      <w:r>
        <w:t>низмам создают препятствия в их работе, направляются в Подкомитет самими механизмами или представителями гражданского общества. Кроме того, расш</w:t>
      </w:r>
      <w:r>
        <w:t>и</w:t>
      </w:r>
      <w:r>
        <w:t>ряется сеть взаимного контроля со стороны самих национальных превентивных механизмов. Он указывает, что ряд государств, не подписавших Факультати</w:t>
      </w:r>
      <w:r>
        <w:t>в</w:t>
      </w:r>
      <w:r>
        <w:t>ный протокол, рассматривают возможность создания национальных превенти</w:t>
      </w:r>
      <w:r>
        <w:t>в</w:t>
      </w:r>
      <w:r>
        <w:t>ных механизмов, несмотря на то, что они не являются его участниками.</w:t>
      </w:r>
    </w:p>
    <w:p w:rsidR="00000000" w:rsidRDefault="00000000">
      <w:pPr>
        <w:pStyle w:val="SingleTxtGR0"/>
      </w:pPr>
      <w:r>
        <w:t>34.</w:t>
      </w:r>
      <w:r>
        <w:tab/>
        <w:t>Самоуправление заключенных стало весьма распространенным явлением, которое широко освещается. Высказываемые в этой связи замечания призваны напомнить государствам о том, что их роль заключается не только в обеспеч</w:t>
      </w:r>
      <w:r>
        <w:t>е</w:t>
      </w:r>
      <w:r>
        <w:t>нии безопасности по периметру соответствующих объектов. Несмотря на то, что самоуправление заключенных может стать полезной структурой в рамках пенитенциарной системы, следует учитывать и связанные с этим опасности. В</w:t>
      </w:r>
      <w:r>
        <w:rPr>
          <w:lang w:val="en-US"/>
        </w:rPr>
        <w:t> </w:t>
      </w:r>
      <w:r>
        <w:t>соответствующем пункте доклада учитывается реальное положение дел, к</w:t>
      </w:r>
      <w:r>
        <w:t>о</w:t>
      </w:r>
      <w:r>
        <w:t>торое сопоставляется с идеальными представлениями в целях поиска приемл</w:t>
      </w:r>
      <w:r>
        <w:t>е</w:t>
      </w:r>
      <w:r>
        <w:t>мого решения. В то же время он имеет целью очертить определенные пределы, в которых может пр</w:t>
      </w:r>
      <w:r>
        <w:t>и</w:t>
      </w:r>
      <w:r>
        <w:t>меняться система самоуправления заключенных.</w:t>
      </w:r>
    </w:p>
    <w:p w:rsidR="00000000" w:rsidRDefault="00000000">
      <w:pPr>
        <w:pStyle w:val="SingleTxtGR0"/>
      </w:pPr>
      <w:r>
        <w:t>35.</w:t>
      </w:r>
      <w:r>
        <w:tab/>
        <w:t>Подкомитет весьма признателен Комитету, который играет крайне ва</w:t>
      </w:r>
      <w:r>
        <w:t>ж</w:t>
      </w:r>
      <w:r>
        <w:t>ную роль, напоминая государствам об их обязательствах по созданию наци</w:t>
      </w:r>
      <w:r>
        <w:t>о</w:t>
      </w:r>
      <w:r>
        <w:t>нальных превентивных механизмов. Насколько можно судить, какой-либо о</w:t>
      </w:r>
      <w:r>
        <w:t>б</w:t>
      </w:r>
      <w:r>
        <w:t>щей причины, по которой некоторые государства не создают их, не существует, однако многие из трудностей, которые мешают этому, можно было бы преод</w:t>
      </w:r>
      <w:r>
        <w:t>о</w:t>
      </w:r>
      <w:r>
        <w:t>леть, если бы им напоминали об их обязательствах и предлагали руководящие указания и помощь. Подкомитет уделяет все больше внимания национальным превентивным механизмам и будет сосредотачиваться на тех государствах-участниках, которые пока еще не создали их. Он признает, что этот процесс не всегда идет легко, однако он постоянно следит за наличием признаков того, что государства-участники позитивно участвуют в этом процессе.</w:t>
      </w:r>
    </w:p>
    <w:p w:rsidR="00000000" w:rsidRDefault="00000000">
      <w:pPr>
        <w:pStyle w:val="SingleTxtGR0"/>
      </w:pPr>
      <w:r>
        <w:t>36.</w:t>
      </w:r>
      <w:r>
        <w:tab/>
      </w:r>
      <w:r>
        <w:rPr>
          <w:b/>
        </w:rPr>
        <w:t>Г-н Гальегос Чирибога</w:t>
      </w:r>
      <w:r>
        <w:t xml:space="preserve"> говорит, что он хотел бы знать, как Подкомитет планирует развивать сотрудничество с Комитетом, с тем чтобы совместными усилиями бороться с пытками и содействовать их предупреждению.</w:t>
      </w:r>
    </w:p>
    <w:p w:rsidR="00000000" w:rsidRDefault="00000000">
      <w:pPr>
        <w:pStyle w:val="SingleTxtGR0"/>
      </w:pPr>
      <w:r>
        <w:t>37.</w:t>
      </w:r>
      <w:r>
        <w:tab/>
      </w:r>
      <w:r>
        <w:rPr>
          <w:b/>
        </w:rPr>
        <w:t>Председатель</w:t>
      </w:r>
      <w:r>
        <w:t xml:space="preserve"> говорит, что этот важный вопрос можно будет рассмотреть на закрытой части заседания.</w:t>
      </w:r>
    </w:p>
    <w:p w:rsidR="00000000" w:rsidRDefault="00000000">
      <w:pPr>
        <w:pStyle w:val="SingleTxtGR0"/>
        <w:rPr>
          <w:i/>
        </w:rPr>
      </w:pPr>
      <w:r>
        <w:rPr>
          <w:i/>
        </w:rPr>
        <w:t>Открытая часть заседания закрывается в 16 ч. 35 м.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GE.11-42737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1-</w:t>
    </w:r>
    <w:r>
      <w:rPr>
        <w:lang w:val="ru-RU"/>
      </w:rPr>
      <w:t>4</w:t>
    </w:r>
    <w:r>
      <w:rPr>
        <w:lang w:val="en-US"/>
      </w:rPr>
      <w:t>2737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GE.11-42737  (R)  101111 </w:t>
    </w:r>
    <w:r>
      <w:rPr>
        <w:sz w:val="20"/>
        <w:lang w:val="ru-RU"/>
      </w:rPr>
      <w:t xml:space="preserve"> </w:t>
    </w:r>
    <w:r>
      <w:rPr>
        <w:sz w:val="20"/>
        <w:lang w:val="en-US"/>
      </w:rPr>
      <w:t>101111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lang w:val="ru-RU"/>
        </w:rPr>
      </w:pPr>
      <w:r>
        <w:tab/>
      </w:r>
      <w:r>
        <w:rPr>
          <w:lang w:val="ru-RU"/>
        </w:rPr>
        <w:t>*</w:t>
      </w:r>
      <w:r>
        <w:rPr>
          <w:lang w:val="ru-RU"/>
        </w:rPr>
        <w:tab/>
        <w:t>Краткий отчет об остальной части заседания не составлялся.</w:t>
      </w:r>
    </w:p>
    <w:p w:rsidR="00000000" w:rsidRDefault="00000000">
      <w:pPr>
        <w:pStyle w:val="FootnoteText"/>
        <w:rPr>
          <w:lang w:val="ru-RU"/>
        </w:rPr>
      </w:pPr>
      <w:r>
        <w:rPr>
          <w:lang w:val="ru-RU"/>
        </w:rPr>
        <w:tab/>
        <w:t>*</w:t>
      </w:r>
      <w:r>
        <w:rPr>
          <w:rStyle w:val="FootnoteReference"/>
          <w:sz w:val="20"/>
          <w:vertAlign w:val="baseline"/>
          <w:lang w:val="ru-RU"/>
        </w:rPr>
        <w:t>*</w:t>
      </w:r>
      <w:r>
        <w:rPr>
          <w:lang w:val="ru-RU"/>
        </w:rPr>
        <w:tab/>
        <w:t xml:space="preserve">Краткий отчет о второй (закрытой) части заседания выпущен под условным обозначением </w:t>
      </w:r>
      <w:r>
        <w:rPr>
          <w:lang w:val="en-US"/>
        </w:rPr>
        <w:t>CAT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.985/</w:t>
      </w:r>
      <w:r>
        <w:rPr>
          <w:lang w:val="en-US"/>
        </w:rPr>
        <w:t>Add</w:t>
      </w:r>
      <w:r>
        <w:rPr>
          <w:lang w:val="ru-RU"/>
        </w:rPr>
        <w:t>.1.</w:t>
      </w:r>
    </w:p>
    <w:p w:rsidR="00000000" w:rsidRDefault="00000000">
      <w:pPr>
        <w:pStyle w:val="FootnoteText"/>
        <w:pBdr>
          <w:top w:val="single" w:sz="4" w:space="1" w:color="auto"/>
        </w:pBdr>
        <w:spacing w:before="120"/>
        <w:ind w:right="-81"/>
        <w:rPr>
          <w:szCs w:val="18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>
        <w:rPr>
          <w:szCs w:val="18"/>
          <w:lang w:val="ru-RU"/>
        </w:rPr>
        <w:t>В настоящий отчет могут вноситься поправки.</w:t>
      </w:r>
    </w:p>
    <w:p w:rsidR="00000000" w:rsidRDefault="00000000">
      <w:pPr>
        <w:pStyle w:val="FootnoteText"/>
        <w:spacing w:before="120"/>
        <w:rPr>
          <w:szCs w:val="18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>
        <w:rPr>
          <w:szCs w:val="18"/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>
        <w:rPr>
          <w:i/>
          <w:szCs w:val="18"/>
          <w:lang w:val="ru-RU"/>
        </w:rPr>
        <w:t xml:space="preserve">в течение одной недели с момента выпуска настоящего документа </w:t>
      </w:r>
      <w:r>
        <w:rPr>
          <w:szCs w:val="18"/>
          <w:lang w:val="ru-RU"/>
        </w:rPr>
        <w:t>в Группу редакционного контроля, комната Е.4108, Дворец Наций, Женева.</w:t>
      </w:r>
    </w:p>
    <w:p w:rsidR="00000000" w:rsidRDefault="00000000">
      <w:pPr>
        <w:pStyle w:val="FootnoteText"/>
        <w:spacing w:before="120"/>
        <w:rPr>
          <w:sz w:val="20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>
        <w:rPr>
          <w:szCs w:val="18"/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CAT/C/SR.985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CAT/C/SR.985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8</Pages>
  <Words>2859</Words>
  <Characters>19703</Characters>
  <Application>Microsoft Office Word</Application>
  <DocSecurity>4</DocSecurity>
  <Lines>351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1142737</vt:lpstr>
    </vt:vector>
  </TitlesOfParts>
  <Company/>
  <LinksUpToDate>false</LinksUpToDate>
  <CharactersWithSpaces>22502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1142737</dc:title>
  <dc:subject>Shanina</dc:subject>
  <dc:creator>Chvets</dc:creator>
  <cp:keywords/>
  <dc:description/>
  <cp:lastModifiedBy>Tatiana Chvets</cp:lastModifiedBy>
  <cp:revision>2</cp:revision>
  <cp:lastPrinted>2010-06-03T10:29:00Z</cp:lastPrinted>
  <dcterms:created xsi:type="dcterms:W3CDTF">2011-11-10T08:56:00Z</dcterms:created>
  <dcterms:modified xsi:type="dcterms:W3CDTF">2011-11-10T08:56:00Z</dcterms:modified>
</cp:coreProperties>
</file>