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D6AA9" w14:paraId="7261794C" w14:textId="77777777">
        <w:trPr>
          <w:cantSplit/>
          <w:trHeight w:hRule="exact" w:val="851"/>
        </w:trPr>
        <w:tc>
          <w:tcPr>
            <w:tcW w:w="1276" w:type="dxa"/>
            <w:tcBorders>
              <w:bottom w:val="single" w:sz="4" w:space="0" w:color="auto"/>
            </w:tcBorders>
            <w:vAlign w:val="bottom"/>
          </w:tcPr>
          <w:p w14:paraId="7B76996C" w14:textId="77777777" w:rsidR="009D6AA9" w:rsidRDefault="009D6AA9">
            <w:pPr>
              <w:spacing w:after="80"/>
            </w:pPr>
          </w:p>
        </w:tc>
        <w:tc>
          <w:tcPr>
            <w:tcW w:w="2268" w:type="dxa"/>
            <w:tcBorders>
              <w:bottom w:val="single" w:sz="4" w:space="0" w:color="auto"/>
            </w:tcBorders>
            <w:vAlign w:val="bottom"/>
          </w:tcPr>
          <w:p w14:paraId="0FE8B90D" w14:textId="77777777" w:rsidR="009D6AA9" w:rsidRDefault="00E42871">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6E0FE217" w14:textId="486ED71F" w:rsidR="009D6AA9" w:rsidRPr="00C17327" w:rsidRDefault="00C17327" w:rsidP="00C17327">
            <w:pPr>
              <w:suppressAutoHyphens w:val="0"/>
              <w:jc w:val="right"/>
            </w:pPr>
            <w:r w:rsidRPr="00C17327">
              <w:rPr>
                <w:sz w:val="40"/>
              </w:rPr>
              <w:t>CERD</w:t>
            </w:r>
            <w:r>
              <w:t>/C/FRA/Q/22-23</w:t>
            </w:r>
          </w:p>
        </w:tc>
      </w:tr>
      <w:tr w:rsidR="009D6AA9" w14:paraId="76A53A50" w14:textId="77777777">
        <w:trPr>
          <w:cantSplit/>
          <w:trHeight w:hRule="exact" w:val="2835"/>
        </w:trPr>
        <w:tc>
          <w:tcPr>
            <w:tcW w:w="1276" w:type="dxa"/>
            <w:tcBorders>
              <w:top w:val="single" w:sz="4" w:space="0" w:color="auto"/>
              <w:bottom w:val="single" w:sz="12" w:space="0" w:color="auto"/>
            </w:tcBorders>
          </w:tcPr>
          <w:p w14:paraId="20775D03" w14:textId="77777777" w:rsidR="009D6AA9" w:rsidRDefault="00E42871">
            <w:pPr>
              <w:spacing w:before="120"/>
              <w:jc w:val="center"/>
            </w:pPr>
            <w:r>
              <w:rPr>
                <w:noProof/>
                <w:lang w:val="en-GB" w:eastAsia="en-GB"/>
              </w:rPr>
              <w:drawing>
                <wp:inline distT="0" distB="0" distL="0" distR="0" wp14:anchorId="1544E646" wp14:editId="0F42C82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37EE12" w14:textId="77777777" w:rsidR="009D6AA9" w:rsidRDefault="00E42871">
            <w:pPr>
              <w:spacing w:before="120" w:line="380" w:lineRule="exact"/>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62B4E1EF" w14:textId="001264D7" w:rsidR="009D6AA9" w:rsidRDefault="00E42871">
            <w:pPr>
              <w:suppressAutoHyphens w:val="0"/>
              <w:spacing w:before="240" w:line="240" w:lineRule="exact"/>
            </w:pPr>
            <w:proofErr w:type="spellStart"/>
            <w:r>
              <w:t>Distr</w:t>
            </w:r>
            <w:proofErr w:type="spellEnd"/>
            <w:r>
              <w:t xml:space="preserve">. </w:t>
            </w:r>
            <w:r w:rsidR="00F572C2">
              <w:t>générale</w:t>
            </w:r>
          </w:p>
          <w:p w14:paraId="504C6CE8" w14:textId="5CB33191" w:rsidR="009D6AA9" w:rsidRDefault="00E967E0" w:rsidP="00A866B1">
            <w:pPr>
              <w:suppressAutoHyphens w:val="0"/>
            </w:pPr>
            <w:r>
              <w:t>30</w:t>
            </w:r>
            <w:r w:rsidR="00FF3677">
              <w:t xml:space="preserve"> </w:t>
            </w:r>
            <w:r w:rsidR="009E3434">
              <w:t>septembre</w:t>
            </w:r>
            <w:r w:rsidR="001E4037">
              <w:t xml:space="preserve"> 2022</w:t>
            </w:r>
          </w:p>
          <w:p w14:paraId="1EFAED61" w14:textId="77777777" w:rsidR="00C24F60" w:rsidRDefault="00C24F60">
            <w:pPr>
              <w:suppressAutoHyphens w:val="0"/>
            </w:pPr>
          </w:p>
          <w:p w14:paraId="1B7167B3" w14:textId="77777777" w:rsidR="00EE30BF" w:rsidRDefault="00EE30BF">
            <w:pPr>
              <w:suppressAutoHyphens w:val="0"/>
            </w:pPr>
            <w:r>
              <w:t>Original : français</w:t>
            </w:r>
          </w:p>
          <w:p w14:paraId="68A4001D" w14:textId="618180FC" w:rsidR="009D6AA9" w:rsidRDefault="00541F9B">
            <w:pPr>
              <w:suppressAutoHyphens w:val="0"/>
            </w:pPr>
            <w:r>
              <w:t>Anglais, espagnol et français seulement</w:t>
            </w:r>
          </w:p>
        </w:tc>
      </w:tr>
    </w:tbl>
    <w:p w14:paraId="3BBB10D7" w14:textId="77777777" w:rsidR="009D6AA9" w:rsidRDefault="00E42871">
      <w:pPr>
        <w:spacing w:before="120"/>
        <w:rPr>
          <w:rFonts w:ascii="Times New Roman Bold" w:hAnsi="Times New Roman Bold" w:cs="Times New Roman Bold"/>
          <w:b/>
          <w:sz w:val="24"/>
          <w:szCs w:val="24"/>
        </w:rPr>
      </w:pPr>
      <w:r>
        <w:rPr>
          <w:rFonts w:ascii="Times New Roman Bold" w:hAnsi="Times New Roman Bold" w:cs="Times New Roman Bold"/>
          <w:b/>
          <w:sz w:val="24"/>
          <w:szCs w:val="24"/>
        </w:rPr>
        <w:t>Comité pour l’élimination de la discrimination raciale</w:t>
      </w:r>
    </w:p>
    <w:p w14:paraId="1281D2AA" w14:textId="403E2DF2" w:rsidR="009D6AA9" w:rsidRDefault="006B5194">
      <w:pPr>
        <w:rPr>
          <w:b/>
        </w:rPr>
      </w:pPr>
      <w:r>
        <w:rPr>
          <w:b/>
        </w:rPr>
        <w:t>10</w:t>
      </w:r>
      <w:r w:rsidR="009E3434">
        <w:rPr>
          <w:b/>
        </w:rPr>
        <w:t>8</w:t>
      </w:r>
      <w:r w:rsidR="004C36F6" w:rsidRPr="00CB063E">
        <w:rPr>
          <w:b/>
          <w:vertAlign w:val="superscript"/>
        </w:rPr>
        <w:t>e</w:t>
      </w:r>
      <w:r w:rsidR="004952A7">
        <w:rPr>
          <w:b/>
        </w:rPr>
        <w:t xml:space="preserve"> </w:t>
      </w:r>
      <w:r w:rsidR="00E42871">
        <w:rPr>
          <w:b/>
        </w:rPr>
        <w:t>session</w:t>
      </w:r>
    </w:p>
    <w:p w14:paraId="197B6CF9" w14:textId="53D36358" w:rsidR="009D6AA9" w:rsidRDefault="009E3434">
      <w:r>
        <w:t xml:space="preserve">14 </w:t>
      </w:r>
      <w:r w:rsidR="00416422">
        <w:t>n</w:t>
      </w:r>
      <w:r>
        <w:t>ovembre</w:t>
      </w:r>
      <w:r w:rsidR="00416422">
        <w:t>-</w:t>
      </w:r>
      <w:r>
        <w:t xml:space="preserve">2 </w:t>
      </w:r>
      <w:r w:rsidR="00416422">
        <w:t>d</w:t>
      </w:r>
      <w:r>
        <w:t>écembre</w:t>
      </w:r>
      <w:r w:rsidR="006B5194">
        <w:t xml:space="preserve"> 2022</w:t>
      </w:r>
    </w:p>
    <w:p w14:paraId="1CE1CBF7" w14:textId="1C4A0C23" w:rsidR="00A5383D" w:rsidRPr="007159D6" w:rsidRDefault="00A5383D" w:rsidP="00896CDF">
      <w:pPr>
        <w:rPr>
          <w:rFonts w:ascii="Times" w:eastAsia="Times New Roman" w:hAnsi="Times"/>
          <w:color w:val="000000"/>
          <w:sz w:val="27"/>
          <w:szCs w:val="27"/>
          <w:lang w:val="fr-FR"/>
        </w:rPr>
      </w:pPr>
      <w:r w:rsidRPr="007159D6">
        <w:rPr>
          <w:rFonts w:eastAsia="Times New Roman"/>
          <w:b/>
          <w:bCs/>
          <w:color w:val="000000"/>
          <w:lang w:val="fr-FR"/>
        </w:rPr>
        <w:t xml:space="preserve">Examen des rapports, observations et </w:t>
      </w:r>
      <w:r w:rsidR="00896CDF">
        <w:rPr>
          <w:rFonts w:eastAsia="Times New Roman"/>
          <w:b/>
          <w:bCs/>
          <w:color w:val="000000"/>
          <w:lang w:val="fr-FR"/>
        </w:rPr>
        <w:t>renseignements</w:t>
      </w:r>
      <w:r w:rsidRPr="007159D6">
        <w:rPr>
          <w:rFonts w:eastAsia="Times New Roman"/>
          <w:b/>
          <w:bCs/>
          <w:color w:val="000000"/>
          <w:lang w:val="fr-FR"/>
        </w:rPr>
        <w:t xml:space="preserve"> soumis </w:t>
      </w:r>
      <w:r w:rsidRPr="007159D6">
        <w:rPr>
          <w:rFonts w:ascii="Times" w:eastAsia="Times New Roman" w:hAnsi="Times"/>
          <w:color w:val="000000"/>
          <w:sz w:val="27"/>
          <w:szCs w:val="27"/>
          <w:lang w:val="fr-FR"/>
        </w:rPr>
        <w:br/>
      </w:r>
      <w:r w:rsidRPr="007159D6">
        <w:rPr>
          <w:rFonts w:eastAsia="Times New Roman"/>
          <w:b/>
          <w:bCs/>
          <w:color w:val="000000"/>
          <w:lang w:val="fr-FR"/>
        </w:rPr>
        <w:t xml:space="preserve">par les États parties </w:t>
      </w:r>
      <w:r w:rsidR="00896CDF">
        <w:rPr>
          <w:rFonts w:eastAsia="Times New Roman"/>
          <w:b/>
          <w:bCs/>
          <w:color w:val="000000"/>
          <w:lang w:val="fr-FR"/>
        </w:rPr>
        <w:t>en application de</w:t>
      </w:r>
      <w:r w:rsidRPr="007159D6">
        <w:rPr>
          <w:rFonts w:eastAsia="Times New Roman"/>
          <w:b/>
          <w:bCs/>
          <w:color w:val="000000"/>
          <w:lang w:val="fr-FR"/>
        </w:rPr>
        <w:t xml:space="preserve"> l</w:t>
      </w:r>
      <w:r w:rsidR="0076449C">
        <w:rPr>
          <w:rFonts w:eastAsia="Times New Roman"/>
          <w:b/>
          <w:bCs/>
          <w:color w:val="000000"/>
          <w:lang w:val="fr-FR"/>
        </w:rPr>
        <w:t>’</w:t>
      </w:r>
      <w:r w:rsidRPr="007159D6">
        <w:rPr>
          <w:rFonts w:eastAsia="Times New Roman"/>
          <w:b/>
          <w:bCs/>
          <w:color w:val="000000"/>
          <w:lang w:val="fr-FR"/>
        </w:rPr>
        <w:t>article 9 de la Convention</w:t>
      </w:r>
    </w:p>
    <w:p w14:paraId="1D5A83FF" w14:textId="23254B68" w:rsidR="009D6AA9" w:rsidRPr="000F6E32" w:rsidRDefault="00E42871" w:rsidP="00CB063E">
      <w:pPr>
        <w:pStyle w:val="HChG"/>
      </w:pPr>
      <w:r>
        <w:tab/>
      </w:r>
      <w:r>
        <w:tab/>
      </w:r>
      <w:r w:rsidRPr="000F6E32">
        <w:t xml:space="preserve">Liste de </w:t>
      </w:r>
      <w:r w:rsidR="00A5383D" w:rsidRPr="000F6E32">
        <w:t>thèmes</w:t>
      </w:r>
      <w:r w:rsidRPr="000F6E32">
        <w:t xml:space="preserve"> concernant le </w:t>
      </w:r>
      <w:r w:rsidR="00F37BB5">
        <w:t xml:space="preserve">rapport de la France valant </w:t>
      </w:r>
      <w:r w:rsidR="009676B7">
        <w:t>vingt-deuxième et vingt-troisième rapports périodiques</w:t>
      </w:r>
      <w:r w:rsidR="009676B7" w:rsidDel="009676B7">
        <w:t xml:space="preserve"> </w:t>
      </w:r>
    </w:p>
    <w:p w14:paraId="34868921" w14:textId="68CA92E5" w:rsidR="009D6AA9" w:rsidRPr="00CB063E" w:rsidRDefault="00E42871" w:rsidP="00CB063E">
      <w:pPr>
        <w:pStyle w:val="H1G"/>
      </w:pPr>
      <w:r>
        <w:tab/>
      </w:r>
      <w:r>
        <w:tab/>
        <w:t xml:space="preserve">Note du rapporteur </w:t>
      </w:r>
      <w:r w:rsidR="006E4C55">
        <w:t>pour le</w:t>
      </w:r>
      <w:r>
        <w:t xml:space="preserve"> pays</w:t>
      </w:r>
    </w:p>
    <w:p w14:paraId="7D413A1B" w14:textId="41BEFF2B" w:rsidR="006B5194" w:rsidRDefault="00625454" w:rsidP="006B5194">
      <w:pPr>
        <w:pStyle w:val="SingleTxtG"/>
      </w:pPr>
      <w:r>
        <w:t>1.</w:t>
      </w:r>
      <w:r>
        <w:tab/>
      </w:r>
      <w:r w:rsidR="00E42871">
        <w:t>À sa soixante-seizième session</w:t>
      </w:r>
      <w:r w:rsidR="00C766C2">
        <w:rPr>
          <w:rStyle w:val="Appelnotedebasdep"/>
        </w:rPr>
        <w:footnoteReference w:id="2"/>
      </w:r>
      <w:r w:rsidR="00E42871">
        <w:t xml:space="preserve">, le Comité pour l’élimination de la discrimination raciale a décidé que le rapporteur </w:t>
      </w:r>
      <w:r w:rsidR="00057BAC">
        <w:t>pour le</w:t>
      </w:r>
      <w:r w:rsidR="00E42871">
        <w:t xml:space="preserve"> pays ferait parvenir à l’État partie concerné une courte liste de thèmes en vue de guider et de structurer le dialogue entre la délégation de l’État partie et le Comité pendant l’examen du rapport de l’État partie. On</w:t>
      </w:r>
      <w:r w:rsidR="003C655A">
        <w:t> </w:t>
      </w:r>
      <w:r w:rsidR="00E42871">
        <w:t>trouvera ci-après une liste de thèmes non exhaustive, d’autres questions pouvant être traitées au cours du dialogue. Cette liste n’appelle pas de réponses écrites.</w:t>
      </w:r>
    </w:p>
    <w:p w14:paraId="1A5E39CC" w14:textId="574FF1AE" w:rsidR="00A803DC" w:rsidRPr="002E60BF" w:rsidRDefault="002E60BF" w:rsidP="00FF3677">
      <w:pPr>
        <w:pStyle w:val="H23G"/>
      </w:pPr>
      <w:r>
        <w:tab/>
      </w:r>
      <w:r w:rsidR="00A803DC">
        <w:tab/>
      </w:r>
      <w:r w:rsidR="00A803DC" w:rsidRPr="002E60BF">
        <w:t xml:space="preserve">Statistiques et </w:t>
      </w:r>
      <w:r w:rsidR="00A803DC" w:rsidRPr="00AF5B61">
        <w:t>indicateurs socioéconomiques</w:t>
      </w:r>
      <w:r w:rsidR="00A803DC" w:rsidRPr="002E60BF">
        <w:t xml:space="preserve"> </w:t>
      </w:r>
    </w:p>
    <w:p w14:paraId="111DB1E4" w14:textId="484BA3E6" w:rsidR="00A803DC" w:rsidRPr="00A803DC" w:rsidRDefault="0072630C" w:rsidP="00A803DC">
      <w:pPr>
        <w:pStyle w:val="SingleTxtG"/>
      </w:pPr>
      <w:r>
        <w:t>2.</w:t>
      </w:r>
      <w:r>
        <w:tab/>
        <w:t>S</w:t>
      </w:r>
      <w:r w:rsidR="00A803DC">
        <w:t>tatistiques</w:t>
      </w:r>
      <w:r>
        <w:t xml:space="preserve"> récentes</w:t>
      </w:r>
      <w:r w:rsidR="00A803DC">
        <w:t xml:space="preserve"> et </w:t>
      </w:r>
      <w:r>
        <w:t>complètes</w:t>
      </w:r>
      <w:r w:rsidR="00AF5B61">
        <w:t xml:space="preserve"> sur la composition démographique de la population française</w:t>
      </w:r>
      <w:r w:rsidR="000C3C6E">
        <w:t>, ainsi que des indicateurs économiques et sociaux</w:t>
      </w:r>
      <w:r>
        <w:t xml:space="preserve"> </w:t>
      </w:r>
      <w:r w:rsidR="000C3C6E">
        <w:t>concernant</w:t>
      </w:r>
      <w:r w:rsidR="00A803DC">
        <w:t xml:space="preserve"> </w:t>
      </w:r>
      <w:r w:rsidR="00664653">
        <w:t>l</w:t>
      </w:r>
      <w:r w:rsidR="00AF5B61">
        <w:t>es différents groupes vivant sur le territoire de l’</w:t>
      </w:r>
      <w:r w:rsidR="000E1D47">
        <w:t>État</w:t>
      </w:r>
      <w:r w:rsidR="00AF5B61">
        <w:t xml:space="preserve"> partie</w:t>
      </w:r>
      <w:r>
        <w:rPr>
          <w:rStyle w:val="Appelnotedebasdep"/>
        </w:rPr>
        <w:footnoteReference w:id="3"/>
      </w:r>
      <w:r w:rsidR="00664653">
        <w:t>.</w:t>
      </w:r>
      <w:r>
        <w:t xml:space="preserve"> Considérations sur les outils utilisés pour la collecte des données, y compris des critères de diversité ethnique, ainsi que l’utilisation d</w:t>
      </w:r>
      <w:r w:rsidR="0078104C">
        <w:t>u pr</w:t>
      </w:r>
      <w:r w:rsidR="00B06707">
        <w:t>incipe de</w:t>
      </w:r>
      <w:r>
        <w:t xml:space="preserve"> l’</w:t>
      </w:r>
      <w:proofErr w:type="spellStart"/>
      <w:r>
        <w:t>auto-identification</w:t>
      </w:r>
      <w:proofErr w:type="spellEnd"/>
      <w:r>
        <w:rPr>
          <w:rStyle w:val="Appelnotedebasdep"/>
        </w:rPr>
        <w:footnoteReference w:id="4"/>
      </w:r>
      <w:r>
        <w:t>.</w:t>
      </w:r>
      <w:r w:rsidR="002E3E12">
        <w:t xml:space="preserve"> </w:t>
      </w:r>
    </w:p>
    <w:p w14:paraId="6CFEC2CD" w14:textId="18DB9D3A" w:rsidR="009E114E" w:rsidRDefault="00A803DC" w:rsidP="00FF3677">
      <w:pPr>
        <w:pStyle w:val="H23G"/>
      </w:pPr>
      <w:r>
        <w:tab/>
      </w:r>
      <w:r>
        <w:tab/>
      </w:r>
      <w:r w:rsidR="009E114E" w:rsidRPr="009E114E">
        <w:t xml:space="preserve">La Convention dans le droit interne et le cadre institutionnel et politique </w:t>
      </w:r>
      <w:r w:rsidR="007255BC">
        <w:br/>
      </w:r>
      <w:r w:rsidR="009E114E" w:rsidRPr="009E114E">
        <w:t>de sa mise en</w:t>
      </w:r>
      <w:r w:rsidR="007255BC">
        <w:t> </w:t>
      </w:r>
      <w:r w:rsidR="009E114E" w:rsidRPr="009E114E">
        <w:t>œuvre (art. </w:t>
      </w:r>
      <w:r w:rsidR="002E60BF">
        <w:t>1</w:t>
      </w:r>
      <w:r w:rsidR="00D96711" w:rsidRPr="00D96711">
        <w:rPr>
          <w:vertAlign w:val="superscript"/>
        </w:rPr>
        <w:t>er</w:t>
      </w:r>
      <w:r w:rsidR="009E114E" w:rsidRPr="009E114E">
        <w:t xml:space="preserve">, </w:t>
      </w:r>
      <w:r w:rsidR="002E60BF">
        <w:t xml:space="preserve">2 </w:t>
      </w:r>
      <w:r w:rsidR="009E114E" w:rsidRPr="009E114E">
        <w:t xml:space="preserve">et </w:t>
      </w:r>
      <w:r w:rsidR="002E60BF">
        <w:t>4</w:t>
      </w:r>
      <w:r w:rsidR="009E114E" w:rsidRPr="009E114E">
        <w:t>)</w:t>
      </w:r>
    </w:p>
    <w:p w14:paraId="6FD6348E" w14:textId="1123E5F2" w:rsidR="00F83517" w:rsidRPr="00A803DC" w:rsidRDefault="00A803DC" w:rsidP="00443125">
      <w:pPr>
        <w:pStyle w:val="SingleTxtG"/>
      </w:pPr>
      <w:r>
        <w:tab/>
      </w:r>
      <w:r w:rsidR="00120DD6">
        <w:t>3</w:t>
      </w:r>
      <w:r>
        <w:t>.</w:t>
      </w:r>
      <w:r>
        <w:tab/>
        <w:t>Information</w:t>
      </w:r>
      <w:r w:rsidR="0094619E">
        <w:t>s</w:t>
      </w:r>
      <w:r>
        <w:t xml:space="preserve"> sur l’application de la Convention, notamment des exemples sur l’invocation et </w:t>
      </w:r>
      <w:r w:rsidR="00AF5B61">
        <w:t>l’</w:t>
      </w:r>
      <w:r>
        <w:t xml:space="preserve">application de la Convention par les tribunaux et </w:t>
      </w:r>
      <w:r w:rsidR="0078104C">
        <w:t xml:space="preserve">les collectivités </w:t>
      </w:r>
      <w:r w:rsidR="00B06707">
        <w:t>territoriales</w:t>
      </w:r>
      <w:r>
        <w:t xml:space="preserve">. </w:t>
      </w:r>
      <w:r w:rsidR="00E306B7">
        <w:t xml:space="preserve">Renseignements </w:t>
      </w:r>
      <w:r w:rsidR="005E5E81">
        <w:t>concernant</w:t>
      </w:r>
      <w:r w:rsidR="00E306B7">
        <w:t xml:space="preserve"> les f</w:t>
      </w:r>
      <w:r>
        <w:t>ormations sur le contenu de la Convention</w:t>
      </w:r>
      <w:r w:rsidR="000C3C6E">
        <w:t xml:space="preserve"> auprès des personnels de la fonction publique et des collectivités territoriales</w:t>
      </w:r>
      <w:r w:rsidR="000C3C6E">
        <w:rPr>
          <w:rStyle w:val="Appelnotedebasdep"/>
        </w:rPr>
        <w:footnoteReference w:id="5"/>
      </w:r>
      <w:r w:rsidR="000C3C6E">
        <w:t>.</w:t>
      </w:r>
      <w:r w:rsidR="002E3E12">
        <w:t xml:space="preserve"> </w:t>
      </w:r>
    </w:p>
    <w:p w14:paraId="60EE9B74" w14:textId="662F4FE3" w:rsidR="00F83517" w:rsidRPr="002E60BF" w:rsidRDefault="00E6642E" w:rsidP="009E114E">
      <w:pPr>
        <w:pStyle w:val="SingleTxtG"/>
      </w:pPr>
      <w:r w:rsidRPr="002E60BF">
        <w:t>4</w:t>
      </w:r>
      <w:r w:rsidR="009E114E" w:rsidRPr="002E60BF">
        <w:t>.</w:t>
      </w:r>
      <w:r w:rsidR="009E114E" w:rsidRPr="002E60BF">
        <w:tab/>
      </w:r>
      <w:r w:rsidR="00BD25CD">
        <w:t>Informations sur l</w:t>
      </w:r>
      <w:r w:rsidR="00F55F34" w:rsidRPr="002E60BF">
        <w:t xml:space="preserve">’inclusion dans la législation pénale </w:t>
      </w:r>
      <w:r w:rsidR="00AF5B61">
        <w:t xml:space="preserve">de l’incrimination de la </w:t>
      </w:r>
      <w:r w:rsidR="00F55F34" w:rsidRPr="002E60BF">
        <w:t xml:space="preserve">diffusion d’idées fondées sur la supériorité raciale, la haine raciale et l’incitation à la discrimination et à la violence raciale ; </w:t>
      </w:r>
      <w:r w:rsidR="00E14725">
        <w:t xml:space="preserve">et </w:t>
      </w:r>
      <w:r w:rsidR="00A2426F">
        <w:t>renseignements sur</w:t>
      </w:r>
      <w:r w:rsidR="00F55F34" w:rsidRPr="002E60BF">
        <w:t xml:space="preserve"> la participation </w:t>
      </w:r>
      <w:r w:rsidR="008D0F61">
        <w:t xml:space="preserve">à des </w:t>
      </w:r>
      <w:r w:rsidR="00F55F34" w:rsidRPr="002E60BF">
        <w:t>organisations ou activités de propagande qui incitent à la discrimination raciale</w:t>
      </w:r>
      <w:r w:rsidR="007471F1">
        <w:t>,</w:t>
      </w:r>
      <w:r w:rsidR="00F55F34" w:rsidRPr="002E60BF">
        <w:t xml:space="preserve"> </w:t>
      </w:r>
      <w:r w:rsidR="007471F1">
        <w:t>aux termes de</w:t>
      </w:r>
      <w:r w:rsidR="00F55F34" w:rsidRPr="002E60BF">
        <w:t xml:space="preserve"> l’</w:t>
      </w:r>
      <w:r w:rsidR="008D0F61">
        <w:t>a</w:t>
      </w:r>
      <w:r w:rsidR="00F83517" w:rsidRPr="002E60BF">
        <w:t xml:space="preserve">rticle 4 </w:t>
      </w:r>
      <w:r w:rsidR="00F55F34" w:rsidRPr="002E60BF">
        <w:t>de la Convention</w:t>
      </w:r>
      <w:r w:rsidR="00F55F34" w:rsidRPr="002E60BF">
        <w:rPr>
          <w:rStyle w:val="Appelnotedebasdep"/>
        </w:rPr>
        <w:footnoteReference w:id="6"/>
      </w:r>
      <w:r w:rsidR="00F55F34" w:rsidRPr="002E60BF">
        <w:t xml:space="preserve">. </w:t>
      </w:r>
    </w:p>
    <w:p w14:paraId="1968D3CF" w14:textId="4E234A54" w:rsidR="00E6642E" w:rsidRDefault="00E6642E" w:rsidP="00CB063E">
      <w:pPr>
        <w:pStyle w:val="SingleTxtG"/>
        <w:keepNext/>
        <w:keepLines/>
      </w:pPr>
      <w:r w:rsidRPr="002E60BF">
        <w:lastRenderedPageBreak/>
        <w:t>5.</w:t>
      </w:r>
      <w:r w:rsidRPr="002E60BF">
        <w:tab/>
      </w:r>
      <w:r w:rsidR="0049648B" w:rsidRPr="002E60BF">
        <w:t xml:space="preserve">Résultats </w:t>
      </w:r>
      <w:r w:rsidR="00CB3D12">
        <w:t xml:space="preserve">obtenus de la mise en œuvre </w:t>
      </w:r>
      <w:r w:rsidR="0049648B" w:rsidRPr="002E60BF">
        <w:t xml:space="preserve">des mesures </w:t>
      </w:r>
      <w:r w:rsidR="00551296">
        <w:t>destinées à</w:t>
      </w:r>
      <w:r w:rsidR="0049648B" w:rsidRPr="002E60BF">
        <w:t xml:space="preserve"> faire face au d</w:t>
      </w:r>
      <w:r w:rsidRPr="002E60BF">
        <w:t xml:space="preserve">iscours de </w:t>
      </w:r>
      <w:r w:rsidR="00F83517" w:rsidRPr="002E60BF">
        <w:t>haine</w:t>
      </w:r>
      <w:r w:rsidRPr="002E60BF">
        <w:t xml:space="preserve"> raciale</w:t>
      </w:r>
      <w:r w:rsidR="00F83517" w:rsidRPr="002E60BF">
        <w:t xml:space="preserve"> et </w:t>
      </w:r>
      <w:r w:rsidR="008D0F61">
        <w:t>d’</w:t>
      </w:r>
      <w:r w:rsidR="00F83517" w:rsidRPr="002E60BF">
        <w:t>incitation à la discrimination raciale</w:t>
      </w:r>
      <w:r w:rsidR="00E7122F" w:rsidRPr="002E60BF">
        <w:t xml:space="preserve">. </w:t>
      </w:r>
      <w:r w:rsidR="00551296">
        <w:t>N</w:t>
      </w:r>
      <w:r w:rsidR="0049648B" w:rsidRPr="002E60BF">
        <w:t>ombre actualisé de plaintes déposées</w:t>
      </w:r>
      <w:r w:rsidR="00F83517" w:rsidRPr="002E60BF">
        <w:t xml:space="preserve">, </w:t>
      </w:r>
      <w:r w:rsidR="008D0F61">
        <w:t>d’</w:t>
      </w:r>
      <w:r w:rsidR="00F83517" w:rsidRPr="002E60BF">
        <w:t>e</w:t>
      </w:r>
      <w:r w:rsidRPr="002E60BF">
        <w:t xml:space="preserve">nquêtes menées et judiciarisées, </w:t>
      </w:r>
      <w:r w:rsidR="0049648B" w:rsidRPr="002E60BF">
        <w:t xml:space="preserve">et </w:t>
      </w:r>
      <w:r w:rsidR="008D0F61">
        <w:t xml:space="preserve">de </w:t>
      </w:r>
      <w:r w:rsidR="0049648B" w:rsidRPr="002E60BF">
        <w:t>responsables condamnés</w:t>
      </w:r>
      <w:r w:rsidR="00E7122F" w:rsidRPr="002E60BF">
        <w:t xml:space="preserve"> concernant le discours de haine raciale </w:t>
      </w:r>
      <w:r w:rsidR="008D0F61">
        <w:t xml:space="preserve">ainsi que l’incitation à </w:t>
      </w:r>
      <w:r w:rsidR="00E7122F" w:rsidRPr="002E60BF">
        <w:t xml:space="preserve">la discrimination et </w:t>
      </w:r>
      <w:r w:rsidR="008D0F61">
        <w:t xml:space="preserve">à la </w:t>
      </w:r>
      <w:r w:rsidR="00E7122F" w:rsidRPr="002E60BF">
        <w:t>violence raciale</w:t>
      </w:r>
      <w:r w:rsidR="0049648B" w:rsidRPr="002E60BF">
        <w:t>.</w:t>
      </w:r>
      <w:r w:rsidR="0049648B">
        <w:t xml:space="preserve"> </w:t>
      </w:r>
    </w:p>
    <w:p w14:paraId="336ABC6C" w14:textId="1DC3629E" w:rsidR="00386FEC" w:rsidRDefault="00386FEC" w:rsidP="009E114E">
      <w:pPr>
        <w:pStyle w:val="SingleTxtG"/>
      </w:pPr>
      <w:r>
        <w:t>6.</w:t>
      </w:r>
      <w:r>
        <w:tab/>
        <w:t>Mesures visant à prévenir et à combattre les discours politiques racistes</w:t>
      </w:r>
      <w:r w:rsidR="00E43FD4">
        <w:t xml:space="preserve"> et xénophobes ainsi que les mes</w:t>
      </w:r>
      <w:r>
        <w:t>sages racistes sur Internet</w:t>
      </w:r>
      <w:r w:rsidR="0094619E">
        <w:rPr>
          <w:rStyle w:val="Appelnotedebasdep"/>
        </w:rPr>
        <w:footnoteReference w:id="7"/>
      </w:r>
      <w:r>
        <w:t xml:space="preserve">. </w:t>
      </w:r>
    </w:p>
    <w:p w14:paraId="382A0006" w14:textId="4FEBC08A" w:rsidR="003B27E0" w:rsidRDefault="003B27E0" w:rsidP="009E114E">
      <w:pPr>
        <w:pStyle w:val="SingleTxtG"/>
      </w:pPr>
      <w:r>
        <w:t>7.</w:t>
      </w:r>
      <w:r>
        <w:tab/>
        <w:t xml:space="preserve">Mise en œuvre, résultats et évaluation du Plan national de lutte contre le racisme et l’antisémitisme </w:t>
      </w:r>
      <w:r w:rsidR="009A5C5C">
        <w:t xml:space="preserve">pour la période </w:t>
      </w:r>
      <w:r>
        <w:t>2018-2020</w:t>
      </w:r>
      <w:r>
        <w:rPr>
          <w:rStyle w:val="Appelnotedebasdep"/>
        </w:rPr>
        <w:footnoteReference w:id="8"/>
      </w:r>
      <w:r w:rsidR="00B66D48">
        <w:t>.</w:t>
      </w:r>
      <w:r>
        <w:t xml:space="preserve"> </w:t>
      </w:r>
      <w:r w:rsidR="00BA6B08">
        <w:t>Mesures concrètes pour lutter contre la discrimination</w:t>
      </w:r>
      <w:r w:rsidR="002E60BF">
        <w:t xml:space="preserve"> raciale et la discrimination structurelle </w:t>
      </w:r>
      <w:r w:rsidR="00BA6B08">
        <w:t>des minorités, notamment les Rom</w:t>
      </w:r>
      <w:r w:rsidR="0094619E">
        <w:t>s</w:t>
      </w:r>
      <w:r w:rsidR="00BA6B08">
        <w:t xml:space="preserve">, les personnes africaines et d’ascendance africaine, les personnes </w:t>
      </w:r>
      <w:r w:rsidR="008D0F61">
        <w:t>a</w:t>
      </w:r>
      <w:r w:rsidR="00BA6B08">
        <w:t xml:space="preserve">rabes et les </w:t>
      </w:r>
      <w:r w:rsidR="00B06707">
        <w:t>non-ressortissants</w:t>
      </w:r>
      <w:r w:rsidR="00BA6B08">
        <w:t>.</w:t>
      </w:r>
    </w:p>
    <w:p w14:paraId="69C7C4FB" w14:textId="55977284" w:rsidR="003A6CCD" w:rsidRPr="002E60BF" w:rsidRDefault="002E60BF" w:rsidP="00FF3677">
      <w:pPr>
        <w:pStyle w:val="H23G"/>
      </w:pPr>
      <w:r>
        <w:tab/>
      </w:r>
      <w:r>
        <w:tab/>
      </w:r>
      <w:r w:rsidR="003A6CCD" w:rsidRPr="002E60BF">
        <w:t xml:space="preserve">Situation des </w:t>
      </w:r>
      <w:r w:rsidR="00B23464" w:rsidRPr="002E60BF">
        <w:t xml:space="preserve">minorités </w:t>
      </w:r>
      <w:r>
        <w:t>(art. 2 et 5)</w:t>
      </w:r>
    </w:p>
    <w:p w14:paraId="6435CB30" w14:textId="2E111C0E" w:rsidR="003A6CCD" w:rsidRDefault="00120DD6" w:rsidP="009E114E">
      <w:pPr>
        <w:pStyle w:val="SingleTxtG"/>
      </w:pPr>
      <w:r>
        <w:t>8</w:t>
      </w:r>
      <w:r w:rsidR="003A6CCD">
        <w:t>.</w:t>
      </w:r>
      <w:r w:rsidR="003A6CCD">
        <w:tab/>
      </w:r>
      <w:r w:rsidR="002E60BF">
        <w:t>Renseignements sur la mise en œuvre des m</w:t>
      </w:r>
      <w:r w:rsidR="004E325D">
        <w:t>esures adoptées</w:t>
      </w:r>
      <w:r w:rsidR="00E43FD4">
        <w:t xml:space="preserve"> pour garantir l’accès à un logement convenable et pour améliorer les conditions de vie des personnes </w:t>
      </w:r>
      <w:r w:rsidR="00EB39B9">
        <w:t>r</w:t>
      </w:r>
      <w:r w:rsidR="00E43FD4">
        <w:t xml:space="preserve">oms, ainsi que </w:t>
      </w:r>
      <w:r w:rsidR="007835F8">
        <w:t xml:space="preserve">pour assurer </w:t>
      </w:r>
      <w:r w:rsidR="00E43FD4">
        <w:t>leur protection contre les expulsion</w:t>
      </w:r>
      <w:r w:rsidR="00ED42B4">
        <w:t>s</w:t>
      </w:r>
      <w:r w:rsidR="00E43FD4">
        <w:t xml:space="preserve"> forcée</w:t>
      </w:r>
      <w:r w:rsidR="0094619E">
        <w:t>s</w:t>
      </w:r>
      <w:r w:rsidR="00E43FD4">
        <w:t xml:space="preserve">. </w:t>
      </w:r>
    </w:p>
    <w:p w14:paraId="06FF8A32" w14:textId="15BA0A91" w:rsidR="003A6CCD" w:rsidRDefault="00120DD6" w:rsidP="009E114E">
      <w:pPr>
        <w:pStyle w:val="SingleTxtG"/>
      </w:pPr>
      <w:r w:rsidRPr="00D03EEA">
        <w:t>9</w:t>
      </w:r>
      <w:r w:rsidR="003A6CCD" w:rsidRPr="00D03EEA">
        <w:t>.</w:t>
      </w:r>
      <w:r w:rsidR="003A6CCD" w:rsidRPr="00D03EEA">
        <w:tab/>
      </w:r>
      <w:r w:rsidR="002E60BF">
        <w:t xml:space="preserve">Renseignements sur la mise en œuvre des mesures </w:t>
      </w:r>
      <w:r w:rsidR="009C4D73" w:rsidRPr="00D03EEA">
        <w:t xml:space="preserve">concrètes </w:t>
      </w:r>
      <w:r w:rsidR="002E60BF">
        <w:t xml:space="preserve">visant à </w:t>
      </w:r>
      <w:r w:rsidR="009C4D73" w:rsidRPr="00D03EEA">
        <w:t xml:space="preserve">assurer l’accès aux services et soins de santé ainsi qu’à la sécurité sociale </w:t>
      </w:r>
      <w:r w:rsidR="007835F8">
        <w:t>pour</w:t>
      </w:r>
      <w:r w:rsidR="009C4D73" w:rsidRPr="00D03EEA">
        <w:t xml:space="preserve"> les personnes </w:t>
      </w:r>
      <w:r w:rsidR="007835F8">
        <w:t>r</w:t>
      </w:r>
      <w:r w:rsidR="009C4D73" w:rsidRPr="00D03EEA">
        <w:t xml:space="preserve">oms. </w:t>
      </w:r>
    </w:p>
    <w:p w14:paraId="37EDA813" w14:textId="1E0E00F7" w:rsidR="003A6CCD" w:rsidRDefault="00120DD6" w:rsidP="009E114E">
      <w:pPr>
        <w:pStyle w:val="SingleTxtG"/>
      </w:pPr>
      <w:r w:rsidRPr="00A174B6">
        <w:t>10</w:t>
      </w:r>
      <w:r w:rsidR="003A6CCD" w:rsidRPr="00A174B6">
        <w:t>.</w:t>
      </w:r>
      <w:r w:rsidR="003A6CCD" w:rsidRPr="00A174B6">
        <w:tab/>
      </w:r>
      <w:r w:rsidR="00BA6B08" w:rsidRPr="00A174B6">
        <w:t xml:space="preserve">Résultats </w:t>
      </w:r>
      <w:r w:rsidR="00CB3D12">
        <w:t xml:space="preserve">obtenus de la mise en œuvre </w:t>
      </w:r>
      <w:r w:rsidR="00BA6B08" w:rsidRPr="00A174B6">
        <w:t xml:space="preserve">des mesures </w:t>
      </w:r>
      <w:r w:rsidR="0042061E">
        <w:t>destinées à</w:t>
      </w:r>
      <w:r w:rsidR="00BA6B08" w:rsidRPr="00A174B6">
        <w:t xml:space="preserve"> garantir l’accès au d</w:t>
      </w:r>
      <w:r w:rsidR="003A6CCD" w:rsidRPr="00A174B6">
        <w:t xml:space="preserve">roit à l’éducation </w:t>
      </w:r>
      <w:r w:rsidR="00BA6B08" w:rsidRPr="00A174B6">
        <w:t xml:space="preserve">des enfants </w:t>
      </w:r>
      <w:r w:rsidR="0042061E">
        <w:t>r</w:t>
      </w:r>
      <w:r w:rsidR="00BA6B08" w:rsidRPr="00A174B6">
        <w:t xml:space="preserve">oms, </w:t>
      </w:r>
      <w:r w:rsidR="0042061E">
        <w:t xml:space="preserve">à </w:t>
      </w:r>
      <w:r w:rsidR="00BA6B08" w:rsidRPr="00A174B6">
        <w:t>augmenter le</w:t>
      </w:r>
      <w:r w:rsidR="008D0F61">
        <w:t>ur</w:t>
      </w:r>
      <w:r w:rsidR="00BA6B08" w:rsidRPr="00A174B6">
        <w:t xml:space="preserve"> taux de scolarisation et </w:t>
      </w:r>
      <w:r w:rsidR="0042061E">
        <w:t xml:space="preserve">à </w:t>
      </w:r>
      <w:r w:rsidR="00BA6B08" w:rsidRPr="00A174B6">
        <w:t xml:space="preserve">lutter </w:t>
      </w:r>
      <w:r w:rsidR="003A6CCD" w:rsidRPr="00A174B6">
        <w:t xml:space="preserve">contre </w:t>
      </w:r>
      <w:r w:rsidR="00E91997">
        <w:t>l’</w:t>
      </w:r>
      <w:r w:rsidR="003A6CCD" w:rsidRPr="00A174B6">
        <w:t xml:space="preserve">absentéisme et </w:t>
      </w:r>
      <w:r w:rsidR="00E91997">
        <w:t xml:space="preserve">la </w:t>
      </w:r>
      <w:r w:rsidR="003A6CCD" w:rsidRPr="00A174B6">
        <w:t>désertion scolaire</w:t>
      </w:r>
      <w:r w:rsidR="008D0F61">
        <w:t>s</w:t>
      </w:r>
      <w:r w:rsidR="00E91997">
        <w:t xml:space="preserve"> de ces enfants</w:t>
      </w:r>
      <w:r w:rsidRPr="00A174B6">
        <w:rPr>
          <w:rStyle w:val="Appelnotedebasdep"/>
        </w:rPr>
        <w:footnoteReference w:id="9"/>
      </w:r>
      <w:r w:rsidR="00BA6B08" w:rsidRPr="00A174B6">
        <w:t xml:space="preserve">. Mesures pour améliorer l’accès au marché du travail des personnes </w:t>
      </w:r>
      <w:r w:rsidR="00F72BCF">
        <w:t>r</w:t>
      </w:r>
      <w:r w:rsidR="00BA6B08" w:rsidRPr="00A174B6">
        <w:t>oms</w:t>
      </w:r>
      <w:r w:rsidR="00A174B6" w:rsidRPr="00A174B6">
        <w:rPr>
          <w:rStyle w:val="Appelnotedebasdep"/>
        </w:rPr>
        <w:footnoteReference w:id="10"/>
      </w:r>
      <w:r w:rsidR="00BA6B08" w:rsidRPr="00A174B6">
        <w:t xml:space="preserve">. </w:t>
      </w:r>
    </w:p>
    <w:p w14:paraId="3B62E981" w14:textId="32E1B46D" w:rsidR="009B198F" w:rsidRDefault="00120DD6" w:rsidP="009E114E">
      <w:pPr>
        <w:pStyle w:val="SingleTxtG"/>
      </w:pPr>
      <w:r>
        <w:t>11</w:t>
      </w:r>
      <w:r w:rsidR="009B198F" w:rsidRPr="009B198F">
        <w:t>.</w:t>
      </w:r>
      <w:r w:rsidR="009B198F" w:rsidRPr="009B198F">
        <w:tab/>
      </w:r>
      <w:r w:rsidR="002E60BF">
        <w:t xml:space="preserve">Renseignements sur la mise en œuvre des mesures </w:t>
      </w:r>
      <w:r w:rsidR="00095750">
        <w:t>destinées à</w:t>
      </w:r>
      <w:r w:rsidR="00BF20ED">
        <w:t xml:space="preserve"> éliminer la discrimination contre les </w:t>
      </w:r>
      <w:r w:rsidR="00095750">
        <w:t>g</w:t>
      </w:r>
      <w:r w:rsidR="00BF20ED">
        <w:t xml:space="preserve">ens du voyage. </w:t>
      </w:r>
      <w:r w:rsidR="009B198F">
        <w:t xml:space="preserve">Progrès </w:t>
      </w:r>
      <w:r w:rsidR="00D40E56">
        <w:t>réalisés concernant les</w:t>
      </w:r>
      <w:r w:rsidR="009B198F">
        <w:t xml:space="preserve"> mesures prises </w:t>
      </w:r>
      <w:r w:rsidR="00E24F68">
        <w:t>pour</w:t>
      </w:r>
      <w:r w:rsidR="001128C1">
        <w:t xml:space="preserve"> l’accueil et </w:t>
      </w:r>
      <w:r w:rsidR="008D0F61">
        <w:t>l’</w:t>
      </w:r>
      <w:r w:rsidR="001128C1">
        <w:t xml:space="preserve">habitat des </w:t>
      </w:r>
      <w:r w:rsidR="00E24F68">
        <w:t>g</w:t>
      </w:r>
      <w:r w:rsidR="009B198F">
        <w:t>ens du voyage</w:t>
      </w:r>
      <w:r w:rsidR="00C07360">
        <w:t xml:space="preserve">. </w:t>
      </w:r>
      <w:r w:rsidR="00B06707">
        <w:t>F</w:t>
      </w:r>
      <w:r w:rsidR="00B06707" w:rsidRPr="009B198F">
        <w:t>onctionnement de la Commission nationale consultative des gens du voyage</w:t>
      </w:r>
      <w:r w:rsidR="00B06707" w:rsidRPr="009B198F">
        <w:rPr>
          <w:rStyle w:val="Appelnotedebasdep"/>
        </w:rPr>
        <w:footnoteReference w:id="11"/>
      </w:r>
      <w:r w:rsidR="00E24F68">
        <w:t>.</w:t>
      </w:r>
    </w:p>
    <w:p w14:paraId="4EF7E234" w14:textId="26D26F24" w:rsidR="00B23464" w:rsidRDefault="00B23464" w:rsidP="009E114E">
      <w:pPr>
        <w:pStyle w:val="SingleTxtG"/>
      </w:pPr>
      <w:r>
        <w:t>12.</w:t>
      </w:r>
      <w:r>
        <w:tab/>
        <w:t xml:space="preserve">Mesures prises pour lutter contre les multiples formes de discrimination à l’égard des femmes appartenant à des minorités, ainsi que </w:t>
      </w:r>
      <w:r w:rsidR="009B3F60">
        <w:t>des</w:t>
      </w:r>
      <w:r w:rsidRPr="00B23464">
        <w:t xml:space="preserve"> </w:t>
      </w:r>
      <w:r>
        <w:rPr>
          <w:lang w:val="fr-FR"/>
        </w:rPr>
        <w:t>femmes</w:t>
      </w:r>
      <w:r w:rsidRPr="00B23464">
        <w:rPr>
          <w:lang w:val="fr-FR"/>
        </w:rPr>
        <w:t xml:space="preserve"> migrant</w:t>
      </w:r>
      <w:r>
        <w:rPr>
          <w:lang w:val="fr-FR"/>
        </w:rPr>
        <w:t>e</w:t>
      </w:r>
      <w:r w:rsidRPr="00B23464">
        <w:rPr>
          <w:lang w:val="fr-FR"/>
        </w:rPr>
        <w:t>s, requérant</w:t>
      </w:r>
      <w:r>
        <w:rPr>
          <w:lang w:val="fr-FR"/>
        </w:rPr>
        <w:t>e</w:t>
      </w:r>
      <w:r w:rsidRPr="00B23464">
        <w:rPr>
          <w:lang w:val="fr-FR"/>
        </w:rPr>
        <w:t>s d’asile et réfugiées</w:t>
      </w:r>
      <w:r>
        <w:rPr>
          <w:lang w:val="fr-FR"/>
        </w:rPr>
        <w:t>.</w:t>
      </w:r>
    </w:p>
    <w:p w14:paraId="17D2F761" w14:textId="71FE9284" w:rsidR="00C07360" w:rsidRPr="002E60BF" w:rsidRDefault="002E60BF" w:rsidP="00FF3677">
      <w:pPr>
        <w:pStyle w:val="H23G"/>
      </w:pPr>
      <w:r>
        <w:tab/>
      </w:r>
      <w:r>
        <w:tab/>
      </w:r>
      <w:r w:rsidR="00E74F16" w:rsidRPr="002E60BF">
        <w:t>Situation des minorités et de p</w:t>
      </w:r>
      <w:r w:rsidR="00C07360" w:rsidRPr="002E60BF">
        <w:t>euple</w:t>
      </w:r>
      <w:r w:rsidR="00F046F0" w:rsidRPr="002E60BF">
        <w:t>s</w:t>
      </w:r>
      <w:r w:rsidR="00C07360" w:rsidRPr="002E60BF">
        <w:t xml:space="preserve"> autochtones de</w:t>
      </w:r>
      <w:r w:rsidR="006B0A91" w:rsidRPr="002E60BF">
        <w:t xml:space="preserve">s territoires d’outre-mer </w:t>
      </w:r>
      <w:r w:rsidR="00E967E0">
        <w:br/>
      </w:r>
      <w:r>
        <w:t>(art.</w:t>
      </w:r>
      <w:r w:rsidR="00FF3677">
        <w:t> </w:t>
      </w:r>
      <w:r>
        <w:t>2</w:t>
      </w:r>
      <w:r w:rsidR="00FF3677">
        <w:t> </w:t>
      </w:r>
      <w:r>
        <w:t>et 5)</w:t>
      </w:r>
    </w:p>
    <w:p w14:paraId="52502458" w14:textId="4E47B502" w:rsidR="00F430E0" w:rsidRDefault="00CB3D12" w:rsidP="0011187B">
      <w:pPr>
        <w:pStyle w:val="SingleTxtG"/>
      </w:pPr>
      <w:r>
        <w:t>13</w:t>
      </w:r>
      <w:r w:rsidR="00C07360">
        <w:t>.</w:t>
      </w:r>
      <w:r w:rsidR="00C07360">
        <w:tab/>
      </w:r>
      <w:r w:rsidR="002E60BF">
        <w:t>Renseignements sur l</w:t>
      </w:r>
      <w:r w:rsidR="00F046F0">
        <w:t xml:space="preserve">a mise en œuvre du </w:t>
      </w:r>
      <w:r w:rsidR="00C07360">
        <w:t>Plan d’urgence pour la Guyane</w:t>
      </w:r>
      <w:r w:rsidR="00C07360">
        <w:rPr>
          <w:rStyle w:val="Appelnotedebasdep"/>
        </w:rPr>
        <w:footnoteReference w:id="12"/>
      </w:r>
      <w:r w:rsidR="00F046F0">
        <w:t xml:space="preserve">. Mesures adoptées pour </w:t>
      </w:r>
      <w:r w:rsidR="006514E8">
        <w:t xml:space="preserve">faire </w:t>
      </w:r>
      <w:r w:rsidR="00F046F0">
        <w:t>reconnaître et respecter les droits des peuples autochtones de la Guyane française, notamment leur</w:t>
      </w:r>
      <w:r w:rsidR="0011187B">
        <w:t>s</w:t>
      </w:r>
      <w:r w:rsidR="00F046F0">
        <w:t xml:space="preserve"> droit</w:t>
      </w:r>
      <w:r w:rsidR="0011187B">
        <w:t>s</w:t>
      </w:r>
      <w:r w:rsidR="00F046F0">
        <w:t xml:space="preserve"> d’accès aux terres ancestrales et aux ressources traditionnellement utilisé</w:t>
      </w:r>
      <w:r w:rsidR="000622FB">
        <w:t>e</w:t>
      </w:r>
      <w:r w:rsidR="00F046F0">
        <w:t xml:space="preserve">s par eux, ainsi </w:t>
      </w:r>
      <w:r w:rsidR="000622FB">
        <w:t xml:space="preserve">que </w:t>
      </w:r>
      <w:r w:rsidR="0011187B">
        <w:t>celui</w:t>
      </w:r>
      <w:r w:rsidR="00F046F0">
        <w:t xml:space="preserve"> d’êtr</w:t>
      </w:r>
      <w:r w:rsidR="0011187B">
        <w:t xml:space="preserve">e consultés </w:t>
      </w:r>
      <w:r w:rsidR="000622FB">
        <w:t xml:space="preserve">au sujet </w:t>
      </w:r>
      <w:r w:rsidR="0011187B">
        <w:t>de toute mesure susceptible de les affecter</w:t>
      </w:r>
      <w:r w:rsidR="0011187B">
        <w:rPr>
          <w:rStyle w:val="Appelnotedebasdep"/>
        </w:rPr>
        <w:footnoteReference w:id="13"/>
      </w:r>
      <w:r w:rsidR="0011187B">
        <w:t>.</w:t>
      </w:r>
      <w:r w:rsidR="002E3E12">
        <w:t xml:space="preserve"> </w:t>
      </w:r>
    </w:p>
    <w:p w14:paraId="1C98CF5E" w14:textId="44A397F5" w:rsidR="00F430E0" w:rsidRPr="006B0A91" w:rsidRDefault="00CB3D12" w:rsidP="002240E1">
      <w:pPr>
        <w:pStyle w:val="SingleTxtG"/>
      </w:pPr>
      <w:r>
        <w:t>14</w:t>
      </w:r>
      <w:r w:rsidR="008A7602">
        <w:t>.</w:t>
      </w:r>
      <w:r w:rsidR="008A7602">
        <w:tab/>
      </w:r>
      <w:r w:rsidR="006B0A91">
        <w:t xml:space="preserve">Mesures </w:t>
      </w:r>
      <w:r w:rsidR="00C621D1">
        <w:t>destinées à</w:t>
      </w:r>
      <w:r w:rsidR="006B0A91">
        <w:t xml:space="preserve"> assurer la jouissance </w:t>
      </w:r>
      <w:r w:rsidR="008D3C4A">
        <w:t>par les</w:t>
      </w:r>
      <w:r w:rsidR="006B0A91">
        <w:t xml:space="preserve"> peuples autochtones </w:t>
      </w:r>
      <w:r w:rsidR="006B0A91" w:rsidRPr="006B0A91">
        <w:t>de Nouvelle-Calédo</w:t>
      </w:r>
      <w:r w:rsidR="00B23464">
        <w:t>nie</w:t>
      </w:r>
      <w:r w:rsidR="008D3C4A">
        <w:t xml:space="preserve"> de leurs droits</w:t>
      </w:r>
      <w:r w:rsidR="00E74F16">
        <w:t xml:space="preserve">, notamment économiques, sociaux et culturels, ainsi que leur droit à l’autodétermination, </w:t>
      </w:r>
      <w:r w:rsidR="00A90A74">
        <w:t xml:space="preserve">et </w:t>
      </w:r>
      <w:r w:rsidR="00E74F16">
        <w:t>leurs droits d’accès à la terre et aux ressources traditionnellement utilisé</w:t>
      </w:r>
      <w:r w:rsidR="00A90A74">
        <w:t>e</w:t>
      </w:r>
      <w:r w:rsidR="00E74F16">
        <w:t>s par eux.</w:t>
      </w:r>
    </w:p>
    <w:p w14:paraId="003B8408" w14:textId="53095FC7" w:rsidR="002C4E03" w:rsidRPr="00120DD6" w:rsidRDefault="00120DD6" w:rsidP="002C4E03">
      <w:pPr>
        <w:pStyle w:val="SingleTxtG"/>
      </w:pPr>
      <w:r>
        <w:t>1</w:t>
      </w:r>
      <w:r w:rsidR="00CB3D12">
        <w:t>5</w:t>
      </w:r>
      <w:r w:rsidR="008A7602">
        <w:t>.</w:t>
      </w:r>
      <w:r w:rsidR="008A7602">
        <w:tab/>
      </w:r>
      <w:r w:rsidR="002E60BF">
        <w:t xml:space="preserve">Renseignements sur la mise en œuvre </w:t>
      </w:r>
      <w:r w:rsidR="00E74F16">
        <w:t xml:space="preserve">du document </w:t>
      </w:r>
      <w:r w:rsidR="001F4B76">
        <w:t xml:space="preserve">stratégique </w:t>
      </w:r>
      <w:r w:rsidR="00E74F16">
        <w:t>pour le développement</w:t>
      </w:r>
      <w:r w:rsidR="00F76509">
        <w:t xml:space="preserve"> de Mayotte dit</w:t>
      </w:r>
      <w:r w:rsidR="00E74F16">
        <w:t xml:space="preserve"> « Mayotte 2025 »</w:t>
      </w:r>
      <w:r w:rsidR="00E74F16">
        <w:rPr>
          <w:rStyle w:val="Appelnotedebasdep"/>
        </w:rPr>
        <w:footnoteReference w:id="14"/>
      </w:r>
      <w:r w:rsidR="00E74F16">
        <w:t xml:space="preserve"> et la jouissance des droits</w:t>
      </w:r>
      <w:r w:rsidR="00AD17B7">
        <w:t xml:space="preserve"> garantis dans la Convention</w:t>
      </w:r>
      <w:r w:rsidR="00E74F16">
        <w:t xml:space="preserve">, sans discrimination, par les </w:t>
      </w:r>
      <w:r w:rsidR="00F76509">
        <w:t>M</w:t>
      </w:r>
      <w:r w:rsidR="00E74F16">
        <w:t>ahorais.</w:t>
      </w:r>
    </w:p>
    <w:p w14:paraId="1209E568" w14:textId="50B81912" w:rsidR="00C82A20" w:rsidRPr="002E60BF" w:rsidRDefault="002E60BF" w:rsidP="00FF3677">
      <w:pPr>
        <w:pStyle w:val="H23G"/>
      </w:pPr>
      <w:r>
        <w:lastRenderedPageBreak/>
        <w:tab/>
      </w:r>
      <w:r>
        <w:tab/>
      </w:r>
      <w:r w:rsidR="00C82A20" w:rsidRPr="002E60BF">
        <w:t>Situation de</w:t>
      </w:r>
      <w:r w:rsidR="00B06707">
        <w:t>s</w:t>
      </w:r>
      <w:r w:rsidR="00C82A20" w:rsidRPr="002E60BF">
        <w:t xml:space="preserve"> migrants</w:t>
      </w:r>
      <w:r w:rsidR="00CB3D12">
        <w:t xml:space="preserve">, </w:t>
      </w:r>
      <w:r w:rsidR="006055EC">
        <w:t xml:space="preserve">des </w:t>
      </w:r>
      <w:r w:rsidR="00CB3D12">
        <w:t>requérants d’asile</w:t>
      </w:r>
      <w:r w:rsidR="00B06707">
        <w:t xml:space="preserve">, </w:t>
      </w:r>
      <w:r w:rsidR="006055EC">
        <w:t xml:space="preserve">des </w:t>
      </w:r>
      <w:r w:rsidR="00B06707">
        <w:t>réfugié</w:t>
      </w:r>
      <w:r w:rsidR="00B06707" w:rsidRPr="002E60BF">
        <w:t>s</w:t>
      </w:r>
      <w:r w:rsidR="00CB3D12">
        <w:t xml:space="preserve"> et</w:t>
      </w:r>
      <w:r w:rsidR="00B06707">
        <w:t xml:space="preserve"> </w:t>
      </w:r>
      <w:r w:rsidR="006055EC">
        <w:t xml:space="preserve">des </w:t>
      </w:r>
      <w:r w:rsidR="00B06707">
        <w:t>apatrides</w:t>
      </w:r>
      <w:r>
        <w:t xml:space="preserve"> </w:t>
      </w:r>
      <w:r w:rsidR="00F618D7">
        <w:br/>
      </w:r>
      <w:r>
        <w:t>(art. 2 et 5)</w:t>
      </w:r>
    </w:p>
    <w:p w14:paraId="01B46A52" w14:textId="41A6A62C" w:rsidR="00C82A20" w:rsidRPr="0026251C" w:rsidRDefault="00C82A20" w:rsidP="009E114E">
      <w:pPr>
        <w:pStyle w:val="SingleTxtG"/>
        <w:rPr>
          <w:lang w:val="fr-FR"/>
        </w:rPr>
      </w:pPr>
      <w:r w:rsidRPr="00C82A20">
        <w:rPr>
          <w:lang w:val="fr-FR"/>
        </w:rPr>
        <w:t>1</w:t>
      </w:r>
      <w:r w:rsidR="00CB3D12">
        <w:rPr>
          <w:lang w:val="fr-FR"/>
        </w:rPr>
        <w:t>6</w:t>
      </w:r>
      <w:r w:rsidRPr="00C82A20">
        <w:rPr>
          <w:lang w:val="fr-FR"/>
        </w:rPr>
        <w:t>.</w:t>
      </w:r>
      <w:r w:rsidRPr="00C82A20">
        <w:rPr>
          <w:lang w:val="fr-FR"/>
        </w:rPr>
        <w:tab/>
      </w:r>
      <w:r w:rsidR="00BF7732">
        <w:rPr>
          <w:lang w:val="fr-FR"/>
        </w:rPr>
        <w:t>Renseignements sur les mesures prises pour améliorer l’accès au droit d’asile, ainsi que</w:t>
      </w:r>
      <w:r w:rsidR="00CB3D12">
        <w:rPr>
          <w:lang w:val="fr-FR"/>
        </w:rPr>
        <w:t xml:space="preserve"> les</w:t>
      </w:r>
      <w:r w:rsidR="00BF7732">
        <w:rPr>
          <w:lang w:val="fr-FR"/>
        </w:rPr>
        <w:t xml:space="preserve"> conditions d’accueil</w:t>
      </w:r>
      <w:r w:rsidR="0026251C">
        <w:rPr>
          <w:lang w:val="fr-FR"/>
        </w:rPr>
        <w:t xml:space="preserve"> et de vie</w:t>
      </w:r>
      <w:r w:rsidR="00CB3D12">
        <w:rPr>
          <w:lang w:val="fr-FR"/>
        </w:rPr>
        <w:t xml:space="preserve"> </w:t>
      </w:r>
      <w:r w:rsidR="00AD17B7">
        <w:rPr>
          <w:lang w:val="fr-FR"/>
        </w:rPr>
        <w:t xml:space="preserve">des </w:t>
      </w:r>
      <w:r w:rsidR="00CB3D12" w:rsidRPr="00CB3D12">
        <w:t xml:space="preserve">migrants, </w:t>
      </w:r>
      <w:r w:rsidR="00AD17B7">
        <w:t xml:space="preserve">des </w:t>
      </w:r>
      <w:r w:rsidR="00CB3D12" w:rsidRPr="00CB3D12">
        <w:t xml:space="preserve">requérants d’asile et </w:t>
      </w:r>
      <w:r w:rsidR="00AD17B7">
        <w:t xml:space="preserve">des </w:t>
      </w:r>
      <w:r w:rsidR="00CB3D12" w:rsidRPr="00CB3D12">
        <w:t>réfugiés</w:t>
      </w:r>
      <w:r w:rsidR="00297F99">
        <w:rPr>
          <w:lang w:val="fr-FR"/>
        </w:rPr>
        <w:t>.</w:t>
      </w:r>
      <w:r w:rsidR="0026462A">
        <w:rPr>
          <w:lang w:val="fr-FR"/>
        </w:rPr>
        <w:t xml:space="preserve"> Mesures visant à favoriser l’intégration sociale des migrants, </w:t>
      </w:r>
      <w:r w:rsidR="00AD17B7">
        <w:rPr>
          <w:lang w:val="fr-FR"/>
        </w:rPr>
        <w:t xml:space="preserve">des </w:t>
      </w:r>
      <w:r w:rsidR="0026462A">
        <w:rPr>
          <w:lang w:val="fr-FR"/>
        </w:rPr>
        <w:t>requérants d’asile et des réfugié</w:t>
      </w:r>
      <w:r w:rsidR="00B06707">
        <w:rPr>
          <w:lang w:val="fr-FR"/>
        </w:rPr>
        <w:t>s, ainsi que des personnes apatrides</w:t>
      </w:r>
      <w:r w:rsidR="0026462A">
        <w:rPr>
          <w:lang w:val="fr-FR"/>
        </w:rPr>
        <w:t>, y compris par l’accès à un emploi,</w:t>
      </w:r>
      <w:r w:rsidR="00CB3D12">
        <w:rPr>
          <w:lang w:val="fr-FR"/>
        </w:rPr>
        <w:t xml:space="preserve"> à</w:t>
      </w:r>
      <w:r w:rsidR="0026462A">
        <w:rPr>
          <w:lang w:val="fr-FR"/>
        </w:rPr>
        <w:t xml:space="preserve"> l’éducation et à</w:t>
      </w:r>
      <w:r w:rsidR="00F76509">
        <w:rPr>
          <w:lang w:val="fr-FR"/>
        </w:rPr>
        <w:t xml:space="preserve"> un</w:t>
      </w:r>
      <w:r w:rsidR="0026462A">
        <w:rPr>
          <w:lang w:val="fr-FR"/>
        </w:rPr>
        <w:t xml:space="preserve"> niveau de vie suffisant.</w:t>
      </w:r>
      <w:r w:rsidR="002E3E12">
        <w:rPr>
          <w:lang w:val="fr-FR"/>
        </w:rPr>
        <w:t xml:space="preserve"> </w:t>
      </w:r>
    </w:p>
    <w:p w14:paraId="3B440C60" w14:textId="6C2D0BFE" w:rsidR="002849FD" w:rsidRDefault="00C82A20" w:rsidP="00120DD6">
      <w:pPr>
        <w:pStyle w:val="SingleTxtG"/>
        <w:rPr>
          <w:lang w:val="fr-FR"/>
        </w:rPr>
      </w:pPr>
      <w:r w:rsidRPr="00C82A20">
        <w:rPr>
          <w:lang w:val="fr-FR"/>
        </w:rPr>
        <w:t>1</w:t>
      </w:r>
      <w:r w:rsidR="00CB3D12">
        <w:rPr>
          <w:lang w:val="fr-FR"/>
        </w:rPr>
        <w:t>7</w:t>
      </w:r>
      <w:r w:rsidRPr="00C82A20">
        <w:rPr>
          <w:lang w:val="fr-FR"/>
        </w:rPr>
        <w:t>.</w:t>
      </w:r>
      <w:r w:rsidRPr="00C82A20">
        <w:rPr>
          <w:lang w:val="fr-FR"/>
        </w:rPr>
        <w:tab/>
      </w:r>
      <w:r w:rsidR="0026251C">
        <w:rPr>
          <w:lang w:val="fr-FR"/>
        </w:rPr>
        <w:t>Renseignements sur les m</w:t>
      </w:r>
      <w:r w:rsidR="0026462A">
        <w:rPr>
          <w:lang w:val="fr-FR"/>
        </w:rPr>
        <w:t>esures de protection adoptées concernant l</w:t>
      </w:r>
      <w:r w:rsidRPr="00C82A20">
        <w:rPr>
          <w:lang w:val="fr-FR"/>
        </w:rPr>
        <w:t>es enfants migrants et requérants d’asile non accompagnés</w:t>
      </w:r>
      <w:r w:rsidR="00B23464">
        <w:rPr>
          <w:rStyle w:val="Appelnotedebasdep"/>
        </w:rPr>
        <w:footnoteReference w:id="15"/>
      </w:r>
      <w:r w:rsidR="0026462A">
        <w:rPr>
          <w:lang w:val="fr-FR"/>
        </w:rPr>
        <w:t xml:space="preserve">. </w:t>
      </w:r>
    </w:p>
    <w:p w14:paraId="0779A6EA" w14:textId="3141CFA2" w:rsidR="00120DD6" w:rsidRPr="002E60BF" w:rsidRDefault="002E60BF" w:rsidP="00FF3677">
      <w:pPr>
        <w:pStyle w:val="H23G"/>
      </w:pPr>
      <w:r>
        <w:tab/>
      </w:r>
      <w:r>
        <w:tab/>
      </w:r>
      <w:r w:rsidR="00120DD6" w:rsidRPr="002E60BF">
        <w:t xml:space="preserve">Accès à la justice et discrimination </w:t>
      </w:r>
      <w:r w:rsidR="00AD17B7">
        <w:t xml:space="preserve">raciale </w:t>
      </w:r>
      <w:r w:rsidR="00120DD6" w:rsidRPr="002E60BF">
        <w:t xml:space="preserve">dans le système judiciaire </w:t>
      </w:r>
      <w:r>
        <w:t>(art. 2 et 6)</w:t>
      </w:r>
    </w:p>
    <w:p w14:paraId="47150159" w14:textId="1731EF69" w:rsidR="00120DD6" w:rsidRDefault="008A7602" w:rsidP="008A7602">
      <w:pPr>
        <w:pStyle w:val="SingleTxtG"/>
        <w:rPr>
          <w:lang w:val="fr-FR"/>
        </w:rPr>
      </w:pPr>
      <w:r w:rsidRPr="00DC10DC">
        <w:rPr>
          <w:lang w:val="fr-FR"/>
        </w:rPr>
        <w:t>1</w:t>
      </w:r>
      <w:r w:rsidR="00CB3D12">
        <w:rPr>
          <w:lang w:val="fr-FR"/>
        </w:rPr>
        <w:t>8</w:t>
      </w:r>
      <w:r>
        <w:rPr>
          <w:lang w:val="fr-FR"/>
        </w:rPr>
        <w:t>.</w:t>
      </w:r>
      <w:r>
        <w:rPr>
          <w:lang w:val="fr-FR"/>
        </w:rPr>
        <w:tab/>
      </w:r>
      <w:r w:rsidR="006E058A">
        <w:t xml:space="preserve">Mesures prises pour faciliter l’accès des victimes de discrimination raciale à la justice et à des voies de recours efficaces. </w:t>
      </w:r>
      <w:r w:rsidR="00CB3D12">
        <w:t xml:space="preserve">Mesures prises pour lutter contre les préjugés conduisant à la discrimination raciale dans le système judiciaire. </w:t>
      </w:r>
      <w:r w:rsidR="006E058A">
        <w:t>Statistiques sur les affaires de discrimination raciale, y compris les résultats des enquêtes, les condamnations prononcées et l’indemnisation accordée aux victimes</w:t>
      </w:r>
      <w:r w:rsidR="006E058A">
        <w:rPr>
          <w:lang w:val="fr-FR"/>
        </w:rPr>
        <w:t xml:space="preserve">. </w:t>
      </w:r>
    </w:p>
    <w:p w14:paraId="41DF50AC" w14:textId="6DA151D1" w:rsidR="008A7602" w:rsidRDefault="00CB3D12" w:rsidP="00EC6C68">
      <w:pPr>
        <w:pStyle w:val="SingleTxtG"/>
        <w:rPr>
          <w:lang w:val="fr-FR"/>
        </w:rPr>
      </w:pPr>
      <w:r>
        <w:rPr>
          <w:lang w:val="fr-FR"/>
        </w:rPr>
        <w:t>19</w:t>
      </w:r>
      <w:r w:rsidR="00120DD6">
        <w:rPr>
          <w:lang w:val="fr-FR"/>
        </w:rPr>
        <w:t>.</w:t>
      </w:r>
      <w:r w:rsidR="00120DD6">
        <w:rPr>
          <w:lang w:val="fr-FR"/>
        </w:rPr>
        <w:tab/>
      </w:r>
      <w:r w:rsidR="002C4E03">
        <w:rPr>
          <w:lang w:val="fr-FR"/>
        </w:rPr>
        <w:t>M</w:t>
      </w:r>
      <w:r w:rsidR="00EC6C68">
        <w:rPr>
          <w:lang w:val="fr-FR"/>
        </w:rPr>
        <w:t xml:space="preserve">esures </w:t>
      </w:r>
      <w:r w:rsidR="00D44DB8">
        <w:rPr>
          <w:lang w:val="fr-FR"/>
        </w:rPr>
        <w:t>destinées à</w:t>
      </w:r>
      <w:r w:rsidR="00EC6C68">
        <w:rPr>
          <w:lang w:val="fr-FR"/>
        </w:rPr>
        <w:t xml:space="preserve"> </w:t>
      </w:r>
      <w:r w:rsidR="00770CAC">
        <w:rPr>
          <w:lang w:val="fr-FR"/>
        </w:rPr>
        <w:t xml:space="preserve">lutter contre le </w:t>
      </w:r>
      <w:r w:rsidR="002C4E03">
        <w:rPr>
          <w:lang w:val="fr-FR"/>
        </w:rPr>
        <w:t>profilage racial</w:t>
      </w:r>
      <w:r w:rsidR="00770CAC">
        <w:rPr>
          <w:lang w:val="fr-FR"/>
        </w:rPr>
        <w:t xml:space="preserve">, </w:t>
      </w:r>
      <w:r>
        <w:rPr>
          <w:lang w:val="fr-FR"/>
        </w:rPr>
        <w:t>l’usage excessif de la force</w:t>
      </w:r>
      <w:r w:rsidR="00770CAC">
        <w:rPr>
          <w:lang w:val="fr-FR"/>
        </w:rPr>
        <w:t xml:space="preserve"> et les contrôles d’identité par la police et les </w:t>
      </w:r>
      <w:r w:rsidR="00AD17B7">
        <w:rPr>
          <w:lang w:val="fr-FR"/>
        </w:rPr>
        <w:t xml:space="preserve">autres </w:t>
      </w:r>
      <w:r w:rsidR="00770CAC">
        <w:rPr>
          <w:lang w:val="fr-FR"/>
        </w:rPr>
        <w:t>forces de l’ordre, basé</w:t>
      </w:r>
      <w:r w:rsidR="002C4E03">
        <w:rPr>
          <w:lang w:val="fr-FR"/>
        </w:rPr>
        <w:t>s</w:t>
      </w:r>
      <w:r w:rsidR="00EC6C68">
        <w:rPr>
          <w:lang w:val="fr-FR"/>
        </w:rPr>
        <w:t xml:space="preserve"> uniquement </w:t>
      </w:r>
      <w:r w:rsidR="002C4E03">
        <w:rPr>
          <w:lang w:val="fr-FR"/>
        </w:rPr>
        <w:t>sur les caractéristiques physiques associées</w:t>
      </w:r>
      <w:r w:rsidR="00EC6C68">
        <w:rPr>
          <w:lang w:val="fr-FR"/>
        </w:rPr>
        <w:t xml:space="preserve"> à une origine réelle ou apparente.</w:t>
      </w:r>
      <w:r w:rsidR="00A94B50">
        <w:rPr>
          <w:lang w:val="fr-FR"/>
        </w:rPr>
        <w:t xml:space="preserve"> Information</w:t>
      </w:r>
      <w:r w:rsidR="00770CAC">
        <w:rPr>
          <w:lang w:val="fr-FR"/>
        </w:rPr>
        <w:t>s</w:t>
      </w:r>
      <w:r w:rsidR="00A94B50">
        <w:rPr>
          <w:lang w:val="fr-FR"/>
        </w:rPr>
        <w:t xml:space="preserve"> sur l’a</w:t>
      </w:r>
      <w:r w:rsidR="008A7602">
        <w:rPr>
          <w:lang w:val="fr-FR"/>
        </w:rPr>
        <w:t xml:space="preserve">pplication du Code de déontologie de la police </w:t>
      </w:r>
      <w:r w:rsidR="003C526E">
        <w:rPr>
          <w:lang w:val="fr-FR"/>
        </w:rPr>
        <w:t xml:space="preserve">nationale </w:t>
      </w:r>
      <w:r w:rsidR="008A7602">
        <w:rPr>
          <w:lang w:val="fr-FR"/>
        </w:rPr>
        <w:t>et de la gendarmerie nationale</w:t>
      </w:r>
      <w:r w:rsidR="008A7602">
        <w:rPr>
          <w:rStyle w:val="Appelnotedebasdep"/>
        </w:rPr>
        <w:footnoteReference w:id="16"/>
      </w:r>
      <w:r w:rsidR="00770CAC">
        <w:rPr>
          <w:lang w:val="fr-FR"/>
        </w:rPr>
        <w:t>. N</w:t>
      </w:r>
      <w:r w:rsidR="008A7602">
        <w:rPr>
          <w:lang w:val="fr-FR"/>
        </w:rPr>
        <w:t>ombre de</w:t>
      </w:r>
      <w:r w:rsidR="00A94B50">
        <w:rPr>
          <w:lang w:val="fr-FR"/>
        </w:rPr>
        <w:t xml:space="preserve"> plaintes déposées concernant des </w:t>
      </w:r>
      <w:r w:rsidR="00770CAC">
        <w:t>violences policières</w:t>
      </w:r>
      <w:r w:rsidR="00770CAC">
        <w:rPr>
          <w:lang w:val="fr-FR"/>
        </w:rPr>
        <w:t xml:space="preserve"> et </w:t>
      </w:r>
      <w:r w:rsidR="00034CAA">
        <w:rPr>
          <w:lang w:val="fr-FR"/>
        </w:rPr>
        <w:t>des</w:t>
      </w:r>
      <w:r w:rsidR="00AD17B7">
        <w:rPr>
          <w:lang w:val="fr-FR"/>
        </w:rPr>
        <w:t xml:space="preserve"> </w:t>
      </w:r>
      <w:r w:rsidR="00A94B50">
        <w:rPr>
          <w:lang w:val="fr-FR"/>
        </w:rPr>
        <w:t>contrôles discriminatoires</w:t>
      </w:r>
      <w:r w:rsidR="00AD17B7">
        <w:rPr>
          <w:lang w:val="fr-FR"/>
        </w:rPr>
        <w:t xml:space="preserve"> par la police ; </w:t>
      </w:r>
      <w:r w:rsidR="00A94B50">
        <w:rPr>
          <w:lang w:val="fr-FR"/>
        </w:rPr>
        <w:t>nombre d’enqu</w:t>
      </w:r>
      <w:r w:rsidR="001D1B50">
        <w:rPr>
          <w:lang w:val="fr-FR"/>
        </w:rPr>
        <w:t>êtes menées et leurs résultats</w:t>
      </w:r>
      <w:r w:rsidR="008A7602">
        <w:rPr>
          <w:lang w:val="fr-FR"/>
        </w:rPr>
        <w:t xml:space="preserve">. </w:t>
      </w:r>
      <w:r w:rsidR="007F76A8">
        <w:rPr>
          <w:lang w:val="fr-FR"/>
        </w:rPr>
        <w:t>Développements concernant l’enquête sur</w:t>
      </w:r>
      <w:r w:rsidR="00B06707">
        <w:rPr>
          <w:lang w:val="fr-FR"/>
        </w:rPr>
        <w:t xml:space="preserve"> la</w:t>
      </w:r>
      <w:r w:rsidR="007F76A8">
        <w:rPr>
          <w:lang w:val="fr-FR"/>
        </w:rPr>
        <w:t xml:space="preserve"> mort </w:t>
      </w:r>
      <w:r w:rsidR="00034CAA">
        <w:rPr>
          <w:lang w:val="fr-FR"/>
        </w:rPr>
        <w:t>d’</w:t>
      </w:r>
      <w:r w:rsidR="007F76A8" w:rsidRPr="00982CBC">
        <w:t>Adama Traoré</w:t>
      </w:r>
      <w:r w:rsidR="00AD17B7">
        <w:t>, survenue</w:t>
      </w:r>
      <w:r w:rsidR="007F76A8" w:rsidRPr="00982CBC">
        <w:t xml:space="preserve"> </w:t>
      </w:r>
      <w:r w:rsidR="007F76A8">
        <w:t>le</w:t>
      </w:r>
      <w:r w:rsidR="007F76A8" w:rsidRPr="00982CBC">
        <w:t xml:space="preserve"> 19 </w:t>
      </w:r>
      <w:r w:rsidR="007F76A8">
        <w:t>juillet</w:t>
      </w:r>
      <w:r w:rsidR="007F76A8" w:rsidRPr="00982CBC">
        <w:t xml:space="preserve"> 2016</w:t>
      </w:r>
      <w:r w:rsidR="007F76A8">
        <w:t xml:space="preserve">. </w:t>
      </w:r>
    </w:p>
    <w:p w14:paraId="687A3347" w14:textId="2BDF8A86" w:rsidR="00F430E0" w:rsidRPr="002E60BF" w:rsidRDefault="008A7602" w:rsidP="00FF3677">
      <w:pPr>
        <w:pStyle w:val="H23G"/>
      </w:pPr>
      <w:r w:rsidRPr="002E60BF">
        <w:tab/>
      </w:r>
      <w:r w:rsidR="002E60BF">
        <w:tab/>
      </w:r>
      <w:r w:rsidR="00120DD6" w:rsidRPr="002E60BF">
        <w:t>Lutte contre les stéréotypes</w:t>
      </w:r>
      <w:r w:rsidR="002E60BF">
        <w:t xml:space="preserve"> raciaux</w:t>
      </w:r>
      <w:r w:rsidR="00120DD6" w:rsidRPr="002E60BF">
        <w:t xml:space="preserve"> </w:t>
      </w:r>
      <w:r w:rsidR="008B09DF">
        <w:t>(art. 7)</w:t>
      </w:r>
    </w:p>
    <w:p w14:paraId="5CDBA350" w14:textId="6DE51F37" w:rsidR="00DC10DC" w:rsidRPr="00B23464" w:rsidRDefault="00CB3D12" w:rsidP="009E114E">
      <w:pPr>
        <w:pStyle w:val="SingleTxtG"/>
        <w:rPr>
          <w:lang w:val="fr-FR"/>
        </w:rPr>
      </w:pPr>
      <w:r>
        <w:rPr>
          <w:lang w:val="fr-FR"/>
        </w:rPr>
        <w:t>20</w:t>
      </w:r>
      <w:r w:rsidR="00120DD6" w:rsidRPr="00B23464">
        <w:rPr>
          <w:lang w:val="fr-FR"/>
        </w:rPr>
        <w:t>.</w:t>
      </w:r>
      <w:r w:rsidR="00120DD6" w:rsidRPr="00B23464">
        <w:rPr>
          <w:lang w:val="fr-FR"/>
        </w:rPr>
        <w:tab/>
      </w:r>
      <w:r w:rsidR="002E60BF">
        <w:rPr>
          <w:lang w:val="fr-FR"/>
        </w:rPr>
        <w:t xml:space="preserve">Renseignements détaillés sur les </w:t>
      </w:r>
      <w:r w:rsidR="002E60BF">
        <w:t>m</w:t>
      </w:r>
      <w:r w:rsidR="006E058A" w:rsidRPr="00B23464">
        <w:t>esures concrètes prises pour prévenir et combattre la discrimination</w:t>
      </w:r>
      <w:r w:rsidR="002E60BF">
        <w:t xml:space="preserve"> raciale</w:t>
      </w:r>
      <w:r w:rsidR="006E058A" w:rsidRPr="00B23464">
        <w:t xml:space="preserve">, </w:t>
      </w:r>
      <w:r>
        <w:t xml:space="preserve">ainsi que pour lutter contre les préjugés et stéréotypes conduisant à la discrimination raciale </w:t>
      </w:r>
      <w:r w:rsidR="006E058A" w:rsidRPr="00B23464">
        <w:t xml:space="preserve">des minorités, notamment les </w:t>
      </w:r>
      <w:r w:rsidR="00D87D1A">
        <w:t>personnes r</w:t>
      </w:r>
      <w:r w:rsidR="006E058A" w:rsidRPr="00B23464">
        <w:t xml:space="preserve">oms, les </w:t>
      </w:r>
      <w:r w:rsidR="00D87D1A">
        <w:t>g</w:t>
      </w:r>
      <w:r w:rsidR="00B23464">
        <w:t xml:space="preserve">ens du voyage, </w:t>
      </w:r>
      <w:r w:rsidR="00D07ABA">
        <w:t xml:space="preserve">les </w:t>
      </w:r>
      <w:r w:rsidR="00D87D1A">
        <w:t>personnes a</w:t>
      </w:r>
      <w:r w:rsidR="006E058A" w:rsidRPr="00B23464">
        <w:t xml:space="preserve">rabes, les personnes d’ascendance africaine, les </w:t>
      </w:r>
      <w:r w:rsidR="006E058A" w:rsidRPr="00B23464">
        <w:rPr>
          <w:lang w:val="fr-FR"/>
        </w:rPr>
        <w:t xml:space="preserve">migrants, </w:t>
      </w:r>
      <w:r w:rsidR="00654E49">
        <w:rPr>
          <w:lang w:val="fr-FR"/>
        </w:rPr>
        <w:t xml:space="preserve">les </w:t>
      </w:r>
      <w:r w:rsidR="006E058A" w:rsidRPr="00B23464">
        <w:rPr>
          <w:lang w:val="fr-FR"/>
        </w:rPr>
        <w:t xml:space="preserve">requérants d’asile et </w:t>
      </w:r>
      <w:r w:rsidR="00654E49">
        <w:rPr>
          <w:lang w:val="fr-FR"/>
        </w:rPr>
        <w:t xml:space="preserve">les </w:t>
      </w:r>
      <w:r w:rsidR="006E058A" w:rsidRPr="00B23464">
        <w:rPr>
          <w:lang w:val="fr-FR"/>
        </w:rPr>
        <w:t>réfugiés</w:t>
      </w:r>
      <w:r w:rsidR="00B23464">
        <w:rPr>
          <w:lang w:val="fr-FR"/>
        </w:rPr>
        <w:t>.</w:t>
      </w:r>
      <w:r>
        <w:rPr>
          <w:lang w:val="fr-FR"/>
        </w:rPr>
        <w:t xml:space="preserve"> Mesures prises pour </w:t>
      </w:r>
      <w:r>
        <w:t xml:space="preserve">sensibiliser l’opinion publique, les fonctionnaires et les agents des forces de l’ordre à l’importance de la diversité culturelle, de la tolérance et de l’entente interethnique. </w:t>
      </w:r>
    </w:p>
    <w:p w14:paraId="5A17FDCC" w14:textId="1DDE1EBA" w:rsidR="006B5194" w:rsidRPr="007115FF" w:rsidRDefault="006B5194" w:rsidP="007115FF">
      <w:pPr>
        <w:pStyle w:val="SingleTxtG"/>
        <w:spacing w:before="240" w:after="0"/>
        <w:jc w:val="center"/>
        <w:rPr>
          <w:rFonts w:eastAsia="Times New Roman"/>
          <w:color w:val="000000"/>
          <w:u w:val="single"/>
          <w:lang w:val="fr-FR"/>
        </w:rPr>
      </w:pPr>
      <w:r w:rsidRPr="007115FF">
        <w:rPr>
          <w:u w:val="single"/>
        </w:rPr>
        <w:tab/>
      </w:r>
      <w:r w:rsidRPr="007115FF">
        <w:rPr>
          <w:u w:val="single"/>
        </w:rPr>
        <w:tab/>
      </w:r>
      <w:r w:rsidRPr="007115FF">
        <w:rPr>
          <w:u w:val="single"/>
        </w:rPr>
        <w:tab/>
      </w:r>
      <w:r w:rsidR="00654E49">
        <w:rPr>
          <w:u w:val="single"/>
        </w:rPr>
        <w:tab/>
      </w:r>
    </w:p>
    <w:sectPr w:rsidR="006B5194" w:rsidRPr="007115FF" w:rsidSect="00A2791B">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5D6651" w14:textId="77777777" w:rsidR="00F035FF" w:rsidRDefault="00F035FF">
      <w:pPr>
        <w:spacing w:line="240" w:lineRule="auto"/>
      </w:pPr>
    </w:p>
  </w:endnote>
  <w:endnote w:type="continuationSeparator" w:id="0">
    <w:p w14:paraId="2AF228B1" w14:textId="77777777" w:rsidR="00F035FF" w:rsidRDefault="00F035FF">
      <w:pPr>
        <w:pStyle w:val="Pieddepage"/>
      </w:pPr>
    </w:p>
  </w:endnote>
  <w:endnote w:type="continuationNotice" w:id="1">
    <w:p w14:paraId="263E564A" w14:textId="77777777" w:rsidR="00F035FF" w:rsidRDefault="00F035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47C92" w14:textId="696DA855" w:rsidR="00BF7732" w:rsidRDefault="00BF7732">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2F2B4A">
      <w:rPr>
        <w:b/>
        <w:noProof/>
        <w:sz w:val="18"/>
      </w:rPr>
      <w:t>2</w:t>
    </w:r>
    <w:r>
      <w:rPr>
        <w:b/>
        <w:sz w:val="18"/>
      </w:rPr>
      <w:fldChar w:fldCharType="end"/>
    </w:r>
    <w: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13312" w14:textId="58F78F8B" w:rsidR="00BF7732" w:rsidRDefault="00BF7732">
    <w:pPr>
      <w:pStyle w:val="Pieddepage"/>
      <w:tabs>
        <w:tab w:val="right" w:pos="9639"/>
      </w:tabs>
      <w:rPr>
        <w:sz w:val="20"/>
      </w:rPr>
    </w:pPr>
    <w:r>
      <w:fldChar w:fldCharType="begin"/>
    </w:r>
    <w:r>
      <w:instrText xml:space="preserve"> DOCPROPERTY  gdocf  \* MERGEFORMAT </w:instrText>
    </w:r>
    <w:r>
      <w:fldChar w:fldCharType="end"/>
    </w:r>
    <w:r>
      <w:tab/>
    </w:r>
    <w:r>
      <w:rPr>
        <w:b/>
        <w:sz w:val="18"/>
      </w:rPr>
      <w:fldChar w:fldCharType="begin"/>
    </w:r>
    <w:r>
      <w:rPr>
        <w:b/>
        <w:sz w:val="18"/>
      </w:rPr>
      <w:instrText xml:space="preserve"> PAGE  \* MERGEFORMAT </w:instrText>
    </w:r>
    <w:r>
      <w:rPr>
        <w:b/>
        <w:sz w:val="18"/>
      </w:rPr>
      <w:fldChar w:fldCharType="separate"/>
    </w:r>
    <w:r w:rsidR="002F2B4A">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DD1CB" w14:textId="5B0CB408" w:rsidR="00C17327" w:rsidRPr="00C17327" w:rsidRDefault="00C17327" w:rsidP="00C17327">
    <w:pPr>
      <w:pStyle w:val="Pieddepage"/>
      <w:tabs>
        <w:tab w:val="left" w:pos="6520"/>
        <w:tab w:val="right" w:pos="9638"/>
      </w:tabs>
      <w:spacing w:before="120"/>
      <w:rPr>
        <w:sz w:val="20"/>
      </w:rPr>
    </w:pPr>
    <w:r>
      <w:rPr>
        <w:sz w:val="20"/>
      </w:rPr>
      <w:t>GE.22-15677  (F)</w:t>
    </w:r>
    <w:bookmarkStart w:id="0" w:name="_GoBack"/>
    <w:bookmarkEnd w:id="0"/>
    <w:r>
      <w:rPr>
        <w:sz w:val="20"/>
      </w:rPr>
      <w:tab/>
    </w:r>
    <w:r w:rsidRPr="00C17327">
      <w:rPr>
        <w:noProof/>
        <w:sz w:val="20"/>
        <w:lang w:eastAsia="fr-CH"/>
      </w:rPr>
      <w:drawing>
        <wp:inline distT="0" distB="0" distL="0" distR="0" wp14:anchorId="53CAB616" wp14:editId="22B8531E">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7E23E01F" wp14:editId="5640AF15">
          <wp:extent cx="559435" cy="559435"/>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9435" cy="55943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9A719" w14:textId="77777777" w:rsidR="00F035FF" w:rsidRDefault="00F035FF">
      <w:pPr>
        <w:pStyle w:val="Pieddepage"/>
        <w:tabs>
          <w:tab w:val="right" w:pos="2155"/>
        </w:tabs>
        <w:spacing w:after="80" w:line="240" w:lineRule="atLeast"/>
        <w:ind w:left="680"/>
        <w:rPr>
          <w:u w:val="single"/>
        </w:rPr>
      </w:pPr>
      <w:r>
        <w:rPr>
          <w:u w:val="single"/>
        </w:rPr>
        <w:tab/>
      </w:r>
    </w:p>
  </w:footnote>
  <w:footnote w:type="continuationSeparator" w:id="0">
    <w:p w14:paraId="15543DE0" w14:textId="77777777" w:rsidR="00F035FF" w:rsidRDefault="00F035FF">
      <w:pPr>
        <w:pStyle w:val="Pieddepage"/>
        <w:tabs>
          <w:tab w:val="right" w:pos="2155"/>
        </w:tabs>
        <w:spacing w:after="80" w:line="240" w:lineRule="atLeast"/>
        <w:ind w:left="680"/>
        <w:rPr>
          <w:u w:val="single"/>
        </w:rPr>
      </w:pPr>
      <w:r>
        <w:rPr>
          <w:u w:val="single"/>
        </w:rPr>
        <w:tab/>
      </w:r>
    </w:p>
  </w:footnote>
  <w:footnote w:type="continuationNotice" w:id="1">
    <w:p w14:paraId="4BAB9C97" w14:textId="77777777" w:rsidR="00F035FF" w:rsidRDefault="00F035FF">
      <w:pPr>
        <w:spacing w:line="240" w:lineRule="auto"/>
        <w:rPr>
          <w:sz w:val="2"/>
          <w:szCs w:val="2"/>
        </w:rPr>
      </w:pPr>
    </w:p>
  </w:footnote>
  <w:footnote w:id="2">
    <w:p w14:paraId="674734D1" w14:textId="2C4AA17D" w:rsidR="00C766C2" w:rsidRDefault="00C766C2">
      <w:pPr>
        <w:pStyle w:val="Notedebasdepage"/>
      </w:pPr>
      <w:r>
        <w:tab/>
      </w:r>
      <w:r>
        <w:rPr>
          <w:rStyle w:val="Appelnotedebasdep"/>
        </w:rPr>
        <w:footnoteRef/>
      </w:r>
      <w:r>
        <w:tab/>
      </w:r>
      <w:hyperlink r:id="rId1" w:history="1">
        <w:r w:rsidR="00057BAC" w:rsidRPr="00CB063E">
          <w:rPr>
            <w:rStyle w:val="Lienhypertexte"/>
          </w:rPr>
          <w:t>A/65/18</w:t>
        </w:r>
      </w:hyperlink>
      <w:r w:rsidR="00057BAC">
        <w:t>, par. 85.</w:t>
      </w:r>
    </w:p>
  </w:footnote>
  <w:footnote w:id="3">
    <w:p w14:paraId="23023AE3" w14:textId="4621F1A8" w:rsidR="00BF7732" w:rsidRPr="00B06707" w:rsidRDefault="00BF7732">
      <w:pPr>
        <w:pStyle w:val="Notedebasdepage"/>
        <w:rPr>
          <w:lang w:val="fr-FR"/>
        </w:rPr>
      </w:pPr>
      <w:r>
        <w:tab/>
      </w:r>
      <w:r>
        <w:rPr>
          <w:rStyle w:val="Appelnotedebasdep"/>
        </w:rPr>
        <w:footnoteRef/>
      </w:r>
      <w:r w:rsidRPr="00B06707">
        <w:rPr>
          <w:lang w:val="fr-FR"/>
        </w:rPr>
        <w:tab/>
      </w:r>
      <w:hyperlink r:id="rId2" w:history="1">
        <w:r w:rsidRPr="00CB063E">
          <w:rPr>
            <w:rStyle w:val="Lienhypertexte"/>
            <w:lang w:val="fr-FR"/>
          </w:rPr>
          <w:t>CERD/C/FRA/22-23</w:t>
        </w:r>
      </w:hyperlink>
      <w:r w:rsidRPr="00B06707">
        <w:rPr>
          <w:lang w:val="fr-FR"/>
        </w:rPr>
        <w:t>, par. 9</w:t>
      </w:r>
      <w:r w:rsidR="002F25FA">
        <w:rPr>
          <w:lang w:val="fr-FR"/>
        </w:rPr>
        <w:t xml:space="preserve"> à </w:t>
      </w:r>
      <w:r w:rsidRPr="00B06707">
        <w:rPr>
          <w:lang w:val="fr-FR"/>
        </w:rPr>
        <w:t>13</w:t>
      </w:r>
      <w:r w:rsidR="002F25FA">
        <w:rPr>
          <w:lang w:val="fr-FR"/>
        </w:rPr>
        <w:t>.</w:t>
      </w:r>
    </w:p>
  </w:footnote>
  <w:footnote w:id="4">
    <w:p w14:paraId="201D79D7" w14:textId="1F408B2E" w:rsidR="00BF7732" w:rsidRPr="00B06707" w:rsidRDefault="00BF7732">
      <w:pPr>
        <w:pStyle w:val="Notedebasdepage"/>
        <w:rPr>
          <w:lang w:val="fr-FR"/>
        </w:rPr>
      </w:pPr>
      <w:r w:rsidRPr="00B06707">
        <w:rPr>
          <w:lang w:val="fr-FR"/>
        </w:rPr>
        <w:tab/>
      </w:r>
      <w:r>
        <w:rPr>
          <w:rStyle w:val="Appelnotedebasdep"/>
        </w:rPr>
        <w:footnoteRef/>
      </w:r>
      <w:r w:rsidRPr="00B06707">
        <w:rPr>
          <w:lang w:val="fr-FR"/>
        </w:rPr>
        <w:tab/>
      </w:r>
      <w:hyperlink r:id="rId3" w:history="1">
        <w:r w:rsidRPr="00CB063E">
          <w:rPr>
            <w:rStyle w:val="Lienhypertexte"/>
            <w:lang w:val="fr-FR"/>
          </w:rPr>
          <w:t>CERD/C/FRA/CO/20-21</w:t>
        </w:r>
      </w:hyperlink>
      <w:r w:rsidRPr="00B06707">
        <w:rPr>
          <w:lang w:val="fr-FR"/>
        </w:rPr>
        <w:t>, par. 5</w:t>
      </w:r>
      <w:r w:rsidR="0006593C">
        <w:rPr>
          <w:lang w:val="fr-FR"/>
        </w:rPr>
        <w:t>.</w:t>
      </w:r>
      <w:r w:rsidRPr="00B06707">
        <w:rPr>
          <w:lang w:val="fr-FR"/>
        </w:rPr>
        <w:t xml:space="preserve"> </w:t>
      </w:r>
    </w:p>
  </w:footnote>
  <w:footnote w:id="5">
    <w:p w14:paraId="747323CC" w14:textId="0A2832B0" w:rsidR="00BF7732" w:rsidRPr="00E7122F" w:rsidRDefault="00BF7732">
      <w:pPr>
        <w:pStyle w:val="Notedebasdepage"/>
        <w:rPr>
          <w:lang w:val="fr-FR"/>
        </w:rPr>
      </w:pPr>
      <w:r w:rsidRPr="00B06707">
        <w:rPr>
          <w:lang w:val="fr-FR"/>
        </w:rPr>
        <w:tab/>
      </w:r>
      <w:r>
        <w:rPr>
          <w:rStyle w:val="Appelnotedebasdep"/>
        </w:rPr>
        <w:footnoteRef/>
      </w:r>
      <w:r w:rsidRPr="00E7122F">
        <w:rPr>
          <w:lang w:val="fr-FR"/>
        </w:rPr>
        <w:tab/>
      </w:r>
      <w:hyperlink r:id="rId4" w:history="1">
        <w:r w:rsidRPr="00CB063E">
          <w:rPr>
            <w:rStyle w:val="Lienhypertexte"/>
            <w:lang w:val="fr-FR"/>
          </w:rPr>
          <w:t>CERD/C/FRA/22-23</w:t>
        </w:r>
      </w:hyperlink>
      <w:r w:rsidRPr="00E7122F">
        <w:rPr>
          <w:lang w:val="fr-FR"/>
        </w:rPr>
        <w:t>, par. 49</w:t>
      </w:r>
      <w:r w:rsidR="003C7FB9">
        <w:rPr>
          <w:lang w:val="fr-FR"/>
        </w:rPr>
        <w:t>.</w:t>
      </w:r>
      <w:r w:rsidRPr="00E7122F">
        <w:rPr>
          <w:lang w:val="fr-FR"/>
        </w:rPr>
        <w:t xml:space="preserve"> </w:t>
      </w:r>
    </w:p>
  </w:footnote>
  <w:footnote w:id="6">
    <w:p w14:paraId="32C0CB84" w14:textId="432D4EA6" w:rsidR="00BF7732" w:rsidRPr="00B06707" w:rsidRDefault="00BF7732">
      <w:pPr>
        <w:pStyle w:val="Notedebasdepage"/>
        <w:rPr>
          <w:lang w:val="fr-FR"/>
        </w:rPr>
      </w:pPr>
      <w:r>
        <w:tab/>
      </w:r>
      <w:r>
        <w:rPr>
          <w:rStyle w:val="Appelnotedebasdep"/>
        </w:rPr>
        <w:footnoteRef/>
      </w:r>
      <w:r w:rsidRPr="00B06707">
        <w:rPr>
          <w:lang w:val="fr-FR"/>
        </w:rPr>
        <w:tab/>
      </w:r>
      <w:hyperlink r:id="rId5" w:history="1">
        <w:r w:rsidRPr="00CB063E">
          <w:rPr>
            <w:rStyle w:val="Lienhypertexte"/>
            <w:lang w:val="fr-FR"/>
          </w:rPr>
          <w:t>CERD/C/FRA/CO/20-21</w:t>
        </w:r>
      </w:hyperlink>
      <w:r w:rsidRPr="00B06707">
        <w:rPr>
          <w:lang w:val="fr-FR"/>
        </w:rPr>
        <w:t>, par. 7</w:t>
      </w:r>
      <w:r w:rsidR="005A7845">
        <w:rPr>
          <w:lang w:val="fr-FR"/>
        </w:rPr>
        <w:t>.</w:t>
      </w:r>
    </w:p>
  </w:footnote>
  <w:footnote w:id="7">
    <w:p w14:paraId="01DE0292" w14:textId="3C2EFF6F" w:rsidR="0094619E" w:rsidRPr="009B3937" w:rsidRDefault="00ED42B4">
      <w:pPr>
        <w:pStyle w:val="Notedebasdepage"/>
        <w:rPr>
          <w:lang w:val="fr-FR"/>
        </w:rPr>
      </w:pPr>
      <w:r>
        <w:tab/>
      </w:r>
      <w:r w:rsidR="0094619E">
        <w:rPr>
          <w:rStyle w:val="Appelnotedebasdep"/>
        </w:rPr>
        <w:footnoteRef/>
      </w:r>
      <w:r w:rsidR="0094619E">
        <w:t xml:space="preserve"> </w:t>
      </w:r>
      <w:r w:rsidR="0094619E">
        <w:tab/>
      </w:r>
      <w:r w:rsidR="0094619E">
        <w:tab/>
      </w:r>
      <w:hyperlink r:id="rId6" w:history="1">
        <w:r w:rsidR="0094619E" w:rsidRPr="00CB063E">
          <w:rPr>
            <w:rStyle w:val="Lienhypertexte"/>
          </w:rPr>
          <w:t>CERD/C/FRA/22-23</w:t>
        </w:r>
      </w:hyperlink>
      <w:r w:rsidR="0094619E">
        <w:t>, par. 79</w:t>
      </w:r>
      <w:r w:rsidR="00435AA5">
        <w:t xml:space="preserve"> et </w:t>
      </w:r>
      <w:r w:rsidR="0094619E">
        <w:t>80</w:t>
      </w:r>
      <w:r w:rsidR="00435AA5">
        <w:t>.</w:t>
      </w:r>
    </w:p>
  </w:footnote>
  <w:footnote w:id="8">
    <w:p w14:paraId="4E0D3F35" w14:textId="7176B57E" w:rsidR="00BF7732" w:rsidRPr="003B27E0" w:rsidRDefault="00BF7732">
      <w:pPr>
        <w:pStyle w:val="Notedebasdepage"/>
        <w:rPr>
          <w:lang w:val="fr-FR"/>
        </w:rPr>
      </w:pPr>
      <w:r>
        <w:tab/>
      </w:r>
      <w:r>
        <w:rPr>
          <w:rStyle w:val="Appelnotedebasdep"/>
        </w:rPr>
        <w:footnoteRef/>
      </w:r>
      <w:r>
        <w:t xml:space="preserve"> </w:t>
      </w:r>
      <w:r>
        <w:tab/>
      </w:r>
      <w:r w:rsidR="00E9526A">
        <w:rPr>
          <w:lang w:val="fr-FR"/>
        </w:rPr>
        <w:t>Ibid.</w:t>
      </w:r>
      <w:r w:rsidRPr="003B27E0">
        <w:rPr>
          <w:lang w:val="fr-FR"/>
        </w:rPr>
        <w:t>, par. 22</w:t>
      </w:r>
      <w:r w:rsidR="00E9526A">
        <w:rPr>
          <w:lang w:val="fr-FR"/>
        </w:rPr>
        <w:t xml:space="preserve"> et </w:t>
      </w:r>
      <w:r w:rsidRPr="003B27E0">
        <w:rPr>
          <w:lang w:val="fr-FR"/>
        </w:rPr>
        <w:t>23</w:t>
      </w:r>
      <w:r w:rsidR="00E9526A">
        <w:rPr>
          <w:lang w:val="fr-FR"/>
        </w:rPr>
        <w:t>.</w:t>
      </w:r>
    </w:p>
  </w:footnote>
  <w:footnote w:id="9">
    <w:p w14:paraId="61AA16DD" w14:textId="76EA9C27" w:rsidR="00BF7732" w:rsidRPr="00120DD6" w:rsidRDefault="00BF7732">
      <w:pPr>
        <w:pStyle w:val="Notedebasdepage"/>
        <w:rPr>
          <w:lang w:val="fr-FR"/>
        </w:rPr>
      </w:pPr>
      <w:r>
        <w:tab/>
      </w:r>
      <w:r>
        <w:rPr>
          <w:rStyle w:val="Appelnotedebasdep"/>
        </w:rPr>
        <w:footnoteRef/>
      </w:r>
      <w:r>
        <w:tab/>
      </w:r>
      <w:r w:rsidR="00273BAD">
        <w:t>Ibid.</w:t>
      </w:r>
      <w:r>
        <w:t>, par.</w:t>
      </w:r>
      <w:r w:rsidR="00273BAD">
        <w:t> </w:t>
      </w:r>
      <w:r>
        <w:t>127</w:t>
      </w:r>
      <w:r w:rsidR="00273BAD">
        <w:t>.</w:t>
      </w:r>
    </w:p>
  </w:footnote>
  <w:footnote w:id="10">
    <w:p w14:paraId="07002078" w14:textId="3213DCE7" w:rsidR="00BF7732" w:rsidRPr="00A174B6" w:rsidRDefault="00BF7732">
      <w:pPr>
        <w:pStyle w:val="Notedebasdepage"/>
        <w:rPr>
          <w:lang w:val="fr-FR"/>
        </w:rPr>
      </w:pPr>
      <w:r>
        <w:tab/>
      </w:r>
      <w:r>
        <w:rPr>
          <w:rStyle w:val="Appelnotedebasdep"/>
        </w:rPr>
        <w:footnoteRef/>
      </w:r>
      <w:r>
        <w:t xml:space="preserve"> </w:t>
      </w:r>
      <w:r>
        <w:tab/>
      </w:r>
      <w:r>
        <w:tab/>
      </w:r>
      <w:r w:rsidR="00095750">
        <w:rPr>
          <w:lang w:val="fr-FR"/>
        </w:rPr>
        <w:t>Ibid.</w:t>
      </w:r>
      <w:r>
        <w:rPr>
          <w:lang w:val="fr-FR"/>
        </w:rPr>
        <w:t>, par. 131</w:t>
      </w:r>
      <w:r w:rsidR="00095750">
        <w:rPr>
          <w:lang w:val="fr-FR"/>
        </w:rPr>
        <w:t>.</w:t>
      </w:r>
    </w:p>
  </w:footnote>
  <w:footnote w:id="11">
    <w:p w14:paraId="6231FC89" w14:textId="220DE994" w:rsidR="00B06707" w:rsidRPr="00F55F34" w:rsidRDefault="00B06707" w:rsidP="00B06707">
      <w:pPr>
        <w:pStyle w:val="Notedebasdepage"/>
        <w:ind w:left="0" w:firstLine="0"/>
        <w:rPr>
          <w:lang w:val="fr-FR"/>
        </w:rPr>
      </w:pPr>
      <w:r w:rsidRPr="00F55F34">
        <w:rPr>
          <w:lang w:val="fr-FR"/>
        </w:rPr>
        <w:tab/>
      </w:r>
      <w:r w:rsidRPr="009B198F">
        <w:rPr>
          <w:rStyle w:val="Appelnotedebasdep"/>
        </w:rPr>
        <w:footnoteRef/>
      </w:r>
      <w:r>
        <w:rPr>
          <w:lang w:val="fr-FR"/>
        </w:rPr>
        <w:tab/>
      </w:r>
      <w:r w:rsidR="00E24F68">
        <w:rPr>
          <w:lang w:val="fr-FR"/>
        </w:rPr>
        <w:t>Ibid.</w:t>
      </w:r>
      <w:r>
        <w:rPr>
          <w:lang w:val="fr-FR"/>
        </w:rPr>
        <w:t>, par.</w:t>
      </w:r>
      <w:r w:rsidRPr="00F55F34">
        <w:rPr>
          <w:lang w:val="fr-FR"/>
        </w:rPr>
        <w:t xml:space="preserve"> 133</w:t>
      </w:r>
      <w:r w:rsidR="00E24F68">
        <w:rPr>
          <w:lang w:val="fr-FR"/>
        </w:rPr>
        <w:t>.</w:t>
      </w:r>
    </w:p>
  </w:footnote>
  <w:footnote w:id="12">
    <w:p w14:paraId="72EADBD6" w14:textId="0046459A" w:rsidR="00BF7732" w:rsidRPr="00F55F34" w:rsidRDefault="00BF7732">
      <w:pPr>
        <w:pStyle w:val="Notedebasdepage"/>
        <w:rPr>
          <w:lang w:val="fr-FR"/>
        </w:rPr>
      </w:pPr>
      <w:r w:rsidRPr="00F55F34">
        <w:rPr>
          <w:lang w:val="fr-FR"/>
        </w:rPr>
        <w:tab/>
      </w:r>
      <w:r>
        <w:rPr>
          <w:rStyle w:val="Appelnotedebasdep"/>
        </w:rPr>
        <w:footnoteRef/>
      </w:r>
      <w:r>
        <w:rPr>
          <w:lang w:val="fr-FR"/>
        </w:rPr>
        <w:tab/>
      </w:r>
      <w:r w:rsidR="006514E8">
        <w:rPr>
          <w:lang w:val="fr-FR"/>
        </w:rPr>
        <w:t>Ibid.</w:t>
      </w:r>
      <w:r>
        <w:rPr>
          <w:lang w:val="fr-FR"/>
        </w:rPr>
        <w:t>, par.</w:t>
      </w:r>
      <w:r w:rsidRPr="00F55F34">
        <w:rPr>
          <w:lang w:val="fr-FR"/>
        </w:rPr>
        <w:t xml:space="preserve"> 16</w:t>
      </w:r>
      <w:r w:rsidR="006514E8">
        <w:rPr>
          <w:lang w:val="fr-FR"/>
        </w:rPr>
        <w:t>9.</w:t>
      </w:r>
      <w:r w:rsidRPr="00F55F34">
        <w:rPr>
          <w:lang w:val="fr-FR"/>
        </w:rPr>
        <w:t xml:space="preserve"> </w:t>
      </w:r>
    </w:p>
  </w:footnote>
  <w:footnote w:id="13">
    <w:p w14:paraId="554C3E3D" w14:textId="720A29F3" w:rsidR="00BF7732" w:rsidRPr="0011187B" w:rsidRDefault="00BF7732">
      <w:pPr>
        <w:pStyle w:val="Notedebasdepage"/>
        <w:rPr>
          <w:lang w:val="fr-FR"/>
        </w:rPr>
      </w:pPr>
      <w:r>
        <w:tab/>
      </w:r>
      <w:r>
        <w:rPr>
          <w:rStyle w:val="Appelnotedebasdep"/>
        </w:rPr>
        <w:footnoteRef/>
      </w:r>
      <w:r>
        <w:t xml:space="preserve"> </w:t>
      </w:r>
      <w:r>
        <w:tab/>
      </w:r>
      <w:r>
        <w:tab/>
      </w:r>
      <w:hyperlink r:id="rId7" w:history="1">
        <w:r w:rsidRPr="00CB063E">
          <w:rPr>
            <w:rStyle w:val="Lienhypertexte"/>
            <w:lang w:val="fr-FR"/>
          </w:rPr>
          <w:t>CERD/C/FRA/CO/20-21</w:t>
        </w:r>
      </w:hyperlink>
      <w:r w:rsidRPr="0011187B">
        <w:rPr>
          <w:lang w:val="fr-FR"/>
        </w:rPr>
        <w:t>, par. 12</w:t>
      </w:r>
      <w:r w:rsidR="00C621D1">
        <w:rPr>
          <w:lang w:val="fr-FR"/>
        </w:rPr>
        <w:t>.</w:t>
      </w:r>
      <w:r w:rsidRPr="0011187B">
        <w:rPr>
          <w:lang w:val="fr-FR"/>
        </w:rPr>
        <w:t xml:space="preserve"> </w:t>
      </w:r>
    </w:p>
  </w:footnote>
  <w:footnote w:id="14">
    <w:p w14:paraId="15552D92" w14:textId="0AF84D4F" w:rsidR="00BF7732" w:rsidRPr="00E74F16" w:rsidRDefault="00BF7732">
      <w:pPr>
        <w:pStyle w:val="Notedebasdepage"/>
        <w:rPr>
          <w:lang w:val="fr-FR"/>
        </w:rPr>
      </w:pPr>
      <w:r>
        <w:tab/>
      </w:r>
      <w:r>
        <w:rPr>
          <w:rStyle w:val="Appelnotedebasdep"/>
        </w:rPr>
        <w:footnoteRef/>
      </w:r>
      <w:r>
        <w:t xml:space="preserve"> </w:t>
      </w:r>
      <w:r>
        <w:tab/>
      </w:r>
      <w:r>
        <w:tab/>
      </w:r>
      <w:hyperlink r:id="rId8" w:history="1">
        <w:r w:rsidRPr="00CB063E">
          <w:rPr>
            <w:rStyle w:val="Lienhypertexte"/>
            <w:lang w:val="fr-FR"/>
          </w:rPr>
          <w:t>CERD/C/FRA/22-23</w:t>
        </w:r>
      </w:hyperlink>
      <w:r w:rsidRPr="00E74F16">
        <w:rPr>
          <w:lang w:val="fr-FR"/>
        </w:rPr>
        <w:t xml:space="preserve">, par. </w:t>
      </w:r>
      <w:r>
        <w:rPr>
          <w:lang w:val="fr-FR"/>
        </w:rPr>
        <w:t>201</w:t>
      </w:r>
      <w:r w:rsidR="001F4B76">
        <w:rPr>
          <w:lang w:val="fr-FR"/>
        </w:rPr>
        <w:t>.</w:t>
      </w:r>
    </w:p>
  </w:footnote>
  <w:footnote w:id="15">
    <w:p w14:paraId="263F1308" w14:textId="5764F432" w:rsidR="00B23464" w:rsidRPr="00B23464" w:rsidRDefault="00B23464">
      <w:pPr>
        <w:pStyle w:val="Notedebasdepage"/>
        <w:rPr>
          <w:lang w:val="fr-FR"/>
        </w:rPr>
      </w:pPr>
      <w:r>
        <w:tab/>
      </w:r>
      <w:r>
        <w:rPr>
          <w:rStyle w:val="Appelnotedebasdep"/>
        </w:rPr>
        <w:footnoteRef/>
      </w:r>
      <w:r>
        <w:t xml:space="preserve"> </w:t>
      </w:r>
      <w:r>
        <w:tab/>
      </w:r>
      <w:r>
        <w:tab/>
      </w:r>
      <w:r w:rsidR="00F76509">
        <w:rPr>
          <w:lang w:val="fr-FR"/>
        </w:rPr>
        <w:t>Ibid.</w:t>
      </w:r>
      <w:r w:rsidRPr="00B23464">
        <w:rPr>
          <w:lang w:val="fr-FR"/>
        </w:rPr>
        <w:t>, par. 151</w:t>
      </w:r>
      <w:r w:rsidR="00F76509">
        <w:rPr>
          <w:lang w:val="fr-FR"/>
        </w:rPr>
        <w:t xml:space="preserve"> à </w:t>
      </w:r>
      <w:r w:rsidRPr="00B23464">
        <w:rPr>
          <w:lang w:val="fr-FR"/>
        </w:rPr>
        <w:t>155</w:t>
      </w:r>
      <w:r w:rsidR="00F76509">
        <w:rPr>
          <w:lang w:val="fr-FR"/>
        </w:rPr>
        <w:t>.</w:t>
      </w:r>
    </w:p>
  </w:footnote>
  <w:footnote w:id="16">
    <w:p w14:paraId="10F1EF01" w14:textId="2913A219" w:rsidR="00BF7732" w:rsidRPr="005B5B29" w:rsidRDefault="00BF7732" w:rsidP="008A7602">
      <w:pPr>
        <w:pStyle w:val="Notedebasdepage"/>
      </w:pPr>
      <w:r w:rsidRPr="00CB063E">
        <w:rPr>
          <w:lang w:val="fr-FR"/>
        </w:rPr>
        <w:tab/>
      </w:r>
      <w:r>
        <w:rPr>
          <w:rStyle w:val="Appelnotedebasdep"/>
        </w:rPr>
        <w:footnoteRef/>
      </w:r>
      <w:r w:rsidRPr="00CB063E">
        <w:rPr>
          <w:lang w:val="fr-FR"/>
        </w:rPr>
        <w:t xml:space="preserve"> </w:t>
      </w:r>
      <w:r w:rsidRPr="00CB063E">
        <w:rPr>
          <w:lang w:val="fr-FR"/>
        </w:rPr>
        <w:tab/>
      </w:r>
      <w:r w:rsidRPr="00CB063E">
        <w:rPr>
          <w:lang w:val="fr-FR"/>
        </w:rPr>
        <w:tab/>
      </w:r>
      <w:r w:rsidR="003C526E" w:rsidRPr="00CB063E">
        <w:rPr>
          <w:lang w:val="fr-FR"/>
        </w:rPr>
        <w:t>Ibid.</w:t>
      </w:r>
      <w:r w:rsidRPr="00CB063E">
        <w:rPr>
          <w:lang w:val="fr-FR"/>
        </w:rPr>
        <w:t>, par</w:t>
      </w:r>
      <w:r w:rsidR="003C526E" w:rsidRPr="00CB063E">
        <w:rPr>
          <w:lang w:val="fr-FR"/>
        </w:rPr>
        <w:t>.</w:t>
      </w:r>
      <w:r w:rsidRPr="00CB063E">
        <w:rPr>
          <w:lang w:val="fr-FR"/>
        </w:rPr>
        <w:t xml:space="preserve"> </w:t>
      </w:r>
      <w:r w:rsidRPr="005B5B29">
        <w:t>62</w:t>
      </w:r>
      <w:r w:rsidR="003C526E" w:rsidRPr="005B5B2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5CFEB" w14:textId="028E82A2" w:rsidR="00BF7732" w:rsidRPr="009E3434" w:rsidRDefault="00BF7732" w:rsidP="009E3434">
    <w:pPr>
      <w:pStyle w:val="En-tte"/>
      <w:rPr>
        <w:lang w:val="en-GB"/>
      </w:rPr>
    </w:pPr>
    <w:r>
      <w:rPr>
        <w:lang w:val="en-GB"/>
      </w:rPr>
      <w:t>CERD/C/FRA/Q/22-23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15081" w14:textId="78F9DD15" w:rsidR="00BF7732" w:rsidRPr="006B5194" w:rsidRDefault="00BF7732" w:rsidP="006B5194">
    <w:pPr>
      <w:pStyle w:val="En-tte"/>
      <w:jc w:val="right"/>
      <w:rPr>
        <w:lang w:val="en-GB"/>
      </w:rPr>
    </w:pPr>
    <w:r>
      <w:rPr>
        <w:lang w:val="en-GB"/>
      </w:rPr>
      <w:t>CERD/C/FRA/Q/22-23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C70739"/>
    <w:multiLevelType w:val="multilevel"/>
    <w:tmpl w:val="9DE62C7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AA16A95"/>
    <w:multiLevelType w:val="multilevel"/>
    <w:tmpl w:val="625CDD6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D954887"/>
    <w:multiLevelType w:val="hybridMultilevel"/>
    <w:tmpl w:val="6E24C11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755464"/>
    <w:multiLevelType w:val="hybridMultilevel"/>
    <w:tmpl w:val="AF8AE74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6DD4AD1"/>
    <w:multiLevelType w:val="multilevel"/>
    <w:tmpl w:val="DB668FF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264941"/>
    <w:multiLevelType w:val="multilevel"/>
    <w:tmpl w:val="1412797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426729F"/>
    <w:multiLevelType w:val="multilevel"/>
    <w:tmpl w:val="07DCF9F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3D9439F"/>
    <w:multiLevelType w:val="multilevel"/>
    <w:tmpl w:val="CC603BE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40851F0"/>
    <w:multiLevelType w:val="multilevel"/>
    <w:tmpl w:val="69E6F6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9C2075C"/>
    <w:multiLevelType w:val="multilevel"/>
    <w:tmpl w:val="297A823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ACF4EB2"/>
    <w:multiLevelType w:val="hybridMultilevel"/>
    <w:tmpl w:val="AE82671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C6506D4"/>
    <w:multiLevelType w:val="multilevel"/>
    <w:tmpl w:val="23D2824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A0A0275"/>
    <w:multiLevelType w:val="multilevel"/>
    <w:tmpl w:val="EC04FBA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E047E8"/>
    <w:multiLevelType w:val="multilevel"/>
    <w:tmpl w:val="C4F8D5D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7557C3F"/>
    <w:multiLevelType w:val="multilevel"/>
    <w:tmpl w:val="7E2CC99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8AD07B2"/>
    <w:multiLevelType w:val="hybridMultilevel"/>
    <w:tmpl w:val="36D631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ADD6382"/>
    <w:multiLevelType w:val="multilevel"/>
    <w:tmpl w:val="90B6017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04D17E9"/>
    <w:multiLevelType w:val="hybridMultilevel"/>
    <w:tmpl w:val="59CC419E"/>
    <w:lvl w:ilvl="0" w:tplc="A03A418C">
      <w:start w:val="1"/>
      <w:numFmt w:val="decimal"/>
      <w:lvlText w:val="%1."/>
      <w:lvlJc w:val="left"/>
      <w:pPr>
        <w:ind w:left="720" w:hanging="360"/>
      </w:pPr>
      <w:rPr>
        <w:sz w:val="20"/>
        <w:szCs w:val="20"/>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8650839"/>
    <w:multiLevelType w:val="multilevel"/>
    <w:tmpl w:val="683A16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DC24077"/>
    <w:multiLevelType w:val="hybridMultilevel"/>
    <w:tmpl w:val="E860592C"/>
    <w:lvl w:ilvl="0" w:tplc="9CB2E8A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25"/>
  </w:num>
  <w:num w:numId="2">
    <w:abstractNumId w:val="20"/>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5"/>
  </w:num>
  <w:num w:numId="15">
    <w:abstractNumId w:val="20"/>
  </w:num>
  <w:num w:numId="16">
    <w:abstractNumId w:val="12"/>
  </w:num>
  <w:num w:numId="17">
    <w:abstractNumId w:val="18"/>
  </w:num>
  <w:num w:numId="18">
    <w:abstractNumId w:val="28"/>
  </w:num>
  <w:num w:numId="19">
    <w:abstractNumId w:val="21"/>
  </w:num>
  <w:num w:numId="20">
    <w:abstractNumId w:val="19"/>
  </w:num>
  <w:num w:numId="21">
    <w:abstractNumId w:val="24"/>
  </w:num>
  <w:num w:numId="22">
    <w:abstractNumId w:val="17"/>
  </w:num>
  <w:num w:numId="23">
    <w:abstractNumId w:val="11"/>
  </w:num>
  <w:num w:numId="24">
    <w:abstractNumId w:val="23"/>
  </w:num>
  <w:num w:numId="25">
    <w:abstractNumId w:val="16"/>
  </w:num>
  <w:num w:numId="26">
    <w:abstractNumId w:val="10"/>
  </w:num>
  <w:num w:numId="27">
    <w:abstractNumId w:val="22"/>
  </w:num>
  <w:num w:numId="28">
    <w:abstractNumId w:val="15"/>
  </w:num>
  <w:num w:numId="29">
    <w:abstractNumId w:val="14"/>
  </w:num>
  <w:num w:numId="30">
    <w:abstractNumId w:val="26"/>
  </w:num>
  <w:num w:numId="31">
    <w:abstractNumId w:val="13"/>
  </w:num>
  <w:num w:numId="32">
    <w:abstractNumId w:val="27"/>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fr-CH" w:vendorID="64" w:dllVersion="6" w:nlCheck="1" w:checkStyle="0"/>
  <w:activeWritingStyle w:appName="MSWord" w:lang="fr-FR" w:vendorID="64" w:dllVersion="6" w:nlCheck="1" w:checkStyle="0"/>
  <w:activeWritingStyle w:appName="MSWord" w:lang="fr-CH" w:vendorID="64" w:dllVersion="0" w:nlCheck="1" w:checkStyle="0"/>
  <w:activeWritingStyle w:appName="MSWord" w:lang="en-GB" w:vendorID="64" w:dllVersion="0" w:nlCheck="1" w:checkStyle="0"/>
  <w:activeWritingStyle w:appName="MSWord" w:lang="fr-FR" w:vendorID="64" w:dllVersion="0" w:nlCheck="1" w:checkStyle="0"/>
  <w:activeWritingStyle w:appName="MSWord" w:lang="en-GB" w:vendorID="64" w:dllVersion="6" w:nlCheck="1" w:checkStyle="0"/>
  <w:activeWritingStyle w:appName="MSWord" w:lang="es-419" w:vendorID="64" w:dllVersion="6" w:nlCheck="1" w:checkStyle="0"/>
  <w:proofState w:spelling="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AA9"/>
    <w:rsid w:val="00034CAA"/>
    <w:rsid w:val="00057BAC"/>
    <w:rsid w:val="000622FB"/>
    <w:rsid w:val="0006593C"/>
    <w:rsid w:val="00074DD5"/>
    <w:rsid w:val="00095750"/>
    <w:rsid w:val="000A7D7F"/>
    <w:rsid w:val="000B62D9"/>
    <w:rsid w:val="000C2387"/>
    <w:rsid w:val="000C3C6E"/>
    <w:rsid w:val="000C7785"/>
    <w:rsid w:val="000E10C5"/>
    <w:rsid w:val="000E1D47"/>
    <w:rsid w:val="000E4CE3"/>
    <w:rsid w:val="000E6936"/>
    <w:rsid w:val="000F6E32"/>
    <w:rsid w:val="0011187B"/>
    <w:rsid w:val="001128C1"/>
    <w:rsid w:val="00120DD6"/>
    <w:rsid w:val="00125746"/>
    <w:rsid w:val="00136896"/>
    <w:rsid w:val="00166E57"/>
    <w:rsid w:val="001A4187"/>
    <w:rsid w:val="001B1418"/>
    <w:rsid w:val="001C6DDA"/>
    <w:rsid w:val="001D1B50"/>
    <w:rsid w:val="001E1E42"/>
    <w:rsid w:val="001E2111"/>
    <w:rsid w:val="001E4037"/>
    <w:rsid w:val="001F4B76"/>
    <w:rsid w:val="00207A43"/>
    <w:rsid w:val="002240E1"/>
    <w:rsid w:val="0026251C"/>
    <w:rsid w:val="0026462A"/>
    <w:rsid w:val="00273BAD"/>
    <w:rsid w:val="002849FD"/>
    <w:rsid w:val="00286CC5"/>
    <w:rsid w:val="00297F99"/>
    <w:rsid w:val="002A1D2A"/>
    <w:rsid w:val="002C4E03"/>
    <w:rsid w:val="002E3E12"/>
    <w:rsid w:val="002E60BF"/>
    <w:rsid w:val="002F25FA"/>
    <w:rsid w:val="002F2B4A"/>
    <w:rsid w:val="00326718"/>
    <w:rsid w:val="003326A4"/>
    <w:rsid w:val="003366CB"/>
    <w:rsid w:val="00342D18"/>
    <w:rsid w:val="00363117"/>
    <w:rsid w:val="00375281"/>
    <w:rsid w:val="0037639E"/>
    <w:rsid w:val="00386FEC"/>
    <w:rsid w:val="003A6CCD"/>
    <w:rsid w:val="003B27E0"/>
    <w:rsid w:val="003C526E"/>
    <w:rsid w:val="003C5409"/>
    <w:rsid w:val="003C655A"/>
    <w:rsid w:val="003C7FB9"/>
    <w:rsid w:val="00416422"/>
    <w:rsid w:val="0042061E"/>
    <w:rsid w:val="0043255C"/>
    <w:rsid w:val="00435AA5"/>
    <w:rsid w:val="00443125"/>
    <w:rsid w:val="00483DD4"/>
    <w:rsid w:val="00495273"/>
    <w:rsid w:val="004952A7"/>
    <w:rsid w:val="0049558D"/>
    <w:rsid w:val="0049648B"/>
    <w:rsid w:val="004B5A2C"/>
    <w:rsid w:val="004C36F6"/>
    <w:rsid w:val="004E325D"/>
    <w:rsid w:val="00537D65"/>
    <w:rsid w:val="00541F9B"/>
    <w:rsid w:val="00551296"/>
    <w:rsid w:val="00564AB9"/>
    <w:rsid w:val="005812EE"/>
    <w:rsid w:val="005A7845"/>
    <w:rsid w:val="005B5B29"/>
    <w:rsid w:val="005E5E81"/>
    <w:rsid w:val="006027E8"/>
    <w:rsid w:val="006055EC"/>
    <w:rsid w:val="00625454"/>
    <w:rsid w:val="00641D6E"/>
    <w:rsid w:val="006514E8"/>
    <w:rsid w:val="00654E49"/>
    <w:rsid w:val="00661512"/>
    <w:rsid w:val="00664653"/>
    <w:rsid w:val="006B0A91"/>
    <w:rsid w:val="006B5194"/>
    <w:rsid w:val="006C1E0A"/>
    <w:rsid w:val="006C624E"/>
    <w:rsid w:val="006E058A"/>
    <w:rsid w:val="006E4C55"/>
    <w:rsid w:val="006E7D4E"/>
    <w:rsid w:val="006F45DD"/>
    <w:rsid w:val="00702C14"/>
    <w:rsid w:val="007115FF"/>
    <w:rsid w:val="007255BC"/>
    <w:rsid w:val="0072630C"/>
    <w:rsid w:val="007471F1"/>
    <w:rsid w:val="00756A35"/>
    <w:rsid w:val="007576FD"/>
    <w:rsid w:val="0076449C"/>
    <w:rsid w:val="00770CAC"/>
    <w:rsid w:val="0078104C"/>
    <w:rsid w:val="007835F8"/>
    <w:rsid w:val="007B7610"/>
    <w:rsid w:val="007C5877"/>
    <w:rsid w:val="007D24F1"/>
    <w:rsid w:val="007D35DB"/>
    <w:rsid w:val="007D3BB7"/>
    <w:rsid w:val="007E1960"/>
    <w:rsid w:val="007E5C30"/>
    <w:rsid w:val="007F76A8"/>
    <w:rsid w:val="00801D40"/>
    <w:rsid w:val="00896CDF"/>
    <w:rsid w:val="008A7602"/>
    <w:rsid w:val="008B09DF"/>
    <w:rsid w:val="008D0F61"/>
    <w:rsid w:val="008D3C4A"/>
    <w:rsid w:val="009133E5"/>
    <w:rsid w:val="00942D74"/>
    <w:rsid w:val="0094619E"/>
    <w:rsid w:val="009676B7"/>
    <w:rsid w:val="00985122"/>
    <w:rsid w:val="009A5C5C"/>
    <w:rsid w:val="009A71D3"/>
    <w:rsid w:val="009B198F"/>
    <w:rsid w:val="009B3937"/>
    <w:rsid w:val="009B3F60"/>
    <w:rsid w:val="009C4D73"/>
    <w:rsid w:val="009D6AA9"/>
    <w:rsid w:val="009E114E"/>
    <w:rsid w:val="009E3434"/>
    <w:rsid w:val="00A174B6"/>
    <w:rsid w:val="00A20918"/>
    <w:rsid w:val="00A2426F"/>
    <w:rsid w:val="00A273F3"/>
    <w:rsid w:val="00A2791B"/>
    <w:rsid w:val="00A52C63"/>
    <w:rsid w:val="00A5383D"/>
    <w:rsid w:val="00A67539"/>
    <w:rsid w:val="00A75DE2"/>
    <w:rsid w:val="00A803DC"/>
    <w:rsid w:val="00A84DFD"/>
    <w:rsid w:val="00A866B1"/>
    <w:rsid w:val="00A90A74"/>
    <w:rsid w:val="00A94B50"/>
    <w:rsid w:val="00AC1E8F"/>
    <w:rsid w:val="00AD17B7"/>
    <w:rsid w:val="00AE34F3"/>
    <w:rsid w:val="00AF5B61"/>
    <w:rsid w:val="00B06707"/>
    <w:rsid w:val="00B23464"/>
    <w:rsid w:val="00B60232"/>
    <w:rsid w:val="00B634D7"/>
    <w:rsid w:val="00B658D6"/>
    <w:rsid w:val="00B66D48"/>
    <w:rsid w:val="00BA6B08"/>
    <w:rsid w:val="00BD25CD"/>
    <w:rsid w:val="00BD30D9"/>
    <w:rsid w:val="00BF20ED"/>
    <w:rsid w:val="00BF7732"/>
    <w:rsid w:val="00C07360"/>
    <w:rsid w:val="00C07A9B"/>
    <w:rsid w:val="00C17327"/>
    <w:rsid w:val="00C20A77"/>
    <w:rsid w:val="00C24F60"/>
    <w:rsid w:val="00C311E7"/>
    <w:rsid w:val="00C31E9B"/>
    <w:rsid w:val="00C332A6"/>
    <w:rsid w:val="00C621D1"/>
    <w:rsid w:val="00C766C2"/>
    <w:rsid w:val="00C821B0"/>
    <w:rsid w:val="00C82A20"/>
    <w:rsid w:val="00C94B76"/>
    <w:rsid w:val="00CB063E"/>
    <w:rsid w:val="00CB3D12"/>
    <w:rsid w:val="00D03EEA"/>
    <w:rsid w:val="00D06BA9"/>
    <w:rsid w:val="00D07ABA"/>
    <w:rsid w:val="00D1045A"/>
    <w:rsid w:val="00D15832"/>
    <w:rsid w:val="00D246D7"/>
    <w:rsid w:val="00D40E56"/>
    <w:rsid w:val="00D41E2E"/>
    <w:rsid w:val="00D44DB8"/>
    <w:rsid w:val="00D5144E"/>
    <w:rsid w:val="00D76EC9"/>
    <w:rsid w:val="00D80307"/>
    <w:rsid w:val="00D87D1A"/>
    <w:rsid w:val="00D96711"/>
    <w:rsid w:val="00DB5CFA"/>
    <w:rsid w:val="00DC10DC"/>
    <w:rsid w:val="00DC1B87"/>
    <w:rsid w:val="00DD4DE8"/>
    <w:rsid w:val="00DE602E"/>
    <w:rsid w:val="00DF12DB"/>
    <w:rsid w:val="00E14725"/>
    <w:rsid w:val="00E24F68"/>
    <w:rsid w:val="00E3023D"/>
    <w:rsid w:val="00E306B7"/>
    <w:rsid w:val="00E42871"/>
    <w:rsid w:val="00E43FD4"/>
    <w:rsid w:val="00E56A8B"/>
    <w:rsid w:val="00E6642E"/>
    <w:rsid w:val="00E7122F"/>
    <w:rsid w:val="00E74F16"/>
    <w:rsid w:val="00E91997"/>
    <w:rsid w:val="00E9526A"/>
    <w:rsid w:val="00E95790"/>
    <w:rsid w:val="00E967E0"/>
    <w:rsid w:val="00EA7701"/>
    <w:rsid w:val="00EB207C"/>
    <w:rsid w:val="00EB39B9"/>
    <w:rsid w:val="00EC6C68"/>
    <w:rsid w:val="00ED42B4"/>
    <w:rsid w:val="00EE30BF"/>
    <w:rsid w:val="00EE462E"/>
    <w:rsid w:val="00EF6E81"/>
    <w:rsid w:val="00F02C2E"/>
    <w:rsid w:val="00F035FF"/>
    <w:rsid w:val="00F046F0"/>
    <w:rsid w:val="00F2087E"/>
    <w:rsid w:val="00F31D99"/>
    <w:rsid w:val="00F374FA"/>
    <w:rsid w:val="00F37BB5"/>
    <w:rsid w:val="00F420A7"/>
    <w:rsid w:val="00F430E0"/>
    <w:rsid w:val="00F5229C"/>
    <w:rsid w:val="00F55F34"/>
    <w:rsid w:val="00F572C2"/>
    <w:rsid w:val="00F618D7"/>
    <w:rsid w:val="00F72BCF"/>
    <w:rsid w:val="00F76509"/>
    <w:rsid w:val="00F83517"/>
    <w:rsid w:val="00FD1610"/>
    <w:rsid w:val="00FD51C7"/>
    <w:rsid w:val="00FF36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A559FF"/>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pPr>
      <w:pBdr>
        <w:bottom w:val="single" w:sz="4" w:space="4" w:color="auto"/>
      </w:pBdr>
      <w:spacing w:line="240" w:lineRule="auto"/>
    </w:pPr>
    <w:rPr>
      <w:b/>
      <w:sz w:val="18"/>
    </w:rPr>
  </w:style>
  <w:style w:type="character" w:customStyle="1" w:styleId="En-tteCar">
    <w:name w:val="En-tête Car"/>
    <w:aliases w:val="6_G Car"/>
    <w:basedOn w:val="Policepardfaut"/>
    <w:link w:val="En-tte"/>
    <w:rPr>
      <w:rFonts w:ascii="Times New Roman" w:hAnsi="Times New Roman" w:cs="Times New Roman"/>
      <w:b/>
      <w:sz w:val="18"/>
      <w:szCs w:val="20"/>
    </w:rPr>
  </w:style>
  <w:style w:type="paragraph" w:styleId="Pieddepage">
    <w:name w:val="footer"/>
    <w:aliases w:val="3_G"/>
    <w:basedOn w:val="Normal"/>
    <w:next w:val="Normal"/>
    <w:link w:val="PieddepageCar"/>
    <w:qFormat/>
    <w:pPr>
      <w:spacing w:line="240" w:lineRule="auto"/>
    </w:pPr>
    <w:rPr>
      <w:sz w:val="16"/>
    </w:rPr>
  </w:style>
  <w:style w:type="character" w:customStyle="1" w:styleId="PieddepageCar">
    <w:name w:val="Pied de page Car"/>
    <w:aliases w:val="3_G Car"/>
    <w:basedOn w:val="Policepardfaut"/>
    <w:link w:val="Pieddepage"/>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 w:type="character" w:styleId="Marquedecommentaire">
    <w:name w:val="annotation reference"/>
    <w:basedOn w:val="Policepardfaut"/>
    <w:uiPriority w:val="99"/>
    <w:semiHidden/>
    <w:unhideWhenUsed/>
    <w:rsid w:val="00E95790"/>
    <w:rPr>
      <w:sz w:val="16"/>
      <w:szCs w:val="16"/>
    </w:rPr>
  </w:style>
  <w:style w:type="paragraph" w:styleId="Commentaire">
    <w:name w:val="annotation text"/>
    <w:basedOn w:val="Normal"/>
    <w:link w:val="CommentaireCar"/>
    <w:uiPriority w:val="99"/>
    <w:semiHidden/>
    <w:unhideWhenUsed/>
    <w:rsid w:val="00E95790"/>
    <w:pPr>
      <w:spacing w:line="240" w:lineRule="auto"/>
    </w:pPr>
  </w:style>
  <w:style w:type="character" w:customStyle="1" w:styleId="CommentaireCar">
    <w:name w:val="Commentaire Car"/>
    <w:basedOn w:val="Policepardfaut"/>
    <w:link w:val="Commentaire"/>
    <w:uiPriority w:val="99"/>
    <w:semiHidden/>
    <w:rsid w:val="00E95790"/>
    <w:rPr>
      <w:rFonts w:ascii="Times New Roman" w:hAnsi="Times New Roman" w:cs="Times New Roman"/>
      <w:sz w:val="20"/>
      <w:szCs w:val="20"/>
    </w:rPr>
  </w:style>
  <w:style w:type="paragraph" w:styleId="Objetducommentaire">
    <w:name w:val="annotation subject"/>
    <w:basedOn w:val="Commentaire"/>
    <w:next w:val="Commentaire"/>
    <w:link w:val="ObjetducommentaireCar"/>
    <w:uiPriority w:val="99"/>
    <w:semiHidden/>
    <w:unhideWhenUsed/>
    <w:rsid w:val="00E95790"/>
    <w:rPr>
      <w:b/>
      <w:bCs/>
    </w:rPr>
  </w:style>
  <w:style w:type="character" w:customStyle="1" w:styleId="ObjetducommentaireCar">
    <w:name w:val="Objet du commentaire Car"/>
    <w:basedOn w:val="CommentaireCar"/>
    <w:link w:val="Objetducommentaire"/>
    <w:uiPriority w:val="99"/>
    <w:semiHidden/>
    <w:rsid w:val="00E95790"/>
    <w:rPr>
      <w:rFonts w:ascii="Times New Roman" w:hAnsi="Times New Roman" w:cs="Times New Roman"/>
      <w:b/>
      <w:bCs/>
      <w:sz w:val="20"/>
      <w:szCs w:val="20"/>
    </w:rPr>
  </w:style>
  <w:style w:type="character" w:styleId="Mentionnonrsolue">
    <w:name w:val="Unresolved Mention"/>
    <w:basedOn w:val="Policepardfaut"/>
    <w:uiPriority w:val="99"/>
    <w:semiHidden/>
    <w:unhideWhenUsed/>
    <w:rsid w:val="00CB06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8599880">
      <w:bodyDiv w:val="1"/>
      <w:marLeft w:val="0"/>
      <w:marRight w:val="0"/>
      <w:marTop w:val="0"/>
      <w:marBottom w:val="0"/>
      <w:divBdr>
        <w:top w:val="none" w:sz="0" w:space="0" w:color="auto"/>
        <w:left w:val="none" w:sz="0" w:space="0" w:color="auto"/>
        <w:bottom w:val="none" w:sz="0" w:space="0" w:color="auto"/>
        <w:right w:val="none" w:sz="0" w:space="0" w:color="auto"/>
      </w:divBdr>
    </w:div>
    <w:div w:id="1046029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RD/C/FRA/22-23" TargetMode="External"/><Relationship Id="rId3" Type="http://schemas.openxmlformats.org/officeDocument/2006/relationships/hyperlink" Target="http://undocs.org/fr/CERD/C/FRA/CO/20-21" TargetMode="External"/><Relationship Id="rId7" Type="http://schemas.openxmlformats.org/officeDocument/2006/relationships/hyperlink" Target="http://undocs.org/fr/CERD/C/FRA/CO/20-21" TargetMode="External"/><Relationship Id="rId2" Type="http://schemas.openxmlformats.org/officeDocument/2006/relationships/hyperlink" Target="http://undocs.org/fr/CERD/C/FRA/22-23" TargetMode="External"/><Relationship Id="rId1" Type="http://schemas.openxmlformats.org/officeDocument/2006/relationships/hyperlink" Target="http://undocs.org/fr/A/65/18" TargetMode="External"/><Relationship Id="rId6" Type="http://schemas.openxmlformats.org/officeDocument/2006/relationships/hyperlink" Target="http://undocs.org/fr/CERD/C/FRA/22-23" TargetMode="External"/><Relationship Id="rId5" Type="http://schemas.openxmlformats.org/officeDocument/2006/relationships/hyperlink" Target="http://undocs.org/fr/CERD/C/FRA/CO/20-21" TargetMode="External"/><Relationship Id="rId4" Type="http://schemas.openxmlformats.org/officeDocument/2006/relationships/hyperlink" Target="http://undocs.org/fr/CERD/C/FRA/22-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02D160-8756-4806-B6AC-EEFE4A0CA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1180</Words>
  <Characters>6730</Characters>
  <Application>Microsoft Office Word</Application>
  <DocSecurity>0</DocSecurity>
  <Lines>118</Lines>
  <Paragraphs>47</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CERD/C/LBN/Q/23-24</vt:lpstr>
      <vt:lpstr>CERD/C/LBN/Q/23-24</vt:lpstr>
      <vt:lpstr>a/hthhhh</vt:lpstr>
    </vt:vector>
  </TitlesOfParts>
  <Company>DCM</Company>
  <LinksUpToDate>false</LinksUpToDate>
  <CharactersWithSpaces>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CERD/C/FRA/Q/22-23</dc:title>
  <dc:subject>Valérie BERTIN</dc:subject>
  <dc:creator>QR Codes</dc:creator>
  <cp:keywords/>
  <dc:description/>
  <cp:lastModifiedBy>Maud Dariche</cp:lastModifiedBy>
  <cp:revision>3</cp:revision>
  <cp:lastPrinted>2022-09-30T14:30:00Z</cp:lastPrinted>
  <dcterms:created xsi:type="dcterms:W3CDTF">2022-09-30T14:29:00Z</dcterms:created>
  <dcterms:modified xsi:type="dcterms:W3CDTF">2022-09-30T14:30:00Z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1">
    <vt:lpwstr>C/LBN/Q/23-24</vt:lpwstr>
  </property>
  <property fmtid="{D5CDD505-2E9C-101B-9397-08002B2CF9AE}" pid="3" name="symh">
    <vt:lpwstr>CERD/C/LBN/Q/23-24</vt:lpwstr>
  </property>
  <property fmtid="{D5CDD505-2E9C-101B-9397-08002B2CF9AE}" pid="4" name="dist">
    <vt:lpwstr>générale</vt:lpwstr>
  </property>
  <property fmtid="{D5CDD505-2E9C-101B-9397-08002B2CF9AE}" pid="5" name="date">
    <vt:lpwstr>03 juillet 2019</vt:lpwstr>
  </property>
  <property fmtid="{D5CDD505-2E9C-101B-9397-08002B2CF9AE}" pid="6" name="sdate">
    <vt:lpwstr>20 avril-08 mai 2020</vt:lpwstr>
  </property>
  <property fmtid="{D5CDD505-2E9C-101B-9397-08002B2CF9AE}" pid="7" name="virs">
    <vt:lpwstr>Anglais, arabe, espagnol et français seulement</vt:lpwstr>
  </property>
  <property fmtid="{D5CDD505-2E9C-101B-9397-08002B2CF9AE}" pid="8" name="snum">
    <vt:lpwstr>101ᵉ</vt:lpwstr>
  </property>
  <property fmtid="{D5CDD505-2E9C-101B-9397-08002B2CF9AE}" pid="9" name="anum">
    <vt:lpwstr>[NUMBER]</vt:lpwstr>
  </property>
  <property fmtid="{D5CDD505-2E9C-101B-9397-08002B2CF9AE}" pid="10" name="count">
    <vt:lpwstr>du Liban </vt:lpwstr>
  </property>
  <property fmtid="{D5CDD505-2E9C-101B-9397-08002B2CF9AE}" pid="11" name="countw">
    <vt:lpwstr>Liban </vt:lpwstr>
  </property>
  <property fmtid="{D5CDD505-2E9C-101B-9397-08002B2CF9AE}" pid="12" name="countwd">
    <vt:lpwstr>le Liban </vt:lpwstr>
  </property>
  <property fmtid="{D5CDD505-2E9C-101B-9397-08002B2CF9AE}" pid="13" name="gdoc">
    <vt:lpwstr/>
  </property>
  <property fmtid="{D5CDD505-2E9C-101B-9397-08002B2CF9AE}" pid="14" name="gdocf">
    <vt:lpwstr/>
  </property>
  <property fmtid="{D5CDD505-2E9C-101B-9397-08002B2CF9AE}" pid="15" name="tlang">
    <vt:lpwstr/>
  </property>
  <property fmtid="{D5CDD505-2E9C-101B-9397-08002B2CF9AE}" pid="16" name="atitle">
    <vt:lpwstr>[Title]</vt:lpwstr>
  </property>
  <property fmtid="{D5CDD505-2E9C-101B-9397-08002B2CF9AE}" pid="17" name="stitle">
    <vt:lpwstr>[Title]</vt:lpwstr>
  </property>
  <property fmtid="{D5CDD505-2E9C-101B-9397-08002B2CF9AE}" pid="18" name="prep">
    <vt:lpwstr>rapport du Liban  valant vingt-troisième et vingt-quatrième rapports périodiques</vt:lpwstr>
  </property>
  <property fmtid="{D5CDD505-2E9C-101B-9397-08002B2CF9AE}" pid="19" name="preps">
    <vt:lpwstr>rapport du Liban  valant vingt-troisième et vingt-quatrième rapports périodiques</vt:lpwstr>
  </property>
  <property fmtid="{D5CDD505-2E9C-101B-9397-08002B2CF9AE}" pid="20" name="prepw">
    <vt:lpwstr>rapport valant vingt-troisième et vingt-quatrième rapports périodiques</vt:lpwstr>
  </property>
  <property fmtid="{D5CDD505-2E9C-101B-9397-08002B2CF9AE}" pid="21" name="prepws">
    <vt:lpwstr>rapport valant vingt-troisième et vingt-quatrième rapports périodiques</vt:lpwstr>
  </property>
  <property fmtid="{D5CDD505-2E9C-101B-9397-08002B2CF9AE}" pid="22" name="prepwc">
    <vt:lpwstr>Rapport valant vingt-troisième et vingt-quatrième rapports périodiques</vt:lpwstr>
  </property>
  <property fmtid="{D5CDD505-2E9C-101B-9397-08002B2CF9AE}" pid="23" name="olang">
    <vt:lpwstr>français</vt:lpwstr>
  </property>
  <property fmtid="{D5CDD505-2E9C-101B-9397-08002B2CF9AE}" pid="24" name="Date-Generated">
    <vt:filetime>2019-07-03T13:28:29Z</vt:filetime>
  </property>
  <property fmtid="{D5CDD505-2E9C-101B-9397-08002B2CF9AE}" pid="25" name="Author">
    <vt:lpwstr/>
  </property>
  <property fmtid="{D5CDD505-2E9C-101B-9397-08002B2CF9AE}" pid="26" name="bar">
    <vt:lpwstr/>
  </property>
  <property fmtid="{D5CDD505-2E9C-101B-9397-08002B2CF9AE}" pid="27" name="Org">
    <vt:lpwstr>OHCHR</vt:lpwstr>
  </property>
  <property fmtid="{D5CDD505-2E9C-101B-9397-08002B2CF9AE}" pid="28" name="Entity">
    <vt:lpwstr>List of themes</vt:lpwstr>
  </property>
  <property fmtid="{D5CDD505-2E9C-101B-9397-08002B2CF9AE}" pid="29" name="doctype">
    <vt:lpwstr>Final</vt:lpwstr>
  </property>
  <property fmtid="{D5CDD505-2E9C-101B-9397-08002B2CF9AE}" pid="30" name="category">
    <vt:lpwstr>CERD</vt:lpwstr>
  </property>
</Properties>
</file>